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BE62E" w14:textId="2C257084" w:rsidR="00564948" w:rsidRDefault="00564948" w:rsidP="00564948">
      <w:pPr>
        <w:jc w:val="center"/>
        <w:rPr>
          <w:rFonts w:ascii="Times New Roman" w:hAnsi="Times New Roman" w:cs="Times New Roman"/>
          <w:b/>
          <w:sz w:val="40"/>
          <w:szCs w:val="20"/>
        </w:rPr>
      </w:pPr>
      <w:r>
        <w:rPr>
          <w:rFonts w:cs="Times New Roman"/>
          <w:b/>
          <w:noProof/>
          <w:szCs w:val="24"/>
        </w:rPr>
        <w:drawing>
          <wp:inline distT="0" distB="0" distL="0" distR="0" wp14:anchorId="728FB0BB" wp14:editId="53F9AB17">
            <wp:extent cx="2882900" cy="952500"/>
            <wp:effectExtent l="0" t="0" r="0" b="0"/>
            <wp:docPr id="104678392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653A2A15" w14:textId="77777777" w:rsidR="00564948" w:rsidRDefault="00564948" w:rsidP="00564948">
      <w:pPr>
        <w:jc w:val="center"/>
        <w:rPr>
          <w:rFonts w:cs="Times New Roman"/>
          <w:b/>
          <w:sz w:val="26"/>
          <w:szCs w:val="6"/>
        </w:rPr>
      </w:pPr>
    </w:p>
    <w:p w14:paraId="12CB7AE1" w14:textId="7E06B1B2" w:rsidR="00564948" w:rsidRDefault="00564948" w:rsidP="00564948">
      <w:pPr>
        <w:jc w:val="center"/>
        <w:rPr>
          <w:rFonts w:cs="Times New Roman"/>
          <w:b/>
          <w:bCs/>
          <w:sz w:val="32"/>
          <w:szCs w:val="30"/>
        </w:rPr>
      </w:pPr>
      <w:r w:rsidRPr="001A18D4">
        <w:rPr>
          <w:rFonts w:cs="Arial"/>
          <w:b/>
          <w:bCs/>
          <w:noProof/>
          <w:sz w:val="32"/>
          <w:szCs w:val="32"/>
          <w:lang w:val="en-GB"/>
        </w:rPr>
        <w:t>Report Case Study: The Seaview Resort</w:t>
      </w:r>
    </w:p>
    <w:p w14:paraId="2335C515" w14:textId="77777777" w:rsidR="00564948" w:rsidRDefault="00564948" w:rsidP="00564948">
      <w:pPr>
        <w:jc w:val="center"/>
        <w:rPr>
          <w:rFonts w:cs="Times New Roman"/>
          <w:b/>
          <w:sz w:val="32"/>
          <w:szCs w:val="10"/>
        </w:rPr>
      </w:pPr>
      <w:r>
        <w:rPr>
          <w:rFonts w:cs="Times New Roman"/>
          <w:b/>
          <w:sz w:val="32"/>
          <w:szCs w:val="10"/>
        </w:rPr>
        <w:t xml:space="preserve">Module Name </w:t>
      </w:r>
    </w:p>
    <w:p w14:paraId="60D68B12" w14:textId="77777777" w:rsidR="00564948" w:rsidRDefault="00564948" w:rsidP="00564948">
      <w:pPr>
        <w:pStyle w:val="Default"/>
      </w:pPr>
    </w:p>
    <w:p w14:paraId="4E1C1642" w14:textId="77777777" w:rsidR="00564948" w:rsidRDefault="00564948" w:rsidP="00564948">
      <w:pPr>
        <w:pStyle w:val="Default"/>
      </w:pPr>
    </w:p>
    <w:p w14:paraId="21A22694" w14:textId="77777777" w:rsidR="00564948" w:rsidRDefault="00564948" w:rsidP="00564948">
      <w:pPr>
        <w:jc w:val="center"/>
        <w:rPr>
          <w:bCs/>
          <w:sz w:val="28"/>
          <w:szCs w:val="28"/>
        </w:rPr>
      </w:pPr>
      <w:r>
        <w:rPr>
          <w:bCs/>
          <w:sz w:val="22"/>
          <w:szCs w:val="20"/>
        </w:rPr>
        <w:t xml:space="preserve"> </w:t>
      </w:r>
      <w:r>
        <w:rPr>
          <w:bCs/>
          <w:sz w:val="28"/>
          <w:szCs w:val="28"/>
        </w:rPr>
        <w:t>Financial Management for the Hotel Industry (BMIH5007)</w:t>
      </w:r>
    </w:p>
    <w:p w14:paraId="64AECAF7" w14:textId="77777777" w:rsidR="00564948" w:rsidRDefault="00564948" w:rsidP="00564948">
      <w:pPr>
        <w:jc w:val="center"/>
        <w:rPr>
          <w:rFonts w:cs="Times New Roman"/>
          <w:b/>
          <w:bCs/>
          <w:sz w:val="32"/>
          <w:szCs w:val="30"/>
        </w:rPr>
      </w:pPr>
    </w:p>
    <w:p w14:paraId="20AD3F59" w14:textId="77777777" w:rsidR="00564948" w:rsidRDefault="00564948" w:rsidP="00564948">
      <w:pPr>
        <w:jc w:val="center"/>
        <w:rPr>
          <w:rFonts w:cs="Times New Roman"/>
          <w:b/>
          <w:bCs/>
          <w:sz w:val="32"/>
          <w:szCs w:val="30"/>
        </w:rPr>
      </w:pPr>
      <w:r>
        <w:rPr>
          <w:rFonts w:cs="Times New Roman"/>
          <w:b/>
          <w:bCs/>
          <w:sz w:val="32"/>
          <w:szCs w:val="30"/>
        </w:rPr>
        <w:t>Lecturer’s Name</w:t>
      </w:r>
    </w:p>
    <w:p w14:paraId="3163F61A" w14:textId="77777777" w:rsidR="00564948" w:rsidRDefault="00564948" w:rsidP="00564948">
      <w:pPr>
        <w:jc w:val="center"/>
        <w:rPr>
          <w:rFonts w:cs="Arial"/>
          <w:bCs/>
          <w:sz w:val="28"/>
          <w:szCs w:val="26"/>
        </w:rPr>
      </w:pPr>
      <w:r>
        <w:rPr>
          <w:rFonts w:cs="Arial"/>
          <w:bCs/>
          <w:sz w:val="28"/>
          <w:szCs w:val="26"/>
        </w:rPr>
        <w:t>Tristan Hawkins</w:t>
      </w:r>
    </w:p>
    <w:p w14:paraId="62E502D5" w14:textId="77777777" w:rsidR="00564948" w:rsidRDefault="00564948" w:rsidP="00564948">
      <w:pPr>
        <w:rPr>
          <w:rFonts w:cs="Times New Roman"/>
          <w:b/>
          <w:sz w:val="32"/>
          <w:szCs w:val="10"/>
        </w:rPr>
      </w:pPr>
    </w:p>
    <w:p w14:paraId="06AA98D9" w14:textId="77777777" w:rsidR="00564948" w:rsidRDefault="00564948" w:rsidP="00564948">
      <w:pPr>
        <w:jc w:val="center"/>
        <w:rPr>
          <w:rFonts w:cs="Times New Roman"/>
          <w:b/>
          <w:sz w:val="32"/>
          <w:szCs w:val="10"/>
        </w:rPr>
      </w:pPr>
      <w:r>
        <w:rPr>
          <w:rFonts w:cs="Times New Roman"/>
          <w:b/>
          <w:sz w:val="32"/>
          <w:szCs w:val="10"/>
        </w:rPr>
        <w:t>Prepared by</w:t>
      </w:r>
    </w:p>
    <w:p w14:paraId="59B66CC9" w14:textId="77777777" w:rsidR="00564948" w:rsidRDefault="00564948" w:rsidP="00564948">
      <w:pPr>
        <w:jc w:val="center"/>
        <w:rPr>
          <w:rFonts w:cs="Arial"/>
          <w:noProof/>
          <w:sz w:val="28"/>
          <w:szCs w:val="24"/>
        </w:rPr>
      </w:pPr>
      <w:r>
        <w:rPr>
          <w:rFonts w:cs="Arial"/>
          <w:noProof/>
          <w:sz w:val="28"/>
          <w:szCs w:val="24"/>
        </w:rPr>
        <w:t>Md Sohel Khan</w:t>
      </w:r>
    </w:p>
    <w:p w14:paraId="46783E73" w14:textId="77777777" w:rsidR="00564948" w:rsidRDefault="00564948" w:rsidP="00564948">
      <w:pPr>
        <w:jc w:val="center"/>
        <w:rPr>
          <w:rFonts w:cs="Arial"/>
          <w:noProof/>
          <w:sz w:val="28"/>
          <w:szCs w:val="24"/>
        </w:rPr>
      </w:pPr>
      <w:r>
        <w:rPr>
          <w:rFonts w:cs="Arial"/>
          <w:noProof/>
          <w:sz w:val="28"/>
          <w:szCs w:val="24"/>
        </w:rPr>
        <w:t>Student ID: 2211256</w:t>
      </w:r>
    </w:p>
    <w:p w14:paraId="0E009D0B" w14:textId="77777777" w:rsidR="00564948" w:rsidRDefault="00564948" w:rsidP="00564948">
      <w:pPr>
        <w:rPr>
          <w:b/>
          <w:bCs/>
          <w:sz w:val="32"/>
          <w:szCs w:val="30"/>
        </w:rPr>
      </w:pPr>
    </w:p>
    <w:p w14:paraId="48956B9D" w14:textId="77777777" w:rsidR="00564948" w:rsidRDefault="00564948" w:rsidP="00564948">
      <w:pPr>
        <w:jc w:val="center"/>
        <w:rPr>
          <w:b/>
          <w:bCs/>
          <w:sz w:val="32"/>
          <w:szCs w:val="30"/>
        </w:rPr>
      </w:pPr>
      <w:r>
        <w:rPr>
          <w:b/>
          <w:bCs/>
          <w:sz w:val="32"/>
          <w:szCs w:val="30"/>
        </w:rPr>
        <w:t>Word Count</w:t>
      </w:r>
    </w:p>
    <w:p w14:paraId="274E3DDA" w14:textId="0841FA49" w:rsidR="00564948" w:rsidRDefault="00564948" w:rsidP="00564948">
      <w:pPr>
        <w:jc w:val="center"/>
        <w:rPr>
          <w:rFonts w:cs="Times New Roman"/>
          <w:b/>
          <w:bCs/>
          <w:sz w:val="36"/>
          <w:szCs w:val="36"/>
        </w:rPr>
      </w:pPr>
      <w:r>
        <w:rPr>
          <w:b/>
          <w:bCs/>
          <w:sz w:val="28"/>
          <w:szCs w:val="26"/>
        </w:rPr>
        <w:t>2</w:t>
      </w:r>
      <w:r>
        <w:rPr>
          <w:b/>
          <w:bCs/>
          <w:sz w:val="28"/>
          <w:szCs w:val="26"/>
        </w:rPr>
        <w:t>069</w:t>
      </w:r>
      <w:r>
        <w:rPr>
          <w:b/>
          <w:bCs/>
          <w:sz w:val="28"/>
          <w:szCs w:val="26"/>
        </w:rPr>
        <w:t xml:space="preserve"> words</w:t>
      </w:r>
    </w:p>
    <w:p w14:paraId="7657C628" w14:textId="77777777" w:rsidR="00564948" w:rsidRDefault="00564948" w:rsidP="00477B14">
      <w:pPr>
        <w:rPr>
          <w:rFonts w:cs="Arial"/>
          <w:b/>
          <w:bCs/>
          <w:noProof/>
          <w:sz w:val="32"/>
          <w:szCs w:val="32"/>
          <w:lang w:val="en-GB"/>
        </w:rPr>
      </w:pPr>
    </w:p>
    <w:p w14:paraId="35EFADA1" w14:textId="77777777" w:rsidR="00564948" w:rsidRDefault="00564948" w:rsidP="00477B14">
      <w:pPr>
        <w:rPr>
          <w:rFonts w:cs="Arial"/>
          <w:b/>
          <w:bCs/>
          <w:noProof/>
          <w:sz w:val="32"/>
          <w:szCs w:val="32"/>
          <w:lang w:val="en-GB"/>
        </w:rPr>
      </w:pPr>
    </w:p>
    <w:p w14:paraId="52BA38A1" w14:textId="77777777" w:rsidR="00564948" w:rsidRDefault="00564948" w:rsidP="00477B14">
      <w:pPr>
        <w:rPr>
          <w:rFonts w:cs="Arial"/>
          <w:b/>
          <w:bCs/>
          <w:noProof/>
          <w:sz w:val="32"/>
          <w:szCs w:val="32"/>
          <w:lang w:val="en-GB"/>
        </w:rPr>
      </w:pPr>
    </w:p>
    <w:p w14:paraId="0310DDEE" w14:textId="46E4CDDC" w:rsidR="00272E95" w:rsidRPr="001A18D4" w:rsidRDefault="00272E95" w:rsidP="00477B14">
      <w:pPr>
        <w:rPr>
          <w:rFonts w:cs="Arial"/>
          <w:b/>
          <w:bCs/>
          <w:noProof/>
          <w:sz w:val="32"/>
          <w:szCs w:val="32"/>
          <w:lang w:val="en-GB"/>
        </w:rPr>
      </w:pPr>
      <w:r w:rsidRPr="001A18D4">
        <w:rPr>
          <w:rFonts w:cs="Arial"/>
          <w:b/>
          <w:bCs/>
          <w:noProof/>
          <w:sz w:val="32"/>
          <w:szCs w:val="32"/>
          <w:lang w:val="en-GB"/>
        </w:rPr>
        <w:lastRenderedPageBreak/>
        <w:t>Module: Financial Management for the Hotel Industry</w:t>
      </w:r>
    </w:p>
    <w:p w14:paraId="391E9F4B" w14:textId="77777777" w:rsidR="00272E95" w:rsidRPr="001A18D4" w:rsidRDefault="00272E95" w:rsidP="00477B14">
      <w:pPr>
        <w:rPr>
          <w:rFonts w:cs="Arial"/>
          <w:b/>
          <w:bCs/>
          <w:noProof/>
          <w:sz w:val="32"/>
          <w:szCs w:val="32"/>
          <w:lang w:val="en-GB"/>
        </w:rPr>
      </w:pPr>
      <w:r w:rsidRPr="001A18D4">
        <w:rPr>
          <w:rFonts w:cs="Arial"/>
          <w:b/>
          <w:bCs/>
          <w:noProof/>
          <w:sz w:val="32"/>
          <w:szCs w:val="32"/>
          <w:lang w:val="en-GB"/>
        </w:rPr>
        <w:t>Module code: BMIH5007</w:t>
      </w:r>
    </w:p>
    <w:p w14:paraId="62062C56" w14:textId="4BB91C0E" w:rsidR="0059498A" w:rsidRPr="001A18D4" w:rsidRDefault="0059498A" w:rsidP="00477B14">
      <w:pPr>
        <w:rPr>
          <w:rFonts w:cs="Arial"/>
          <w:b/>
          <w:bCs/>
          <w:noProof/>
          <w:sz w:val="32"/>
          <w:szCs w:val="32"/>
          <w:lang w:val="en-GB"/>
        </w:rPr>
      </w:pPr>
      <w:r w:rsidRPr="001A18D4">
        <w:rPr>
          <w:rFonts w:cs="Arial"/>
          <w:b/>
          <w:bCs/>
          <w:noProof/>
          <w:sz w:val="32"/>
          <w:szCs w:val="32"/>
          <w:lang w:val="en-GB"/>
        </w:rPr>
        <w:t>Assignment Title: Report Case Study: The Seaview Resort</w:t>
      </w:r>
    </w:p>
    <w:p w14:paraId="332ABE35" w14:textId="77777777" w:rsidR="00B92802" w:rsidRPr="001A18D4" w:rsidRDefault="00B92802" w:rsidP="00477B14">
      <w:pPr>
        <w:rPr>
          <w:rFonts w:cs="Arial"/>
          <w:noProof/>
          <w:szCs w:val="24"/>
          <w:lang w:val="en-GB"/>
        </w:rPr>
      </w:pPr>
    </w:p>
    <w:p w14:paraId="013F9DCE" w14:textId="77777777" w:rsidR="00B92802" w:rsidRPr="001A18D4" w:rsidRDefault="00B92802" w:rsidP="00477B14">
      <w:pPr>
        <w:rPr>
          <w:rFonts w:cs="Arial"/>
          <w:noProof/>
          <w:szCs w:val="24"/>
          <w:lang w:val="en-GB"/>
        </w:rPr>
      </w:pPr>
      <w:r w:rsidRPr="001A18D4">
        <w:rPr>
          <w:rFonts w:cs="Arial"/>
          <w:noProof/>
          <w:szCs w:val="24"/>
          <w:lang w:val="en-GB"/>
        </w:rPr>
        <w:br w:type="page"/>
      </w:r>
    </w:p>
    <w:sdt>
      <w:sdtPr>
        <w:rPr>
          <w:rFonts w:ascii="Arial" w:eastAsiaTheme="minorEastAsia" w:hAnsi="Arial" w:cs="Arial"/>
          <w:noProof/>
          <w:color w:val="auto"/>
          <w:kern w:val="2"/>
          <w:sz w:val="22"/>
          <w:szCs w:val="22"/>
          <w:lang w:val="en-GB"/>
          <w14:ligatures w14:val="standardContextual"/>
        </w:rPr>
        <w:id w:val="1313443050"/>
        <w:docPartObj>
          <w:docPartGallery w:val="Table of Contents"/>
          <w:docPartUnique/>
        </w:docPartObj>
      </w:sdtPr>
      <w:sdtEndPr>
        <w:rPr>
          <w:b/>
          <w:bCs/>
          <w:sz w:val="24"/>
        </w:rPr>
      </w:sdtEndPr>
      <w:sdtContent>
        <w:p w14:paraId="41BB86DA" w14:textId="164A0581" w:rsidR="00D65C99" w:rsidRPr="001A18D4" w:rsidRDefault="00D65C99" w:rsidP="00477B14">
          <w:pPr>
            <w:pStyle w:val="TOCHeading"/>
            <w:rPr>
              <w:rFonts w:ascii="Arial" w:hAnsi="Arial" w:cs="Arial"/>
              <w:noProof/>
              <w:lang w:val="en-GB"/>
            </w:rPr>
          </w:pPr>
          <w:r w:rsidRPr="001A18D4">
            <w:rPr>
              <w:rFonts w:ascii="Arial" w:hAnsi="Arial" w:cs="Arial"/>
              <w:noProof/>
              <w:lang w:val="en-GB"/>
            </w:rPr>
            <w:t>Contents</w:t>
          </w:r>
        </w:p>
        <w:p w14:paraId="61C40FB1" w14:textId="7F5051A7" w:rsidR="00E1745E" w:rsidRPr="001A18D4" w:rsidRDefault="00D65C99" w:rsidP="00477B14">
          <w:pPr>
            <w:pStyle w:val="TOC1"/>
            <w:tabs>
              <w:tab w:val="right" w:leader="dot" w:pos="9016"/>
            </w:tabs>
            <w:rPr>
              <w:rFonts w:cs="Arial"/>
              <w:noProof/>
              <w:sz w:val="22"/>
              <w:lang w:val="en-GB" w:eastAsia="en-GB"/>
            </w:rPr>
          </w:pPr>
          <w:r w:rsidRPr="001A18D4">
            <w:rPr>
              <w:rFonts w:cs="Arial"/>
              <w:noProof/>
              <w:szCs w:val="24"/>
              <w:lang w:val="en-GB"/>
            </w:rPr>
            <w:fldChar w:fldCharType="begin"/>
          </w:r>
          <w:r w:rsidRPr="001A18D4">
            <w:rPr>
              <w:rFonts w:cs="Arial"/>
              <w:noProof/>
              <w:szCs w:val="24"/>
              <w:lang w:val="en-GB"/>
            </w:rPr>
            <w:instrText xml:space="preserve"> TOC \o "1-3" \h \z \u </w:instrText>
          </w:r>
          <w:r w:rsidRPr="001A18D4">
            <w:rPr>
              <w:rFonts w:cs="Arial"/>
              <w:noProof/>
              <w:szCs w:val="24"/>
              <w:lang w:val="en-GB"/>
            </w:rPr>
            <w:fldChar w:fldCharType="separate"/>
          </w:r>
          <w:hyperlink w:anchor="_Toc158668040" w:history="1">
            <w:r w:rsidR="00E1745E" w:rsidRPr="001A18D4">
              <w:rPr>
                <w:rStyle w:val="Hyperlink"/>
                <w:rFonts w:cs="Arial"/>
                <w:noProof/>
                <w:lang w:val="en-GB"/>
              </w:rPr>
              <w:t>Introduction</w:t>
            </w:r>
            <w:r w:rsidR="00E1745E" w:rsidRPr="001A18D4">
              <w:rPr>
                <w:rFonts w:cs="Arial"/>
                <w:noProof/>
                <w:webHidden/>
                <w:lang w:val="en-GB"/>
              </w:rPr>
              <w:tab/>
            </w:r>
            <w:r w:rsidR="00E1745E" w:rsidRPr="001A18D4">
              <w:rPr>
                <w:rFonts w:cs="Arial"/>
                <w:noProof/>
                <w:webHidden/>
                <w:lang w:val="en-GB"/>
              </w:rPr>
              <w:fldChar w:fldCharType="begin"/>
            </w:r>
            <w:r w:rsidR="00E1745E" w:rsidRPr="001A18D4">
              <w:rPr>
                <w:rFonts w:cs="Arial"/>
                <w:noProof/>
                <w:webHidden/>
                <w:lang w:val="en-GB"/>
              </w:rPr>
              <w:instrText xml:space="preserve"> PAGEREF _Toc158668040 \h </w:instrText>
            </w:r>
            <w:r w:rsidR="00E1745E" w:rsidRPr="001A18D4">
              <w:rPr>
                <w:rFonts w:cs="Arial"/>
                <w:noProof/>
                <w:webHidden/>
                <w:lang w:val="en-GB"/>
              </w:rPr>
            </w:r>
            <w:r w:rsidR="00E1745E" w:rsidRPr="001A18D4">
              <w:rPr>
                <w:rFonts w:cs="Arial"/>
                <w:noProof/>
                <w:webHidden/>
                <w:lang w:val="en-GB"/>
              </w:rPr>
              <w:fldChar w:fldCharType="separate"/>
            </w:r>
            <w:r w:rsidR="00E1745E" w:rsidRPr="001A18D4">
              <w:rPr>
                <w:rFonts w:cs="Arial"/>
                <w:noProof/>
                <w:webHidden/>
                <w:lang w:val="en-GB"/>
              </w:rPr>
              <w:t>3</w:t>
            </w:r>
            <w:r w:rsidR="00E1745E" w:rsidRPr="001A18D4">
              <w:rPr>
                <w:rFonts w:cs="Arial"/>
                <w:noProof/>
                <w:webHidden/>
                <w:lang w:val="en-GB"/>
              </w:rPr>
              <w:fldChar w:fldCharType="end"/>
            </w:r>
          </w:hyperlink>
        </w:p>
        <w:p w14:paraId="399AD7B6" w14:textId="2A7D9584" w:rsidR="00E1745E" w:rsidRPr="001A18D4" w:rsidRDefault="00000000" w:rsidP="00477B14">
          <w:pPr>
            <w:pStyle w:val="TOC1"/>
            <w:tabs>
              <w:tab w:val="right" w:leader="dot" w:pos="9016"/>
            </w:tabs>
            <w:rPr>
              <w:rFonts w:cs="Arial"/>
              <w:noProof/>
              <w:sz w:val="22"/>
              <w:lang w:val="en-GB" w:eastAsia="en-GB"/>
            </w:rPr>
          </w:pPr>
          <w:hyperlink w:anchor="_Toc158668041" w:history="1">
            <w:r w:rsidR="00E1745E" w:rsidRPr="001A18D4">
              <w:rPr>
                <w:rStyle w:val="Hyperlink"/>
                <w:rFonts w:cs="Arial"/>
                <w:noProof/>
                <w:lang w:val="en-GB"/>
              </w:rPr>
              <w:t>Analysing Financial Performance</w:t>
            </w:r>
            <w:r w:rsidR="00E1745E" w:rsidRPr="001A18D4">
              <w:rPr>
                <w:rFonts w:cs="Arial"/>
                <w:noProof/>
                <w:webHidden/>
                <w:lang w:val="en-GB"/>
              </w:rPr>
              <w:tab/>
            </w:r>
            <w:r w:rsidR="00E1745E" w:rsidRPr="001A18D4">
              <w:rPr>
                <w:rFonts w:cs="Arial"/>
                <w:noProof/>
                <w:webHidden/>
                <w:lang w:val="en-GB"/>
              </w:rPr>
              <w:fldChar w:fldCharType="begin"/>
            </w:r>
            <w:r w:rsidR="00E1745E" w:rsidRPr="001A18D4">
              <w:rPr>
                <w:rFonts w:cs="Arial"/>
                <w:noProof/>
                <w:webHidden/>
                <w:lang w:val="en-GB"/>
              </w:rPr>
              <w:instrText xml:space="preserve"> PAGEREF _Toc158668041 \h </w:instrText>
            </w:r>
            <w:r w:rsidR="00E1745E" w:rsidRPr="001A18D4">
              <w:rPr>
                <w:rFonts w:cs="Arial"/>
                <w:noProof/>
                <w:webHidden/>
                <w:lang w:val="en-GB"/>
              </w:rPr>
            </w:r>
            <w:r w:rsidR="00E1745E" w:rsidRPr="001A18D4">
              <w:rPr>
                <w:rFonts w:cs="Arial"/>
                <w:noProof/>
                <w:webHidden/>
                <w:lang w:val="en-GB"/>
              </w:rPr>
              <w:fldChar w:fldCharType="separate"/>
            </w:r>
            <w:r w:rsidR="00E1745E" w:rsidRPr="001A18D4">
              <w:rPr>
                <w:rFonts w:cs="Arial"/>
                <w:noProof/>
                <w:webHidden/>
                <w:lang w:val="en-GB"/>
              </w:rPr>
              <w:t>3</w:t>
            </w:r>
            <w:r w:rsidR="00E1745E" w:rsidRPr="001A18D4">
              <w:rPr>
                <w:rFonts w:cs="Arial"/>
                <w:noProof/>
                <w:webHidden/>
                <w:lang w:val="en-GB"/>
              </w:rPr>
              <w:fldChar w:fldCharType="end"/>
            </w:r>
          </w:hyperlink>
        </w:p>
        <w:p w14:paraId="045235DD" w14:textId="1B8FCAAB" w:rsidR="00E1745E" w:rsidRPr="001A18D4" w:rsidRDefault="00000000" w:rsidP="00477B14">
          <w:pPr>
            <w:pStyle w:val="TOC1"/>
            <w:tabs>
              <w:tab w:val="right" w:leader="dot" w:pos="9016"/>
            </w:tabs>
            <w:rPr>
              <w:rFonts w:cs="Arial"/>
              <w:noProof/>
              <w:sz w:val="22"/>
              <w:lang w:val="en-GB" w:eastAsia="en-GB"/>
            </w:rPr>
          </w:pPr>
          <w:hyperlink w:anchor="_Toc158668042" w:history="1">
            <w:r w:rsidR="00E1745E" w:rsidRPr="001A18D4">
              <w:rPr>
                <w:rStyle w:val="Hyperlink"/>
                <w:rFonts w:cs="Arial"/>
                <w:noProof/>
                <w:lang w:val="en-GB"/>
              </w:rPr>
              <w:t>Reasons Behind the Financial Distress of the Company</w:t>
            </w:r>
            <w:r w:rsidR="00E1745E" w:rsidRPr="001A18D4">
              <w:rPr>
                <w:rFonts w:cs="Arial"/>
                <w:noProof/>
                <w:webHidden/>
                <w:lang w:val="en-GB"/>
              </w:rPr>
              <w:tab/>
            </w:r>
            <w:r w:rsidR="00E1745E" w:rsidRPr="001A18D4">
              <w:rPr>
                <w:rFonts w:cs="Arial"/>
                <w:noProof/>
                <w:webHidden/>
                <w:lang w:val="en-GB"/>
              </w:rPr>
              <w:fldChar w:fldCharType="begin"/>
            </w:r>
            <w:r w:rsidR="00E1745E" w:rsidRPr="001A18D4">
              <w:rPr>
                <w:rFonts w:cs="Arial"/>
                <w:noProof/>
                <w:webHidden/>
                <w:lang w:val="en-GB"/>
              </w:rPr>
              <w:instrText xml:space="preserve"> PAGEREF _Toc158668042 \h </w:instrText>
            </w:r>
            <w:r w:rsidR="00E1745E" w:rsidRPr="001A18D4">
              <w:rPr>
                <w:rFonts w:cs="Arial"/>
                <w:noProof/>
                <w:webHidden/>
                <w:lang w:val="en-GB"/>
              </w:rPr>
            </w:r>
            <w:r w:rsidR="00E1745E" w:rsidRPr="001A18D4">
              <w:rPr>
                <w:rFonts w:cs="Arial"/>
                <w:noProof/>
                <w:webHidden/>
                <w:lang w:val="en-GB"/>
              </w:rPr>
              <w:fldChar w:fldCharType="separate"/>
            </w:r>
            <w:r w:rsidR="00E1745E" w:rsidRPr="001A18D4">
              <w:rPr>
                <w:rFonts w:cs="Arial"/>
                <w:noProof/>
                <w:webHidden/>
                <w:lang w:val="en-GB"/>
              </w:rPr>
              <w:t>6</w:t>
            </w:r>
            <w:r w:rsidR="00E1745E" w:rsidRPr="001A18D4">
              <w:rPr>
                <w:rFonts w:cs="Arial"/>
                <w:noProof/>
                <w:webHidden/>
                <w:lang w:val="en-GB"/>
              </w:rPr>
              <w:fldChar w:fldCharType="end"/>
            </w:r>
          </w:hyperlink>
        </w:p>
        <w:p w14:paraId="60E92378" w14:textId="3A55E50F" w:rsidR="00E1745E" w:rsidRPr="001A18D4" w:rsidRDefault="00000000" w:rsidP="00477B14">
          <w:pPr>
            <w:pStyle w:val="TOC1"/>
            <w:tabs>
              <w:tab w:val="right" w:leader="dot" w:pos="9016"/>
            </w:tabs>
            <w:rPr>
              <w:rFonts w:cs="Arial"/>
              <w:noProof/>
              <w:sz w:val="22"/>
              <w:lang w:val="en-GB" w:eastAsia="en-GB"/>
            </w:rPr>
          </w:pPr>
          <w:hyperlink w:anchor="_Toc158668043" w:history="1">
            <w:r w:rsidR="00E1745E" w:rsidRPr="001A18D4">
              <w:rPr>
                <w:rStyle w:val="Hyperlink"/>
                <w:rFonts w:cs="Arial"/>
                <w:noProof/>
                <w:lang w:val="en-GB"/>
              </w:rPr>
              <w:t>Recommended Turnaround Strategies to Overcome the Financial Distress</w:t>
            </w:r>
            <w:r w:rsidR="00E1745E" w:rsidRPr="001A18D4">
              <w:rPr>
                <w:rFonts w:cs="Arial"/>
                <w:noProof/>
                <w:webHidden/>
                <w:lang w:val="en-GB"/>
              </w:rPr>
              <w:tab/>
            </w:r>
            <w:r w:rsidR="00E1745E" w:rsidRPr="001A18D4">
              <w:rPr>
                <w:rFonts w:cs="Arial"/>
                <w:noProof/>
                <w:webHidden/>
                <w:lang w:val="en-GB"/>
              </w:rPr>
              <w:fldChar w:fldCharType="begin"/>
            </w:r>
            <w:r w:rsidR="00E1745E" w:rsidRPr="001A18D4">
              <w:rPr>
                <w:rFonts w:cs="Arial"/>
                <w:noProof/>
                <w:webHidden/>
                <w:lang w:val="en-GB"/>
              </w:rPr>
              <w:instrText xml:space="preserve"> PAGEREF _Toc158668043 \h </w:instrText>
            </w:r>
            <w:r w:rsidR="00E1745E" w:rsidRPr="001A18D4">
              <w:rPr>
                <w:rFonts w:cs="Arial"/>
                <w:noProof/>
                <w:webHidden/>
                <w:lang w:val="en-GB"/>
              </w:rPr>
            </w:r>
            <w:r w:rsidR="00E1745E" w:rsidRPr="001A18D4">
              <w:rPr>
                <w:rFonts w:cs="Arial"/>
                <w:noProof/>
                <w:webHidden/>
                <w:lang w:val="en-GB"/>
              </w:rPr>
              <w:fldChar w:fldCharType="separate"/>
            </w:r>
            <w:r w:rsidR="00E1745E" w:rsidRPr="001A18D4">
              <w:rPr>
                <w:rFonts w:cs="Arial"/>
                <w:noProof/>
                <w:webHidden/>
                <w:lang w:val="en-GB"/>
              </w:rPr>
              <w:t>7</w:t>
            </w:r>
            <w:r w:rsidR="00E1745E" w:rsidRPr="001A18D4">
              <w:rPr>
                <w:rFonts w:cs="Arial"/>
                <w:noProof/>
                <w:webHidden/>
                <w:lang w:val="en-GB"/>
              </w:rPr>
              <w:fldChar w:fldCharType="end"/>
            </w:r>
          </w:hyperlink>
        </w:p>
        <w:p w14:paraId="6B0297AB" w14:textId="2587ABAF" w:rsidR="00E1745E" w:rsidRPr="001A18D4" w:rsidRDefault="00000000" w:rsidP="00477B14">
          <w:pPr>
            <w:pStyle w:val="TOC1"/>
            <w:tabs>
              <w:tab w:val="right" w:leader="dot" w:pos="9016"/>
            </w:tabs>
            <w:rPr>
              <w:rFonts w:cs="Arial"/>
              <w:noProof/>
              <w:sz w:val="22"/>
              <w:lang w:val="en-GB" w:eastAsia="en-GB"/>
            </w:rPr>
          </w:pPr>
          <w:hyperlink w:anchor="_Toc158668044" w:history="1">
            <w:r w:rsidR="00E1745E" w:rsidRPr="001A18D4">
              <w:rPr>
                <w:rStyle w:val="Hyperlink"/>
                <w:rFonts w:cs="Arial"/>
                <w:noProof/>
                <w:lang w:val="en-GB"/>
              </w:rPr>
              <w:t>Conclusion</w:t>
            </w:r>
            <w:r w:rsidR="00E1745E" w:rsidRPr="001A18D4">
              <w:rPr>
                <w:rFonts w:cs="Arial"/>
                <w:noProof/>
                <w:webHidden/>
                <w:lang w:val="en-GB"/>
              </w:rPr>
              <w:tab/>
            </w:r>
            <w:r w:rsidR="00E1745E" w:rsidRPr="001A18D4">
              <w:rPr>
                <w:rFonts w:cs="Arial"/>
                <w:noProof/>
                <w:webHidden/>
                <w:lang w:val="en-GB"/>
              </w:rPr>
              <w:fldChar w:fldCharType="begin"/>
            </w:r>
            <w:r w:rsidR="00E1745E" w:rsidRPr="001A18D4">
              <w:rPr>
                <w:rFonts w:cs="Arial"/>
                <w:noProof/>
                <w:webHidden/>
                <w:lang w:val="en-GB"/>
              </w:rPr>
              <w:instrText xml:space="preserve"> PAGEREF _Toc158668044 \h </w:instrText>
            </w:r>
            <w:r w:rsidR="00E1745E" w:rsidRPr="001A18D4">
              <w:rPr>
                <w:rFonts w:cs="Arial"/>
                <w:noProof/>
                <w:webHidden/>
                <w:lang w:val="en-GB"/>
              </w:rPr>
            </w:r>
            <w:r w:rsidR="00E1745E" w:rsidRPr="001A18D4">
              <w:rPr>
                <w:rFonts w:cs="Arial"/>
                <w:noProof/>
                <w:webHidden/>
                <w:lang w:val="en-GB"/>
              </w:rPr>
              <w:fldChar w:fldCharType="separate"/>
            </w:r>
            <w:r w:rsidR="00E1745E" w:rsidRPr="001A18D4">
              <w:rPr>
                <w:rFonts w:cs="Arial"/>
                <w:noProof/>
                <w:webHidden/>
                <w:lang w:val="en-GB"/>
              </w:rPr>
              <w:t>9</w:t>
            </w:r>
            <w:r w:rsidR="00E1745E" w:rsidRPr="001A18D4">
              <w:rPr>
                <w:rFonts w:cs="Arial"/>
                <w:noProof/>
                <w:webHidden/>
                <w:lang w:val="en-GB"/>
              </w:rPr>
              <w:fldChar w:fldCharType="end"/>
            </w:r>
          </w:hyperlink>
        </w:p>
        <w:p w14:paraId="5D817C98" w14:textId="7A9C4A8F" w:rsidR="00E1745E" w:rsidRPr="001A18D4" w:rsidRDefault="00000000" w:rsidP="00477B14">
          <w:pPr>
            <w:pStyle w:val="TOC1"/>
            <w:tabs>
              <w:tab w:val="right" w:leader="dot" w:pos="9016"/>
            </w:tabs>
            <w:rPr>
              <w:rFonts w:cs="Arial"/>
              <w:noProof/>
              <w:sz w:val="22"/>
              <w:lang w:val="en-GB" w:eastAsia="en-GB"/>
            </w:rPr>
          </w:pPr>
          <w:hyperlink w:anchor="_Toc158668045" w:history="1">
            <w:r w:rsidR="00E1745E" w:rsidRPr="001A18D4">
              <w:rPr>
                <w:rStyle w:val="Hyperlink"/>
                <w:rFonts w:eastAsia="Times New Roman" w:cs="Arial"/>
                <w:noProof/>
                <w:lang w:val="en-GB"/>
              </w:rPr>
              <w:t>Reference list</w:t>
            </w:r>
            <w:r w:rsidR="00E1745E" w:rsidRPr="001A18D4">
              <w:rPr>
                <w:rFonts w:cs="Arial"/>
                <w:noProof/>
                <w:webHidden/>
                <w:lang w:val="en-GB"/>
              </w:rPr>
              <w:tab/>
            </w:r>
            <w:r w:rsidR="00E1745E" w:rsidRPr="001A18D4">
              <w:rPr>
                <w:rFonts w:cs="Arial"/>
                <w:noProof/>
                <w:webHidden/>
                <w:lang w:val="en-GB"/>
              </w:rPr>
              <w:fldChar w:fldCharType="begin"/>
            </w:r>
            <w:r w:rsidR="00E1745E" w:rsidRPr="001A18D4">
              <w:rPr>
                <w:rFonts w:cs="Arial"/>
                <w:noProof/>
                <w:webHidden/>
                <w:lang w:val="en-GB"/>
              </w:rPr>
              <w:instrText xml:space="preserve"> PAGEREF _Toc158668045 \h </w:instrText>
            </w:r>
            <w:r w:rsidR="00E1745E" w:rsidRPr="001A18D4">
              <w:rPr>
                <w:rFonts w:cs="Arial"/>
                <w:noProof/>
                <w:webHidden/>
                <w:lang w:val="en-GB"/>
              </w:rPr>
            </w:r>
            <w:r w:rsidR="00E1745E" w:rsidRPr="001A18D4">
              <w:rPr>
                <w:rFonts w:cs="Arial"/>
                <w:noProof/>
                <w:webHidden/>
                <w:lang w:val="en-GB"/>
              </w:rPr>
              <w:fldChar w:fldCharType="separate"/>
            </w:r>
            <w:r w:rsidR="00E1745E" w:rsidRPr="001A18D4">
              <w:rPr>
                <w:rFonts w:cs="Arial"/>
                <w:noProof/>
                <w:webHidden/>
                <w:lang w:val="en-GB"/>
              </w:rPr>
              <w:t>10</w:t>
            </w:r>
            <w:r w:rsidR="00E1745E" w:rsidRPr="001A18D4">
              <w:rPr>
                <w:rFonts w:cs="Arial"/>
                <w:noProof/>
                <w:webHidden/>
                <w:lang w:val="en-GB"/>
              </w:rPr>
              <w:fldChar w:fldCharType="end"/>
            </w:r>
          </w:hyperlink>
        </w:p>
        <w:p w14:paraId="523133B5" w14:textId="4B95CEA0" w:rsidR="00D65C99" w:rsidRPr="001A18D4" w:rsidRDefault="00D65C99" w:rsidP="00477B14">
          <w:pPr>
            <w:rPr>
              <w:rFonts w:cs="Arial"/>
              <w:noProof/>
              <w:lang w:val="en-GB"/>
            </w:rPr>
          </w:pPr>
          <w:r w:rsidRPr="001A18D4">
            <w:rPr>
              <w:rFonts w:cs="Arial"/>
              <w:b/>
              <w:bCs/>
              <w:noProof/>
              <w:szCs w:val="24"/>
              <w:lang w:val="en-GB"/>
            </w:rPr>
            <w:fldChar w:fldCharType="end"/>
          </w:r>
        </w:p>
      </w:sdtContent>
    </w:sdt>
    <w:p w14:paraId="66D1E40D" w14:textId="09CFBAD8" w:rsidR="00272E95" w:rsidRPr="001A18D4" w:rsidRDefault="00272E95" w:rsidP="00477B14">
      <w:pPr>
        <w:rPr>
          <w:rFonts w:cs="Arial"/>
          <w:noProof/>
          <w:szCs w:val="24"/>
          <w:lang w:val="en-GB"/>
        </w:rPr>
      </w:pPr>
      <w:r w:rsidRPr="001A18D4">
        <w:rPr>
          <w:rFonts w:cs="Arial"/>
          <w:noProof/>
          <w:szCs w:val="24"/>
          <w:lang w:val="en-GB"/>
        </w:rPr>
        <w:br w:type="page"/>
      </w:r>
    </w:p>
    <w:p w14:paraId="1D26B578" w14:textId="77777777" w:rsidR="00272E95" w:rsidRPr="001A18D4" w:rsidRDefault="00272E95" w:rsidP="00477B14">
      <w:pPr>
        <w:pStyle w:val="Heading1"/>
        <w:rPr>
          <w:rFonts w:cs="Arial"/>
          <w:b w:val="0"/>
          <w:noProof/>
          <w:lang w:val="en-GB"/>
        </w:rPr>
      </w:pPr>
      <w:bookmarkStart w:id="0" w:name="_Toc158668040"/>
      <w:r w:rsidRPr="001A18D4">
        <w:rPr>
          <w:rFonts w:cs="Arial"/>
          <w:noProof/>
          <w:lang w:val="en-GB"/>
        </w:rPr>
        <w:lastRenderedPageBreak/>
        <w:t>Introduction</w:t>
      </w:r>
      <w:bookmarkEnd w:id="0"/>
    </w:p>
    <w:p w14:paraId="710C81E6" w14:textId="2CD7A6CD" w:rsidR="00272E95" w:rsidRPr="001A18D4" w:rsidRDefault="00832980" w:rsidP="00477B14">
      <w:pPr>
        <w:rPr>
          <w:rFonts w:cs="Arial"/>
          <w:noProof/>
          <w:szCs w:val="24"/>
          <w:lang w:val="en-GB"/>
        </w:rPr>
      </w:pPr>
      <w:r w:rsidRPr="001A18D4">
        <w:rPr>
          <w:rFonts w:cs="Arial"/>
          <w:noProof/>
          <w:szCs w:val="24"/>
          <w:lang w:val="en-GB"/>
        </w:rPr>
        <w:t>The hospitality industry is highly competitive because there are many international and local players. The businesses operating in the industry face various challenges from the changing customer preferences, market trends, higher competition, economic downturn, and other external factors</w:t>
      </w:r>
      <w:r w:rsidR="00195901" w:rsidRPr="001A18D4">
        <w:rPr>
          <w:rFonts w:cs="Arial"/>
          <w:noProof/>
          <w:szCs w:val="24"/>
          <w:lang w:val="en-GB"/>
        </w:rPr>
        <w:t xml:space="preserve"> (Walker, 2021)</w:t>
      </w:r>
      <w:r w:rsidRPr="001A18D4">
        <w:rPr>
          <w:rFonts w:cs="Arial"/>
          <w:noProof/>
          <w:szCs w:val="24"/>
          <w:lang w:val="en-GB"/>
        </w:rPr>
        <w:t xml:space="preserve">. The report will </w:t>
      </w:r>
      <w:r w:rsidR="005F08D9" w:rsidRPr="001A18D4">
        <w:rPr>
          <w:rFonts w:cs="Arial"/>
          <w:noProof/>
          <w:szCs w:val="24"/>
          <w:lang w:val="en-GB"/>
        </w:rPr>
        <w:t xml:space="preserve">present various financial aspects of </w:t>
      </w:r>
      <w:r w:rsidR="00D20748" w:rsidRPr="001A18D4">
        <w:rPr>
          <w:rFonts w:cs="Arial"/>
          <w:noProof/>
          <w:szCs w:val="24"/>
          <w:lang w:val="en-GB"/>
        </w:rPr>
        <w:t xml:space="preserve">the </w:t>
      </w:r>
      <w:r w:rsidR="005F08D9" w:rsidRPr="001A18D4">
        <w:rPr>
          <w:rFonts w:cs="Arial"/>
          <w:noProof/>
          <w:szCs w:val="24"/>
          <w:lang w:val="en-GB"/>
        </w:rPr>
        <w:t xml:space="preserve">Seacrest Lodge </w:t>
      </w:r>
      <w:r w:rsidR="00D20748" w:rsidRPr="001A18D4">
        <w:rPr>
          <w:rFonts w:cs="Arial"/>
          <w:noProof/>
          <w:szCs w:val="24"/>
          <w:lang w:val="en-GB"/>
        </w:rPr>
        <w:t>from the case</w:t>
      </w:r>
      <w:r w:rsidR="005F08D9" w:rsidRPr="001A18D4">
        <w:rPr>
          <w:rFonts w:cs="Arial"/>
          <w:noProof/>
          <w:szCs w:val="24"/>
          <w:lang w:val="en-GB"/>
        </w:rPr>
        <w:t xml:space="preserve"> study. </w:t>
      </w:r>
      <w:r w:rsidR="00B92802" w:rsidRPr="001A18D4">
        <w:rPr>
          <w:rFonts w:cs="Arial"/>
          <w:noProof/>
          <w:szCs w:val="24"/>
          <w:lang w:val="en-GB"/>
        </w:rPr>
        <w:t xml:space="preserve">It will provide </w:t>
      </w:r>
      <w:r w:rsidR="003B56E1" w:rsidRPr="001A18D4">
        <w:rPr>
          <w:rFonts w:cs="Arial"/>
          <w:noProof/>
          <w:szCs w:val="24"/>
          <w:lang w:val="en-GB"/>
        </w:rPr>
        <w:t xml:space="preserve">an </w:t>
      </w:r>
      <w:r w:rsidR="00B92802" w:rsidRPr="001A18D4">
        <w:rPr>
          <w:rFonts w:cs="Arial"/>
          <w:noProof/>
          <w:szCs w:val="24"/>
          <w:lang w:val="en-GB"/>
        </w:rPr>
        <w:t>analysis of</w:t>
      </w:r>
      <w:r w:rsidRPr="001A18D4">
        <w:rPr>
          <w:rFonts w:cs="Arial"/>
          <w:noProof/>
          <w:szCs w:val="24"/>
          <w:lang w:val="en-GB"/>
        </w:rPr>
        <w:t xml:space="preserve"> the financial performance of the lodge for the last three years. The company had </w:t>
      </w:r>
      <w:r w:rsidR="003B56E1" w:rsidRPr="001A18D4">
        <w:rPr>
          <w:rFonts w:cs="Arial"/>
          <w:noProof/>
          <w:szCs w:val="24"/>
          <w:lang w:val="en-GB"/>
        </w:rPr>
        <w:t xml:space="preserve">a </w:t>
      </w:r>
      <w:r w:rsidRPr="001A18D4">
        <w:rPr>
          <w:rFonts w:cs="Arial"/>
          <w:noProof/>
          <w:szCs w:val="24"/>
          <w:lang w:val="en-GB"/>
        </w:rPr>
        <w:t xml:space="preserve">strong position previously but the recent developments have contributed to its financial distress. The report will identify the influencing factors </w:t>
      </w:r>
      <w:r w:rsidR="003B56E1" w:rsidRPr="001A18D4">
        <w:rPr>
          <w:rFonts w:cs="Arial"/>
          <w:noProof/>
          <w:szCs w:val="24"/>
          <w:lang w:val="en-GB"/>
        </w:rPr>
        <w:t>of</w:t>
      </w:r>
      <w:r w:rsidRPr="001A18D4">
        <w:rPr>
          <w:rFonts w:cs="Arial"/>
          <w:noProof/>
          <w:szCs w:val="24"/>
          <w:lang w:val="en-GB"/>
        </w:rPr>
        <w:t xml:space="preserve"> financial distress and provide recommendations with some turnaround strategies.</w:t>
      </w:r>
    </w:p>
    <w:p w14:paraId="07E0556F" w14:textId="3BE3F86E" w:rsidR="00272E95" w:rsidRPr="001A18D4" w:rsidRDefault="008A6A17" w:rsidP="00477B14">
      <w:pPr>
        <w:pStyle w:val="Heading1"/>
        <w:rPr>
          <w:rFonts w:cs="Arial"/>
          <w:b w:val="0"/>
          <w:noProof/>
          <w:lang w:val="en-GB"/>
        </w:rPr>
      </w:pPr>
      <w:bookmarkStart w:id="1" w:name="_Toc158668041"/>
      <w:r w:rsidRPr="001A18D4">
        <w:rPr>
          <w:rFonts w:cs="Arial"/>
          <w:noProof/>
          <w:lang w:val="en-GB"/>
        </w:rPr>
        <w:t>Analysing Financial Performance</w:t>
      </w:r>
      <w:bookmarkEnd w:id="1"/>
      <w:r w:rsidRPr="001A18D4">
        <w:rPr>
          <w:rFonts w:cs="Arial"/>
          <w:noProof/>
          <w:lang w:val="en-GB"/>
        </w:rPr>
        <w:t xml:space="preserve"> </w:t>
      </w:r>
    </w:p>
    <w:p w14:paraId="2CB4F591" w14:textId="357E19FD" w:rsidR="008A6A17" w:rsidRPr="001A18D4" w:rsidRDefault="008A726D" w:rsidP="00477B14">
      <w:pPr>
        <w:rPr>
          <w:rFonts w:cs="Arial"/>
          <w:noProof/>
          <w:szCs w:val="24"/>
          <w:lang w:val="en-GB"/>
        </w:rPr>
      </w:pPr>
      <w:r w:rsidRPr="001A18D4">
        <w:rPr>
          <w:rFonts w:cs="Arial"/>
          <w:noProof/>
          <w:szCs w:val="24"/>
          <w:lang w:val="en-GB"/>
        </w:rPr>
        <w:t>The Seacrest Lodge's financial performance analysis requires the evaluation of the company's financial data for the last three years. The fluctuations of these financial data and trends indicate the company's future directions and performance. Among financial data, revenue and net income are two important factors that investors analyse before making any investment decision.  Revenue is the amount of money generated by the company by selling its products and services</w:t>
      </w:r>
      <w:r w:rsidR="00C70647" w:rsidRPr="001A18D4">
        <w:rPr>
          <w:rFonts w:cs="Arial"/>
          <w:noProof/>
          <w:szCs w:val="24"/>
          <w:lang w:val="en-GB"/>
        </w:rPr>
        <w:t xml:space="preserve"> (Seal and Rohde, 2019)</w:t>
      </w:r>
      <w:r w:rsidRPr="001A18D4">
        <w:rPr>
          <w:rFonts w:cs="Arial"/>
          <w:noProof/>
          <w:szCs w:val="24"/>
          <w:lang w:val="en-GB"/>
        </w:rPr>
        <w:t>.  The Lodge's last three year's revenue inflow shows a consistent decline. In 2022, the company had 8.33% decline in its revenue and it increase</w:t>
      </w:r>
      <w:r w:rsidR="003B56E1" w:rsidRPr="001A18D4">
        <w:rPr>
          <w:rFonts w:cs="Arial"/>
          <w:noProof/>
          <w:szCs w:val="24"/>
          <w:lang w:val="en-GB"/>
        </w:rPr>
        <w:t>d</w:t>
      </w:r>
      <w:r w:rsidRPr="001A18D4">
        <w:rPr>
          <w:rFonts w:cs="Arial"/>
          <w:noProof/>
          <w:szCs w:val="24"/>
          <w:lang w:val="en-GB"/>
        </w:rPr>
        <w:t xml:space="preserve"> to 13.63% decline in 2023. The overall revenue declined by 20.83% in the last three years. It shows that the business has lost its revenue generation capabilities significantly due to various influencing factors. </w:t>
      </w:r>
      <w:r w:rsidR="009E09F7" w:rsidRPr="001A18D4">
        <w:rPr>
          <w:rFonts w:cs="Arial"/>
          <w:noProof/>
          <w:szCs w:val="24"/>
          <w:lang w:val="en-GB"/>
        </w:rPr>
        <w:t>In hotel businesses, the revenue generated by each hotel room can be calculated by Revenue Par Room (RevPAR) which shows the revenue performance and the pricing power of the business</w:t>
      </w:r>
      <w:r w:rsidR="004F0006" w:rsidRPr="001A18D4">
        <w:rPr>
          <w:rFonts w:cs="Arial"/>
          <w:noProof/>
          <w:szCs w:val="24"/>
          <w:lang w:val="en-GB"/>
        </w:rPr>
        <w:t xml:space="preserve"> (Stuart-Hill and Parker, 2014)</w:t>
      </w:r>
      <w:r w:rsidR="009E09F7" w:rsidRPr="001A18D4">
        <w:rPr>
          <w:rFonts w:cs="Arial"/>
          <w:noProof/>
          <w:szCs w:val="24"/>
          <w:lang w:val="en-GB"/>
        </w:rPr>
        <w:t xml:space="preserve">. The </w:t>
      </w:r>
      <w:r w:rsidR="00C85079" w:rsidRPr="001A18D4">
        <w:rPr>
          <w:rFonts w:cs="Arial"/>
          <w:noProof/>
          <w:szCs w:val="24"/>
          <w:lang w:val="en-GB"/>
        </w:rPr>
        <w:t>Seacrest</w:t>
      </w:r>
      <w:r w:rsidR="009E09F7" w:rsidRPr="001A18D4">
        <w:rPr>
          <w:rFonts w:cs="Arial"/>
          <w:noProof/>
          <w:szCs w:val="24"/>
          <w:lang w:val="en-GB"/>
        </w:rPr>
        <w:t xml:space="preserve"> Lodge’s RevPAR </w:t>
      </w:r>
      <w:r w:rsidR="00C85079" w:rsidRPr="001A18D4">
        <w:rPr>
          <w:rFonts w:cs="Arial"/>
          <w:noProof/>
          <w:szCs w:val="24"/>
          <w:lang w:val="en-GB"/>
        </w:rPr>
        <w:t>for</w:t>
      </w:r>
      <w:r w:rsidR="009E09F7" w:rsidRPr="001A18D4">
        <w:rPr>
          <w:rFonts w:cs="Arial"/>
          <w:noProof/>
          <w:szCs w:val="24"/>
          <w:lang w:val="en-GB"/>
        </w:rPr>
        <w:t xml:space="preserve"> the last three years </w:t>
      </w:r>
      <w:r w:rsidR="00C85079" w:rsidRPr="001A18D4">
        <w:rPr>
          <w:rFonts w:cs="Arial"/>
          <w:noProof/>
          <w:szCs w:val="24"/>
          <w:lang w:val="en-GB"/>
        </w:rPr>
        <w:t>is</w:t>
      </w:r>
      <w:r w:rsidR="009E09F7" w:rsidRPr="001A18D4">
        <w:rPr>
          <w:rFonts w:cs="Arial"/>
          <w:noProof/>
          <w:szCs w:val="24"/>
          <w:lang w:val="en-GB"/>
        </w:rPr>
        <w:t xml:space="preserve"> calculated as follows:</w:t>
      </w:r>
    </w:p>
    <w:p w14:paraId="50007370" w14:textId="0EE6BFAB" w:rsidR="009E09F7" w:rsidRPr="001A18D4" w:rsidRDefault="00C85079" w:rsidP="00477B14">
      <w:pPr>
        <w:rPr>
          <w:rFonts w:cs="Arial"/>
          <w:noProof/>
          <w:szCs w:val="24"/>
          <w:lang w:val="en-GB"/>
        </w:rPr>
      </w:pPr>
      <w:r w:rsidRPr="001A18D4">
        <w:rPr>
          <w:rFonts w:cs="Arial"/>
          <w:noProof/>
          <w:szCs w:val="24"/>
          <w:lang w:val="en-GB"/>
        </w:rPr>
        <w:t>The formula</w:t>
      </w:r>
      <w:r w:rsidR="009E09F7" w:rsidRPr="001A18D4">
        <w:rPr>
          <w:rFonts w:cs="Arial"/>
          <w:noProof/>
          <w:szCs w:val="24"/>
          <w:lang w:val="en-GB"/>
        </w:rPr>
        <w:t xml:space="preserve"> for RevPAR= </w:t>
      </w:r>
      <w:r w:rsidR="00554895" w:rsidRPr="001A18D4">
        <w:rPr>
          <w:rFonts w:cs="Arial"/>
          <w:noProof/>
          <w:szCs w:val="24"/>
          <w:lang w:val="en-GB"/>
        </w:rPr>
        <w:t xml:space="preserve">Average Room Rate × Occupancy Rate </w:t>
      </w:r>
      <w:r w:rsidR="00B55134" w:rsidRPr="001A18D4">
        <w:rPr>
          <w:rFonts w:cs="Arial"/>
          <w:noProof/>
          <w:szCs w:val="24"/>
          <w:lang w:val="en-GB"/>
        </w:rPr>
        <w:t>(Jagels and Ralston, 2007)</w:t>
      </w:r>
    </w:p>
    <w:p w14:paraId="182F5DDF" w14:textId="12313067" w:rsidR="00554895" w:rsidRPr="001A18D4" w:rsidRDefault="009067FE" w:rsidP="00477B14">
      <w:pPr>
        <w:rPr>
          <w:rFonts w:cs="Arial"/>
          <w:noProof/>
          <w:szCs w:val="24"/>
          <w:lang w:val="en-GB"/>
        </w:rPr>
      </w:pPr>
      <w:r w:rsidRPr="001A18D4">
        <w:rPr>
          <w:rFonts w:cs="Arial"/>
          <w:noProof/>
          <w:szCs w:val="24"/>
          <w:lang w:val="en-GB"/>
        </w:rPr>
        <w:t xml:space="preserve">RevPAR in 2021 = </w:t>
      </w:r>
      <w:r w:rsidR="00D918B6" w:rsidRPr="001A18D4">
        <w:rPr>
          <w:rFonts w:cs="Arial"/>
          <w:noProof/>
          <w:szCs w:val="24"/>
          <w:lang w:val="en-GB"/>
        </w:rPr>
        <w:t>£260×</w:t>
      </w:r>
      <w:r w:rsidR="001159AD" w:rsidRPr="001A18D4">
        <w:rPr>
          <w:rFonts w:cs="Arial"/>
          <w:noProof/>
          <w:szCs w:val="24"/>
          <w:lang w:val="en-GB"/>
        </w:rPr>
        <w:t xml:space="preserve"> 65% = </w:t>
      </w:r>
      <w:r w:rsidR="00B842EB" w:rsidRPr="001A18D4">
        <w:rPr>
          <w:rFonts w:cs="Arial"/>
          <w:noProof/>
          <w:szCs w:val="24"/>
          <w:lang w:val="en-GB"/>
        </w:rPr>
        <w:t>£</w:t>
      </w:r>
      <w:r w:rsidR="000B1EE9" w:rsidRPr="001A18D4">
        <w:rPr>
          <w:rFonts w:cs="Arial"/>
          <w:noProof/>
          <w:szCs w:val="24"/>
          <w:lang w:val="en-GB"/>
        </w:rPr>
        <w:t xml:space="preserve">169 </w:t>
      </w:r>
    </w:p>
    <w:p w14:paraId="0D95C96E" w14:textId="33C7A737" w:rsidR="000B1EE9" w:rsidRPr="001A18D4" w:rsidRDefault="000B1EE9" w:rsidP="00477B14">
      <w:pPr>
        <w:rPr>
          <w:rFonts w:cs="Arial"/>
          <w:noProof/>
          <w:szCs w:val="24"/>
          <w:lang w:val="en-GB"/>
        </w:rPr>
      </w:pPr>
      <w:r w:rsidRPr="001A18D4">
        <w:rPr>
          <w:rFonts w:cs="Arial"/>
          <w:noProof/>
          <w:szCs w:val="24"/>
          <w:lang w:val="en-GB"/>
        </w:rPr>
        <w:t>RevPAR in 2022 = £</w:t>
      </w:r>
      <w:r w:rsidR="00BC2009" w:rsidRPr="001A18D4">
        <w:rPr>
          <w:rFonts w:cs="Arial"/>
          <w:noProof/>
          <w:szCs w:val="24"/>
          <w:lang w:val="en-GB"/>
        </w:rPr>
        <w:t xml:space="preserve">240 × 60℅ = </w:t>
      </w:r>
      <w:r w:rsidR="00E10EAA" w:rsidRPr="001A18D4">
        <w:rPr>
          <w:rFonts w:cs="Arial"/>
          <w:noProof/>
          <w:szCs w:val="24"/>
          <w:lang w:val="en-GB"/>
        </w:rPr>
        <w:t xml:space="preserve">£144 </w:t>
      </w:r>
    </w:p>
    <w:p w14:paraId="3675B031" w14:textId="0A11AB0D" w:rsidR="00E10EAA" w:rsidRPr="001A18D4" w:rsidRDefault="00E10EAA" w:rsidP="00477B14">
      <w:pPr>
        <w:rPr>
          <w:rFonts w:cs="Arial"/>
          <w:noProof/>
          <w:szCs w:val="24"/>
          <w:lang w:val="en-GB"/>
        </w:rPr>
      </w:pPr>
      <w:r w:rsidRPr="001A18D4">
        <w:rPr>
          <w:rFonts w:cs="Arial"/>
          <w:noProof/>
          <w:szCs w:val="24"/>
          <w:lang w:val="en-GB"/>
        </w:rPr>
        <w:t xml:space="preserve">RevPAR in 2023 = </w:t>
      </w:r>
      <w:r w:rsidR="00C85079" w:rsidRPr="001A18D4">
        <w:rPr>
          <w:rFonts w:cs="Arial"/>
          <w:noProof/>
          <w:szCs w:val="24"/>
          <w:lang w:val="en-GB"/>
        </w:rPr>
        <w:t xml:space="preserve">£210 × </w:t>
      </w:r>
      <w:r w:rsidR="001969CD" w:rsidRPr="001A18D4">
        <w:rPr>
          <w:rFonts w:cs="Arial"/>
          <w:noProof/>
          <w:szCs w:val="24"/>
          <w:lang w:val="en-GB"/>
        </w:rPr>
        <w:t xml:space="preserve">50℅ = </w:t>
      </w:r>
      <w:r w:rsidR="00F211B6" w:rsidRPr="001A18D4">
        <w:rPr>
          <w:rFonts w:cs="Arial"/>
          <w:noProof/>
          <w:szCs w:val="24"/>
          <w:lang w:val="en-GB"/>
        </w:rPr>
        <w:t>£105</w:t>
      </w:r>
    </w:p>
    <w:p w14:paraId="22D20B20" w14:textId="509AD3C3" w:rsidR="009055A5" w:rsidRPr="001A18D4" w:rsidRDefault="00F600F9" w:rsidP="00477B14">
      <w:pPr>
        <w:rPr>
          <w:rFonts w:cs="Arial"/>
          <w:noProof/>
          <w:szCs w:val="24"/>
          <w:lang w:val="en-GB"/>
        </w:rPr>
      </w:pPr>
      <w:r w:rsidRPr="001A18D4">
        <w:rPr>
          <w:rFonts w:cs="Arial"/>
          <w:noProof/>
          <w:szCs w:val="24"/>
          <w:lang w:val="en-GB"/>
        </w:rPr>
        <w:lastRenderedPageBreak/>
        <w:t>The RevPAR shows that the Lodge has been continuously losing its Re PAR regardless of the occupancy of the hotel's rooms. The loss of RevPAR indicates that the business is facing intense competition from the other businesses and so the hotel is generating less revenue from its each room</w:t>
      </w:r>
      <w:r w:rsidR="001B48D6" w:rsidRPr="001A18D4">
        <w:rPr>
          <w:rFonts w:cs="Arial"/>
          <w:noProof/>
          <w:szCs w:val="24"/>
          <w:lang w:val="en-GB"/>
        </w:rPr>
        <w:t xml:space="preserve"> (Stuart-Hill and Parker, 2014)</w:t>
      </w:r>
      <w:r w:rsidRPr="001A18D4">
        <w:rPr>
          <w:rFonts w:cs="Arial"/>
          <w:noProof/>
          <w:szCs w:val="24"/>
          <w:lang w:val="en-GB"/>
        </w:rPr>
        <w:t>.</w:t>
      </w:r>
    </w:p>
    <w:p w14:paraId="0AA7DBBB" w14:textId="41B7BF33" w:rsidR="00F600F9" w:rsidRPr="001A18D4" w:rsidRDefault="00271D0F" w:rsidP="00477B14">
      <w:pPr>
        <w:rPr>
          <w:rFonts w:cs="Arial"/>
          <w:noProof/>
          <w:szCs w:val="24"/>
          <w:lang w:val="en-GB"/>
        </w:rPr>
      </w:pPr>
      <w:r w:rsidRPr="001A18D4">
        <w:rPr>
          <w:rFonts w:cs="Arial"/>
          <w:noProof/>
          <w:szCs w:val="24"/>
          <w:lang w:val="en-GB"/>
        </w:rPr>
        <w:t>The average room rate is another indicator of the hotel's performance. The Lodge has reduced its average room rate from £260 to £210 in the last three years. The reduction in the room rate indicates the business is charging lower prices for the available room</w:t>
      </w:r>
      <w:r w:rsidR="003B56E1" w:rsidRPr="001A18D4">
        <w:rPr>
          <w:rFonts w:cs="Arial"/>
          <w:noProof/>
          <w:szCs w:val="24"/>
          <w:lang w:val="en-GB"/>
        </w:rPr>
        <w:t>s</w:t>
      </w:r>
      <w:r w:rsidR="00251FDE" w:rsidRPr="001A18D4">
        <w:rPr>
          <w:rFonts w:cs="Arial"/>
          <w:noProof/>
          <w:szCs w:val="24"/>
          <w:lang w:val="en-GB"/>
        </w:rPr>
        <w:t xml:space="preserve"> (Jagels and Ralston, 2007)</w:t>
      </w:r>
      <w:r w:rsidRPr="001A18D4">
        <w:rPr>
          <w:rFonts w:cs="Arial"/>
          <w:noProof/>
          <w:szCs w:val="24"/>
          <w:lang w:val="en-GB"/>
        </w:rPr>
        <w:t>. As a result, the business is generating less revenue</w:t>
      </w:r>
      <w:r w:rsidR="00251FDE" w:rsidRPr="001A18D4">
        <w:rPr>
          <w:rFonts w:cs="Arial"/>
          <w:noProof/>
          <w:szCs w:val="24"/>
          <w:lang w:val="en-GB"/>
        </w:rPr>
        <w:t xml:space="preserve">. </w:t>
      </w:r>
      <w:r w:rsidRPr="001A18D4">
        <w:rPr>
          <w:rFonts w:cs="Arial"/>
          <w:noProof/>
          <w:szCs w:val="24"/>
          <w:lang w:val="en-GB"/>
        </w:rPr>
        <w:t>The occupancy rate declined from 65% to 50% in the last three years meaning that the lodge has declining demand for its room booking. All these performance indicators have had negative impacts on the revenue generation of the company.</w:t>
      </w:r>
    </w:p>
    <w:p w14:paraId="28BF6C91" w14:textId="412EDB86" w:rsidR="009055A5" w:rsidRPr="001A18D4" w:rsidRDefault="00A81255" w:rsidP="00477B14">
      <w:pPr>
        <w:rPr>
          <w:rFonts w:cs="Arial"/>
          <w:noProof/>
          <w:szCs w:val="24"/>
          <w:lang w:val="en-GB"/>
        </w:rPr>
      </w:pPr>
      <w:r w:rsidRPr="001A18D4">
        <w:rPr>
          <w:rFonts w:cs="Arial"/>
          <w:noProof/>
          <w:szCs w:val="24"/>
          <w:lang w:val="en-GB"/>
        </w:rPr>
        <w:t xml:space="preserve">Net income can provide important insights into the company's financial stability and viability. The business has net income in 2021 and 2022 but it incurred a loss of £150,000. The reason for such loss </w:t>
      </w:r>
      <w:r w:rsidR="00251FDE" w:rsidRPr="001A18D4">
        <w:rPr>
          <w:rFonts w:cs="Arial"/>
          <w:noProof/>
          <w:szCs w:val="24"/>
          <w:lang w:val="en-GB"/>
        </w:rPr>
        <w:t>is</w:t>
      </w:r>
      <w:r w:rsidRPr="001A18D4">
        <w:rPr>
          <w:rFonts w:cs="Arial"/>
          <w:noProof/>
          <w:szCs w:val="24"/>
          <w:lang w:val="en-GB"/>
        </w:rPr>
        <w:t xml:space="preserve"> twofold. First, it has been experiencing a decline in the revenue generation. Second, the business's operating costs are increasing significantly. Hence, the revenue was not enough to meet the operating expenses in 2023. Net loss can affect the value of the firm and the prices of the share</w:t>
      </w:r>
      <w:r w:rsidR="003B56E1" w:rsidRPr="001A18D4">
        <w:rPr>
          <w:rFonts w:cs="Arial"/>
          <w:noProof/>
          <w:szCs w:val="24"/>
          <w:lang w:val="en-GB"/>
        </w:rPr>
        <w:t>s</w:t>
      </w:r>
      <w:r w:rsidRPr="001A18D4">
        <w:rPr>
          <w:rFonts w:cs="Arial"/>
          <w:noProof/>
          <w:szCs w:val="24"/>
          <w:lang w:val="en-GB"/>
        </w:rPr>
        <w:t>. Investors find it unattractive for investment</w:t>
      </w:r>
      <w:r w:rsidR="00B55134" w:rsidRPr="001A18D4">
        <w:rPr>
          <w:rFonts w:cs="Arial"/>
          <w:noProof/>
          <w:szCs w:val="24"/>
          <w:lang w:val="en-GB"/>
        </w:rPr>
        <w:t xml:space="preserve"> (Jagels and Ralston, 2007)</w:t>
      </w:r>
      <w:r w:rsidRPr="001A18D4">
        <w:rPr>
          <w:rFonts w:cs="Arial"/>
          <w:noProof/>
          <w:szCs w:val="24"/>
          <w:lang w:val="en-GB"/>
        </w:rPr>
        <w:t>.</w:t>
      </w:r>
    </w:p>
    <w:p w14:paraId="44598F7E" w14:textId="2846BE06" w:rsidR="00A81255" w:rsidRPr="001A18D4" w:rsidRDefault="00813ED3" w:rsidP="00477B14">
      <w:pPr>
        <w:rPr>
          <w:rFonts w:cs="Arial"/>
          <w:noProof/>
          <w:szCs w:val="24"/>
          <w:lang w:val="en-GB"/>
        </w:rPr>
      </w:pPr>
      <w:r w:rsidRPr="001A18D4">
        <w:rPr>
          <w:rFonts w:cs="Arial"/>
          <w:noProof/>
          <w:szCs w:val="24"/>
          <w:lang w:val="en-GB"/>
        </w:rPr>
        <w:t>To analyse the financial performance of the lodge, return on equity (ROE) and return on asset (ROA) can be calculated. The two financial ratios are calculated below:</w:t>
      </w:r>
    </w:p>
    <w:p w14:paraId="32BD129A" w14:textId="7DD06403" w:rsidR="00813ED3" w:rsidRPr="001A18D4" w:rsidRDefault="00813ED3" w:rsidP="00477B14">
      <w:pPr>
        <w:rPr>
          <w:rFonts w:cs="Arial"/>
          <w:noProof/>
          <w:szCs w:val="24"/>
          <w:lang w:val="en-GB"/>
        </w:rPr>
      </w:pPr>
      <m:oMathPara>
        <m:oMath>
          <m:r>
            <w:rPr>
              <w:rFonts w:ascii="Cambria Math" w:hAnsi="Cambria Math" w:cs="Arial"/>
              <w:noProof/>
              <w:szCs w:val="24"/>
              <w:lang w:val="en-GB"/>
            </w:rPr>
            <m:t>ROE formula =</m:t>
          </m:r>
          <m:f>
            <m:fPr>
              <m:ctrlPr>
                <w:rPr>
                  <w:rFonts w:ascii="Cambria Math" w:hAnsi="Cambria Math" w:cs="Arial"/>
                  <w:i/>
                  <w:noProof/>
                  <w:szCs w:val="24"/>
                  <w:lang w:val="en-GB"/>
                </w:rPr>
              </m:ctrlPr>
            </m:fPr>
            <m:num>
              <m:r>
                <w:rPr>
                  <w:rFonts w:ascii="Cambria Math" w:hAnsi="Cambria Math" w:cs="Arial"/>
                  <w:noProof/>
                  <w:szCs w:val="24"/>
                  <w:lang w:val="en-GB"/>
                </w:rPr>
                <m:t>Net Income</m:t>
              </m:r>
            </m:num>
            <m:den>
              <m:r>
                <w:rPr>
                  <w:rFonts w:ascii="Cambria Math" w:hAnsi="Cambria Math" w:cs="Arial"/>
                  <w:noProof/>
                  <w:szCs w:val="24"/>
                  <w:lang w:val="en-GB"/>
                </w:rPr>
                <m:t xml:space="preserve">Total Equity </m:t>
              </m:r>
            </m:den>
          </m:f>
        </m:oMath>
      </m:oMathPara>
    </w:p>
    <w:p w14:paraId="595A4FDC" w14:textId="19FE80A6" w:rsidR="00E41E8C" w:rsidRPr="001A18D4" w:rsidRDefault="00E41E8C" w:rsidP="00477B14">
      <w:pPr>
        <w:rPr>
          <w:rFonts w:cs="Arial"/>
          <w:noProof/>
          <w:szCs w:val="24"/>
          <w:lang w:val="en-GB"/>
        </w:rPr>
      </w:pPr>
      <m:oMathPara>
        <m:oMath>
          <m:r>
            <w:rPr>
              <w:rFonts w:ascii="Cambria Math" w:hAnsi="Cambria Math" w:cs="Arial"/>
              <w:noProof/>
              <w:szCs w:val="24"/>
              <w:lang w:val="en-GB"/>
            </w:rPr>
            <m:t>ROE in 2021 =</m:t>
          </m:r>
          <m:f>
            <m:fPr>
              <m:ctrlPr>
                <w:rPr>
                  <w:rFonts w:ascii="Cambria Math" w:hAnsi="Cambria Math" w:cs="Arial"/>
                  <w:i/>
                  <w:noProof/>
                  <w:szCs w:val="24"/>
                  <w:lang w:val="en-GB"/>
                </w:rPr>
              </m:ctrlPr>
            </m:fPr>
            <m:num>
              <m:r>
                <w:rPr>
                  <w:rFonts w:ascii="Cambria Math" w:hAnsi="Cambria Math" w:cs="Arial"/>
                  <w:noProof/>
                  <w:szCs w:val="24"/>
                  <w:lang w:val="en-GB"/>
                </w:rPr>
                <m:t>£300,000</m:t>
              </m:r>
            </m:num>
            <m:den>
              <m:r>
                <w:rPr>
                  <w:rFonts w:ascii="Cambria Math" w:hAnsi="Cambria Math" w:cs="Arial"/>
                  <w:noProof/>
                  <w:szCs w:val="24"/>
                  <w:lang w:val="en-GB"/>
                </w:rPr>
                <m:t>£620,000</m:t>
              </m:r>
            </m:den>
          </m:f>
          <m:r>
            <w:rPr>
              <w:rFonts w:ascii="Cambria Math" w:hAnsi="Cambria Math" w:cs="Arial"/>
              <w:noProof/>
              <w:szCs w:val="24"/>
              <w:lang w:val="en-GB"/>
            </w:rPr>
            <m:t>=48.39%</m:t>
          </m:r>
        </m:oMath>
      </m:oMathPara>
    </w:p>
    <w:p w14:paraId="070632EF" w14:textId="6A8E4C72" w:rsidR="000B7341" w:rsidRPr="001A18D4" w:rsidRDefault="000B7341" w:rsidP="00477B14">
      <w:pPr>
        <w:rPr>
          <w:rFonts w:cs="Arial"/>
          <w:noProof/>
          <w:szCs w:val="24"/>
          <w:lang w:val="en-GB"/>
        </w:rPr>
      </w:pPr>
      <m:oMathPara>
        <m:oMath>
          <m:r>
            <w:rPr>
              <w:rFonts w:ascii="Cambria Math" w:hAnsi="Cambria Math" w:cs="Arial"/>
              <w:noProof/>
              <w:szCs w:val="24"/>
              <w:lang w:val="en-GB"/>
            </w:rPr>
            <m:t>ROE in 2022 =</m:t>
          </m:r>
          <m:f>
            <m:fPr>
              <m:ctrlPr>
                <w:rPr>
                  <w:rFonts w:ascii="Cambria Math" w:hAnsi="Cambria Math" w:cs="Arial"/>
                  <w:i/>
                  <w:noProof/>
                  <w:szCs w:val="24"/>
                  <w:lang w:val="en-GB"/>
                </w:rPr>
              </m:ctrlPr>
            </m:fPr>
            <m:num>
              <m:r>
                <w:rPr>
                  <w:rFonts w:ascii="Cambria Math" w:hAnsi="Cambria Math" w:cs="Arial"/>
                  <w:noProof/>
                  <w:szCs w:val="24"/>
                  <w:lang w:val="en-GB"/>
                </w:rPr>
                <m:t>£150,000</m:t>
              </m:r>
            </m:num>
            <m:den>
              <m:r>
                <w:rPr>
                  <w:rFonts w:ascii="Cambria Math" w:hAnsi="Cambria Math" w:cs="Arial"/>
                  <w:noProof/>
                  <w:szCs w:val="24"/>
                  <w:lang w:val="en-GB"/>
                </w:rPr>
                <m:t>£580,000</m:t>
              </m:r>
            </m:den>
          </m:f>
          <m:r>
            <w:rPr>
              <w:rFonts w:ascii="Cambria Math" w:hAnsi="Cambria Math" w:cs="Arial"/>
              <w:noProof/>
              <w:szCs w:val="24"/>
              <w:lang w:val="en-GB"/>
            </w:rPr>
            <m:t>=25.86℅</m:t>
          </m:r>
        </m:oMath>
      </m:oMathPara>
    </w:p>
    <w:p w14:paraId="516CD8E6" w14:textId="2F1F2516" w:rsidR="00903524" w:rsidRPr="001A18D4" w:rsidRDefault="00903524" w:rsidP="00477B14">
      <w:pPr>
        <w:rPr>
          <w:rFonts w:cs="Arial"/>
          <w:noProof/>
          <w:szCs w:val="24"/>
          <w:lang w:val="en-GB"/>
        </w:rPr>
      </w:pPr>
      <m:oMathPara>
        <m:oMath>
          <m:r>
            <w:rPr>
              <w:rFonts w:ascii="Cambria Math" w:hAnsi="Cambria Math" w:cs="Arial"/>
              <w:noProof/>
              <w:szCs w:val="24"/>
              <w:lang w:val="en-GB"/>
            </w:rPr>
            <m:t xml:space="preserve">ROE in 2023 = </m:t>
          </m:r>
          <m:f>
            <m:fPr>
              <m:ctrlPr>
                <w:rPr>
                  <w:rFonts w:ascii="Cambria Math" w:hAnsi="Cambria Math" w:cs="Arial"/>
                  <w:i/>
                  <w:noProof/>
                  <w:szCs w:val="24"/>
                  <w:lang w:val="en-GB"/>
                </w:rPr>
              </m:ctrlPr>
            </m:fPr>
            <m:num>
              <m:r>
                <w:rPr>
                  <w:rFonts w:ascii="Cambria Math" w:hAnsi="Cambria Math" w:cs="Arial"/>
                  <w:noProof/>
                  <w:szCs w:val="24"/>
                  <w:lang w:val="en-GB"/>
                </w:rPr>
                <m:t>-£150,000</m:t>
              </m:r>
            </m:num>
            <m:den>
              <m:r>
                <w:rPr>
                  <w:rFonts w:ascii="Cambria Math" w:hAnsi="Cambria Math" w:cs="Arial"/>
                  <w:noProof/>
                  <w:szCs w:val="24"/>
                  <w:lang w:val="en-GB"/>
                </w:rPr>
                <m:t>£300,000</m:t>
              </m:r>
            </m:den>
          </m:f>
          <m:r>
            <w:rPr>
              <w:rFonts w:ascii="Cambria Math" w:hAnsi="Cambria Math" w:cs="Arial"/>
              <w:noProof/>
              <w:szCs w:val="24"/>
              <w:lang w:val="en-GB"/>
            </w:rPr>
            <m:t>= -50%</m:t>
          </m:r>
        </m:oMath>
      </m:oMathPara>
    </w:p>
    <w:p w14:paraId="5CE1D541" w14:textId="01B3A236" w:rsidR="002C019B" w:rsidRPr="001A18D4" w:rsidRDefault="00B62E65" w:rsidP="00477B14">
      <w:pPr>
        <w:rPr>
          <w:rFonts w:cs="Arial"/>
          <w:noProof/>
          <w:szCs w:val="24"/>
          <w:lang w:val="en-GB"/>
        </w:rPr>
      </w:pPr>
      <w:r w:rsidRPr="001A18D4">
        <w:rPr>
          <w:rFonts w:cs="Arial"/>
          <w:noProof/>
          <w:szCs w:val="24"/>
          <w:lang w:val="en-GB"/>
        </w:rPr>
        <w:t xml:space="preserve">The ROE indicator shows that the business had </w:t>
      </w:r>
      <w:r w:rsidR="003B56E1" w:rsidRPr="001A18D4">
        <w:rPr>
          <w:rFonts w:cs="Arial"/>
          <w:noProof/>
          <w:szCs w:val="24"/>
          <w:lang w:val="en-GB"/>
        </w:rPr>
        <w:t xml:space="preserve">a </w:t>
      </w:r>
      <w:r w:rsidRPr="001A18D4">
        <w:rPr>
          <w:rFonts w:cs="Arial"/>
          <w:noProof/>
          <w:szCs w:val="24"/>
          <w:lang w:val="en-GB"/>
        </w:rPr>
        <w:t>positive return on its equity in 2021 and 2022 but the return turns into negative. In 2023. The shareholders of the company are losing their equity value by 50% from the net loss in 2023</w:t>
      </w:r>
      <w:r w:rsidR="00A72350" w:rsidRPr="001A18D4">
        <w:rPr>
          <w:rFonts w:cs="Arial"/>
          <w:noProof/>
          <w:szCs w:val="24"/>
          <w:lang w:val="en-GB"/>
        </w:rPr>
        <w:t xml:space="preserve">. </w:t>
      </w:r>
      <w:r w:rsidRPr="001A18D4">
        <w:rPr>
          <w:rFonts w:cs="Arial"/>
          <w:noProof/>
          <w:szCs w:val="24"/>
          <w:lang w:val="en-GB"/>
        </w:rPr>
        <w:t xml:space="preserve">Although, the company performed better in 2021, the efficiency of the management of the company has led to </w:t>
      </w:r>
      <w:r w:rsidRPr="001A18D4">
        <w:rPr>
          <w:rFonts w:cs="Arial"/>
          <w:noProof/>
          <w:szCs w:val="24"/>
          <w:lang w:val="en-GB"/>
        </w:rPr>
        <w:lastRenderedPageBreak/>
        <w:t>the negative return that incurred due to the net loss and the declining equity value of the firm.</w:t>
      </w:r>
    </w:p>
    <w:p w14:paraId="174457C6" w14:textId="7CDEEC12" w:rsidR="00B62E65" w:rsidRPr="001A18D4" w:rsidRDefault="00B62E65" w:rsidP="00477B14">
      <w:pPr>
        <w:rPr>
          <w:rFonts w:cs="Arial"/>
          <w:noProof/>
          <w:szCs w:val="24"/>
          <w:lang w:val="en-GB"/>
        </w:rPr>
      </w:pPr>
      <m:oMathPara>
        <m:oMath>
          <m:r>
            <w:rPr>
              <w:rFonts w:ascii="Cambria Math" w:hAnsi="Cambria Math" w:cs="Arial"/>
              <w:noProof/>
              <w:szCs w:val="24"/>
              <w:lang w:val="en-GB"/>
            </w:rPr>
            <m:t xml:space="preserve">The ROA formula = </m:t>
          </m:r>
          <m:f>
            <m:fPr>
              <m:ctrlPr>
                <w:rPr>
                  <w:rFonts w:ascii="Cambria Math" w:hAnsi="Cambria Math" w:cs="Arial"/>
                  <w:i/>
                  <w:noProof/>
                  <w:szCs w:val="24"/>
                  <w:lang w:val="en-GB"/>
                </w:rPr>
              </m:ctrlPr>
            </m:fPr>
            <m:num>
              <m:r>
                <w:rPr>
                  <w:rFonts w:ascii="Cambria Math" w:hAnsi="Cambria Math" w:cs="Arial"/>
                  <w:noProof/>
                  <w:szCs w:val="24"/>
                  <w:lang w:val="en-GB"/>
                </w:rPr>
                <m:t>Net Income</m:t>
              </m:r>
            </m:num>
            <m:den>
              <m:r>
                <w:rPr>
                  <w:rFonts w:ascii="Cambria Math" w:hAnsi="Cambria Math" w:cs="Arial"/>
                  <w:noProof/>
                  <w:szCs w:val="24"/>
                  <w:lang w:val="en-GB"/>
                </w:rPr>
                <m:t>Total Asset</m:t>
              </m:r>
            </m:den>
          </m:f>
          <m:r>
            <w:rPr>
              <w:rFonts w:ascii="Cambria Math" w:hAnsi="Cambria Math" w:cs="Arial"/>
              <w:noProof/>
              <w:szCs w:val="24"/>
              <w:lang w:val="en-GB"/>
            </w:rPr>
            <m:t xml:space="preserve"> </m:t>
          </m:r>
        </m:oMath>
      </m:oMathPara>
    </w:p>
    <w:p w14:paraId="543B25FA" w14:textId="0B2608CC" w:rsidR="00E536CB" w:rsidRPr="001A18D4" w:rsidRDefault="00E536CB" w:rsidP="00477B14">
      <w:pPr>
        <w:rPr>
          <w:rFonts w:cs="Arial"/>
          <w:noProof/>
          <w:szCs w:val="24"/>
          <w:lang w:val="en-GB"/>
        </w:rPr>
      </w:pPr>
      <m:oMathPara>
        <m:oMath>
          <m:r>
            <w:rPr>
              <w:rFonts w:ascii="Cambria Math" w:hAnsi="Cambria Math" w:cs="Arial"/>
              <w:noProof/>
              <w:szCs w:val="24"/>
              <w:lang w:val="en-GB"/>
            </w:rPr>
            <m:t>ROA in 2021 =</m:t>
          </m:r>
          <m:f>
            <m:fPr>
              <m:ctrlPr>
                <w:rPr>
                  <w:rFonts w:ascii="Cambria Math" w:hAnsi="Cambria Math" w:cs="Arial"/>
                  <w:i/>
                  <w:noProof/>
                  <w:szCs w:val="24"/>
                  <w:lang w:val="en-GB"/>
                </w:rPr>
              </m:ctrlPr>
            </m:fPr>
            <m:num>
              <m:r>
                <w:rPr>
                  <w:rFonts w:ascii="Cambria Math" w:hAnsi="Cambria Math" w:cs="Arial"/>
                  <w:noProof/>
                  <w:szCs w:val="24"/>
                  <w:lang w:val="en-GB"/>
                </w:rPr>
                <m:t>£300,000</m:t>
              </m:r>
            </m:num>
            <m:den>
              <m:r>
                <w:rPr>
                  <w:rFonts w:ascii="Cambria Math" w:hAnsi="Cambria Math" w:cs="Arial"/>
                  <w:noProof/>
                  <w:szCs w:val="24"/>
                  <w:lang w:val="en-GB"/>
                </w:rPr>
                <m:t>2,150,000</m:t>
              </m:r>
            </m:den>
          </m:f>
          <m:r>
            <w:rPr>
              <w:rFonts w:ascii="Cambria Math" w:hAnsi="Cambria Math" w:cs="Arial"/>
              <w:noProof/>
              <w:szCs w:val="24"/>
              <w:lang w:val="en-GB"/>
            </w:rPr>
            <m:t>=13.95%</m:t>
          </m:r>
        </m:oMath>
      </m:oMathPara>
    </w:p>
    <w:p w14:paraId="7C2CC1BB" w14:textId="78AE68C8" w:rsidR="00E536CB" w:rsidRPr="001A18D4" w:rsidRDefault="00E536CB" w:rsidP="00477B14">
      <w:pPr>
        <w:rPr>
          <w:rFonts w:cs="Arial"/>
          <w:noProof/>
          <w:szCs w:val="24"/>
          <w:lang w:val="en-GB"/>
        </w:rPr>
      </w:pPr>
      <m:oMathPara>
        <m:oMath>
          <m:r>
            <w:rPr>
              <w:rFonts w:ascii="Cambria Math" w:hAnsi="Cambria Math" w:cs="Arial"/>
              <w:noProof/>
              <w:szCs w:val="24"/>
              <w:lang w:val="en-GB"/>
            </w:rPr>
            <m:t>ROA in 2022 =</m:t>
          </m:r>
          <m:f>
            <m:fPr>
              <m:ctrlPr>
                <w:rPr>
                  <w:rFonts w:ascii="Cambria Math" w:hAnsi="Cambria Math" w:cs="Arial"/>
                  <w:i/>
                  <w:noProof/>
                  <w:szCs w:val="24"/>
                  <w:lang w:val="en-GB"/>
                </w:rPr>
              </m:ctrlPr>
            </m:fPr>
            <m:num>
              <m:r>
                <w:rPr>
                  <w:rFonts w:ascii="Cambria Math" w:hAnsi="Cambria Math" w:cs="Arial"/>
                  <w:noProof/>
                  <w:szCs w:val="24"/>
                  <w:lang w:val="en-GB"/>
                </w:rPr>
                <m:t>£150,000</m:t>
              </m:r>
            </m:num>
            <m:den>
              <m:r>
                <w:rPr>
                  <w:rFonts w:ascii="Cambria Math" w:hAnsi="Cambria Math" w:cs="Arial"/>
                  <w:noProof/>
                  <w:szCs w:val="24"/>
                  <w:lang w:val="en-GB"/>
                </w:rPr>
                <m:t>£2,120,000</m:t>
              </m:r>
            </m:den>
          </m:f>
          <m:r>
            <w:rPr>
              <w:rFonts w:ascii="Cambria Math" w:hAnsi="Cambria Math" w:cs="Arial"/>
              <w:noProof/>
              <w:szCs w:val="24"/>
              <w:lang w:val="en-GB"/>
            </w:rPr>
            <m:t>=7.08℅</m:t>
          </m:r>
        </m:oMath>
      </m:oMathPara>
    </w:p>
    <w:p w14:paraId="5C1121F0" w14:textId="304A649E" w:rsidR="00E536CB" w:rsidRPr="001A18D4" w:rsidRDefault="00E536CB" w:rsidP="00477B14">
      <w:pPr>
        <w:rPr>
          <w:rFonts w:cs="Arial"/>
          <w:noProof/>
          <w:szCs w:val="24"/>
          <w:lang w:val="en-GB"/>
        </w:rPr>
      </w:pPr>
      <m:oMathPara>
        <m:oMath>
          <m:r>
            <w:rPr>
              <w:rFonts w:ascii="Cambria Math" w:hAnsi="Cambria Math" w:cs="Arial"/>
              <w:noProof/>
              <w:szCs w:val="24"/>
              <w:lang w:val="en-GB"/>
            </w:rPr>
            <m:t xml:space="preserve">ROA in 2023 = </m:t>
          </m:r>
          <m:f>
            <m:fPr>
              <m:ctrlPr>
                <w:rPr>
                  <w:rFonts w:ascii="Cambria Math" w:hAnsi="Cambria Math" w:cs="Arial"/>
                  <w:i/>
                  <w:noProof/>
                  <w:szCs w:val="24"/>
                  <w:lang w:val="en-GB"/>
                </w:rPr>
              </m:ctrlPr>
            </m:fPr>
            <m:num>
              <m:r>
                <w:rPr>
                  <w:rFonts w:ascii="Cambria Math" w:hAnsi="Cambria Math" w:cs="Arial"/>
                  <w:noProof/>
                  <w:szCs w:val="24"/>
                  <w:lang w:val="en-GB"/>
                </w:rPr>
                <m:t>-£150,000</m:t>
              </m:r>
            </m:num>
            <m:den>
              <m:r>
                <w:rPr>
                  <w:rFonts w:ascii="Cambria Math" w:hAnsi="Cambria Math" w:cs="Arial"/>
                  <w:noProof/>
                  <w:szCs w:val="24"/>
                  <w:lang w:val="en-GB"/>
                </w:rPr>
                <m:t>£1,850,000</m:t>
              </m:r>
            </m:den>
          </m:f>
          <m:r>
            <w:rPr>
              <w:rFonts w:ascii="Cambria Math" w:hAnsi="Cambria Math" w:cs="Arial"/>
              <w:noProof/>
              <w:szCs w:val="24"/>
              <w:lang w:val="en-GB"/>
            </w:rPr>
            <m:t>= -8.11%</m:t>
          </m:r>
        </m:oMath>
      </m:oMathPara>
    </w:p>
    <w:p w14:paraId="7089194C" w14:textId="0AE400D5" w:rsidR="00F73949" w:rsidRPr="001A18D4" w:rsidRDefault="005A122A" w:rsidP="00477B14">
      <w:pPr>
        <w:rPr>
          <w:rFonts w:cs="Arial"/>
          <w:noProof/>
          <w:szCs w:val="24"/>
          <w:lang w:val="en-GB"/>
        </w:rPr>
      </w:pPr>
      <w:r w:rsidRPr="001A18D4">
        <w:rPr>
          <w:rFonts w:cs="Arial"/>
          <w:noProof/>
          <w:szCs w:val="24"/>
          <w:lang w:val="en-GB"/>
        </w:rPr>
        <w:t>ROA ratio shows how efficiently the assets have been utilised to generate the net income of the company</w:t>
      </w:r>
      <w:r w:rsidR="00A72350" w:rsidRPr="001A18D4">
        <w:rPr>
          <w:rFonts w:cs="Arial"/>
          <w:noProof/>
          <w:szCs w:val="24"/>
          <w:lang w:val="en-GB"/>
        </w:rPr>
        <w:t xml:space="preserve"> (Johnson, 2017)</w:t>
      </w:r>
      <w:r w:rsidRPr="001A18D4">
        <w:rPr>
          <w:rFonts w:cs="Arial"/>
          <w:noProof/>
          <w:szCs w:val="24"/>
          <w:lang w:val="en-GB"/>
        </w:rPr>
        <w:t>. A decrease in both assets and the net profit has resulted in a negative return on assets in 2023. The company had a good position in 2021 and 2022 because it could generate positive returns in those years. But the following year, it experienced significant losses that reduced its asset position too. The lodge’s financial performance has deteriorated greatly in the last year.</w:t>
      </w:r>
    </w:p>
    <w:p w14:paraId="69DDAA68" w14:textId="6053F42C" w:rsidR="00A0402B" w:rsidRPr="001A18D4" w:rsidRDefault="003919E3" w:rsidP="00477B14">
      <w:pPr>
        <w:rPr>
          <w:rFonts w:cs="Arial"/>
          <w:noProof/>
          <w:szCs w:val="24"/>
          <w:lang w:val="en-GB"/>
        </w:rPr>
      </w:pPr>
      <w:r w:rsidRPr="001A18D4">
        <w:rPr>
          <w:rFonts w:cs="Arial"/>
          <w:noProof/>
          <w:szCs w:val="24"/>
          <w:lang w:val="en-GB"/>
        </w:rPr>
        <w:t>The profitability ratios show that the company has lost its profitability due to the inefficiency in asset utilisation and the proper strategic directions</w:t>
      </w:r>
      <w:r w:rsidR="00F05B7C" w:rsidRPr="001A18D4">
        <w:rPr>
          <w:rFonts w:cs="Arial"/>
          <w:noProof/>
          <w:szCs w:val="24"/>
          <w:lang w:val="en-GB"/>
        </w:rPr>
        <w:t xml:space="preserve"> (Johnson, 2017)</w:t>
      </w:r>
      <w:r w:rsidRPr="001A18D4">
        <w:rPr>
          <w:rFonts w:cs="Arial"/>
          <w:noProof/>
          <w:szCs w:val="24"/>
          <w:lang w:val="en-GB"/>
        </w:rPr>
        <w:t>. Seacrest Lodge is a leveraged company because it uses debt to finance its business activities. Hence, its solvency ratio needs to be evaluated to comprehend its financial performance. The debt-to-equity ratio has been calculated below:</w:t>
      </w:r>
    </w:p>
    <w:p w14:paraId="480A8DC4" w14:textId="55C9611B" w:rsidR="00022849" w:rsidRPr="001A18D4" w:rsidRDefault="00022849" w:rsidP="00477B14">
      <w:pPr>
        <w:rPr>
          <w:rFonts w:cs="Arial"/>
          <w:noProof/>
          <w:szCs w:val="24"/>
          <w:lang w:val="en-GB"/>
        </w:rPr>
      </w:pPr>
      <m:oMathPara>
        <m:oMath>
          <m:r>
            <w:rPr>
              <w:rFonts w:ascii="Cambria Math" w:hAnsi="Cambria Math" w:cs="Arial"/>
              <w:noProof/>
              <w:szCs w:val="24"/>
              <w:lang w:val="en-GB"/>
            </w:rPr>
            <m:t xml:space="preserve">Debt to Equity Ratio = </m:t>
          </m:r>
          <m:f>
            <m:fPr>
              <m:ctrlPr>
                <w:rPr>
                  <w:rFonts w:ascii="Cambria Math" w:hAnsi="Cambria Math" w:cs="Arial"/>
                  <w:i/>
                  <w:noProof/>
                  <w:szCs w:val="24"/>
                  <w:lang w:val="en-GB"/>
                </w:rPr>
              </m:ctrlPr>
            </m:fPr>
            <m:num>
              <m:r>
                <w:rPr>
                  <w:rFonts w:ascii="Cambria Math" w:hAnsi="Cambria Math" w:cs="Arial"/>
                  <w:noProof/>
                  <w:szCs w:val="24"/>
                  <w:lang w:val="en-GB"/>
                </w:rPr>
                <m:t>Total Debt</m:t>
              </m:r>
            </m:num>
            <m:den>
              <m:r>
                <w:rPr>
                  <w:rFonts w:ascii="Cambria Math" w:hAnsi="Cambria Math" w:cs="Arial"/>
                  <w:noProof/>
                  <w:szCs w:val="24"/>
                  <w:lang w:val="en-GB"/>
                </w:rPr>
                <m:t>Total Equity</m:t>
              </m:r>
            </m:den>
          </m:f>
        </m:oMath>
      </m:oMathPara>
    </w:p>
    <w:p w14:paraId="303223AD" w14:textId="65D6941A" w:rsidR="004C0E29" w:rsidRPr="001A18D4" w:rsidRDefault="00000000" w:rsidP="00477B14">
      <w:pPr>
        <w:rPr>
          <w:rFonts w:cs="Arial"/>
          <w:noProof/>
          <w:szCs w:val="24"/>
          <w:lang w:val="en-GB"/>
        </w:rPr>
      </w:pPr>
      <m:oMathPara>
        <m:oMath>
          <m:f>
            <m:fPr>
              <m:ctrlPr>
                <w:rPr>
                  <w:rFonts w:ascii="Cambria Math" w:hAnsi="Cambria Math" w:cs="Arial"/>
                  <w:i/>
                  <w:noProof/>
                  <w:szCs w:val="24"/>
                  <w:lang w:val="en-GB"/>
                </w:rPr>
              </m:ctrlPr>
            </m:fPr>
            <m:num>
              <m:r>
                <w:rPr>
                  <w:rFonts w:ascii="Cambria Math" w:hAnsi="Cambria Math" w:cs="Arial"/>
                  <w:noProof/>
                  <w:szCs w:val="24"/>
                  <w:lang w:val="en-GB"/>
                </w:rPr>
                <m:t>D</m:t>
              </m:r>
            </m:num>
            <m:den>
              <m:r>
                <w:rPr>
                  <w:rFonts w:ascii="Cambria Math" w:hAnsi="Cambria Math" w:cs="Arial"/>
                  <w:noProof/>
                  <w:szCs w:val="24"/>
                  <w:lang w:val="en-GB"/>
                </w:rPr>
                <m:t>E</m:t>
              </m:r>
            </m:den>
          </m:f>
          <m:r>
            <w:rPr>
              <w:rFonts w:ascii="Cambria Math" w:hAnsi="Cambria Math" w:cs="Arial"/>
              <w:noProof/>
              <w:szCs w:val="24"/>
              <w:lang w:val="en-GB"/>
            </w:rPr>
            <m:t>ratio in 2021 =</m:t>
          </m:r>
          <m:f>
            <m:fPr>
              <m:ctrlPr>
                <w:rPr>
                  <w:rFonts w:ascii="Cambria Math" w:hAnsi="Cambria Math" w:cs="Arial"/>
                  <w:i/>
                  <w:noProof/>
                  <w:szCs w:val="24"/>
                  <w:lang w:val="en-GB"/>
                </w:rPr>
              </m:ctrlPr>
            </m:fPr>
            <m:num>
              <m:r>
                <w:rPr>
                  <w:rFonts w:ascii="Cambria Math" w:hAnsi="Cambria Math" w:cs="Arial"/>
                  <w:noProof/>
                  <w:szCs w:val="24"/>
                  <w:lang w:val="en-GB"/>
                </w:rPr>
                <m:t>1,530,000</m:t>
              </m:r>
            </m:num>
            <m:den>
              <m:r>
                <w:rPr>
                  <w:rFonts w:ascii="Cambria Math" w:hAnsi="Cambria Math" w:cs="Arial"/>
                  <w:noProof/>
                  <w:szCs w:val="24"/>
                  <w:lang w:val="en-GB"/>
                </w:rPr>
                <m:t>620,000</m:t>
              </m:r>
            </m:den>
          </m:f>
          <m:r>
            <w:rPr>
              <w:rFonts w:ascii="Cambria Math" w:hAnsi="Cambria Math" w:cs="Arial"/>
              <w:noProof/>
              <w:szCs w:val="24"/>
              <w:lang w:val="en-GB"/>
            </w:rPr>
            <m:t>=2.47</m:t>
          </m:r>
        </m:oMath>
      </m:oMathPara>
    </w:p>
    <w:p w14:paraId="1022C863" w14:textId="7B291A0C" w:rsidR="004B13E2" w:rsidRPr="001A18D4" w:rsidRDefault="00000000" w:rsidP="00477B14">
      <w:pPr>
        <w:rPr>
          <w:rFonts w:cs="Arial"/>
          <w:noProof/>
          <w:szCs w:val="24"/>
          <w:lang w:val="en-GB"/>
        </w:rPr>
      </w:pPr>
      <m:oMathPara>
        <m:oMath>
          <m:f>
            <m:fPr>
              <m:ctrlPr>
                <w:rPr>
                  <w:rFonts w:ascii="Cambria Math" w:hAnsi="Cambria Math" w:cs="Arial"/>
                  <w:i/>
                  <w:noProof/>
                  <w:szCs w:val="24"/>
                  <w:lang w:val="en-GB"/>
                </w:rPr>
              </m:ctrlPr>
            </m:fPr>
            <m:num>
              <m:r>
                <w:rPr>
                  <w:rFonts w:ascii="Cambria Math" w:hAnsi="Cambria Math" w:cs="Arial"/>
                  <w:noProof/>
                  <w:szCs w:val="24"/>
                  <w:lang w:val="en-GB"/>
                </w:rPr>
                <m:t>D</m:t>
              </m:r>
            </m:num>
            <m:den>
              <m:r>
                <w:rPr>
                  <w:rFonts w:ascii="Cambria Math" w:hAnsi="Cambria Math" w:cs="Arial"/>
                  <w:noProof/>
                  <w:szCs w:val="24"/>
                  <w:lang w:val="en-GB"/>
                </w:rPr>
                <m:t>E</m:t>
              </m:r>
            </m:den>
          </m:f>
          <m:r>
            <w:rPr>
              <w:rFonts w:ascii="Cambria Math" w:hAnsi="Cambria Math" w:cs="Arial"/>
              <w:noProof/>
              <w:szCs w:val="24"/>
              <w:lang w:val="en-GB"/>
            </w:rPr>
            <m:t>ratio in 2022 =</m:t>
          </m:r>
          <m:f>
            <m:fPr>
              <m:ctrlPr>
                <w:rPr>
                  <w:rFonts w:ascii="Cambria Math" w:hAnsi="Cambria Math" w:cs="Arial"/>
                  <w:i/>
                  <w:noProof/>
                  <w:szCs w:val="24"/>
                  <w:lang w:val="en-GB"/>
                </w:rPr>
              </m:ctrlPr>
            </m:fPr>
            <m:num>
              <m:r>
                <w:rPr>
                  <w:rFonts w:ascii="Cambria Math" w:hAnsi="Cambria Math" w:cs="Arial"/>
                  <w:noProof/>
                  <w:szCs w:val="24"/>
                  <w:lang w:val="en-GB"/>
                </w:rPr>
                <m:t>1,540,000</m:t>
              </m:r>
            </m:num>
            <m:den>
              <m:r>
                <w:rPr>
                  <w:rFonts w:ascii="Cambria Math" w:hAnsi="Cambria Math" w:cs="Arial"/>
                  <w:noProof/>
                  <w:szCs w:val="24"/>
                  <w:lang w:val="en-GB"/>
                </w:rPr>
                <m:t>580,000</m:t>
              </m:r>
            </m:den>
          </m:f>
          <m:r>
            <w:rPr>
              <w:rFonts w:ascii="Cambria Math" w:hAnsi="Cambria Math" w:cs="Arial"/>
              <w:noProof/>
              <w:szCs w:val="24"/>
              <w:lang w:val="en-GB"/>
            </w:rPr>
            <m:t>=2.66</m:t>
          </m:r>
        </m:oMath>
      </m:oMathPara>
    </w:p>
    <w:p w14:paraId="483AFB7E" w14:textId="52B08A9C" w:rsidR="004B13E2" w:rsidRPr="001A18D4" w:rsidRDefault="00000000" w:rsidP="00477B14">
      <w:pPr>
        <w:rPr>
          <w:rFonts w:cs="Arial"/>
          <w:noProof/>
          <w:szCs w:val="24"/>
          <w:lang w:val="en-GB"/>
        </w:rPr>
      </w:pPr>
      <m:oMathPara>
        <m:oMath>
          <m:f>
            <m:fPr>
              <m:ctrlPr>
                <w:rPr>
                  <w:rFonts w:ascii="Cambria Math" w:hAnsi="Cambria Math" w:cs="Arial"/>
                  <w:i/>
                  <w:noProof/>
                  <w:szCs w:val="24"/>
                  <w:lang w:val="en-GB"/>
                </w:rPr>
              </m:ctrlPr>
            </m:fPr>
            <m:num>
              <m:r>
                <w:rPr>
                  <w:rFonts w:ascii="Cambria Math" w:hAnsi="Cambria Math" w:cs="Arial"/>
                  <w:noProof/>
                  <w:szCs w:val="24"/>
                  <w:lang w:val="en-GB"/>
                </w:rPr>
                <m:t>D</m:t>
              </m:r>
            </m:num>
            <m:den>
              <m:r>
                <w:rPr>
                  <w:rFonts w:ascii="Cambria Math" w:hAnsi="Cambria Math" w:cs="Arial"/>
                  <w:noProof/>
                  <w:szCs w:val="24"/>
                  <w:lang w:val="en-GB"/>
                </w:rPr>
                <m:t>E</m:t>
              </m:r>
            </m:den>
          </m:f>
          <m:r>
            <w:rPr>
              <w:rFonts w:ascii="Cambria Math" w:hAnsi="Cambria Math" w:cs="Arial"/>
              <w:noProof/>
              <w:szCs w:val="24"/>
              <w:lang w:val="en-GB"/>
            </w:rPr>
            <m:t>ratio in 2023 =</m:t>
          </m:r>
          <m:f>
            <m:fPr>
              <m:ctrlPr>
                <w:rPr>
                  <w:rFonts w:ascii="Cambria Math" w:hAnsi="Cambria Math" w:cs="Arial"/>
                  <w:i/>
                  <w:noProof/>
                  <w:szCs w:val="24"/>
                  <w:lang w:val="en-GB"/>
                </w:rPr>
              </m:ctrlPr>
            </m:fPr>
            <m:num>
              <m:r>
                <w:rPr>
                  <w:rFonts w:ascii="Cambria Math" w:hAnsi="Cambria Math" w:cs="Arial"/>
                  <w:noProof/>
                  <w:szCs w:val="24"/>
                  <w:lang w:val="en-GB"/>
                </w:rPr>
                <m:t>1,550,000</m:t>
              </m:r>
            </m:num>
            <m:den>
              <m:r>
                <w:rPr>
                  <w:rFonts w:ascii="Cambria Math" w:hAnsi="Cambria Math" w:cs="Arial"/>
                  <w:noProof/>
                  <w:szCs w:val="24"/>
                  <w:lang w:val="en-GB"/>
                </w:rPr>
                <m:t>300,000</m:t>
              </m:r>
            </m:den>
          </m:f>
          <m:r>
            <w:rPr>
              <w:rFonts w:ascii="Cambria Math" w:hAnsi="Cambria Math" w:cs="Arial"/>
              <w:noProof/>
              <w:szCs w:val="24"/>
              <w:lang w:val="en-GB"/>
            </w:rPr>
            <m:t>=5.17</m:t>
          </m:r>
        </m:oMath>
      </m:oMathPara>
    </w:p>
    <w:p w14:paraId="794F1C0F" w14:textId="6A323F60" w:rsidR="009055A5" w:rsidRPr="001A18D4" w:rsidRDefault="00ED7BDA" w:rsidP="00477B14">
      <w:pPr>
        <w:rPr>
          <w:rFonts w:cs="Arial"/>
          <w:noProof/>
          <w:szCs w:val="24"/>
          <w:lang w:val="en-GB"/>
        </w:rPr>
      </w:pPr>
      <w:r w:rsidRPr="001A18D4">
        <w:rPr>
          <w:rFonts w:cs="Arial"/>
          <w:noProof/>
          <w:szCs w:val="24"/>
          <w:lang w:val="en-GB"/>
        </w:rPr>
        <w:t xml:space="preserve">The use of debt has both positive and negative impacts on the company. Taking an optimal amount of debt can help the company to grow and attain higher returns. </w:t>
      </w:r>
      <w:r w:rsidRPr="001A18D4">
        <w:rPr>
          <w:rFonts w:cs="Arial"/>
          <w:noProof/>
          <w:szCs w:val="24"/>
          <w:lang w:val="en-GB"/>
        </w:rPr>
        <w:lastRenderedPageBreak/>
        <w:t>However, taking too much debt can lead to insolvency</w:t>
      </w:r>
      <w:r w:rsidR="00146F7F" w:rsidRPr="001A18D4">
        <w:rPr>
          <w:rFonts w:cs="Arial"/>
          <w:noProof/>
          <w:szCs w:val="24"/>
          <w:lang w:val="en-GB"/>
        </w:rPr>
        <w:t xml:space="preserve"> (Garcia Osma, Gomez-Conde and de las Heras, 2018)</w:t>
      </w:r>
      <w:r w:rsidRPr="001A18D4">
        <w:rPr>
          <w:rFonts w:cs="Arial"/>
          <w:noProof/>
          <w:szCs w:val="24"/>
          <w:lang w:val="en-GB"/>
        </w:rPr>
        <w:t>. The lodge took 2.47 times the debt of the equity helped the company to get higher returns. The debt position increased significantly in 2023 which turned out to be 5.17 times the equity. Such a higher debt position has led to insolvency. Because the debtors will not be able to get back their investment in the current situation. Therefore, the company has been suffering from insolvency and financial distress.</w:t>
      </w:r>
    </w:p>
    <w:p w14:paraId="3D263F2D" w14:textId="32BB1004" w:rsidR="009055A5" w:rsidRPr="001A18D4" w:rsidRDefault="00C376DA" w:rsidP="00477B14">
      <w:pPr>
        <w:pStyle w:val="Heading1"/>
        <w:rPr>
          <w:rFonts w:cs="Arial"/>
          <w:b w:val="0"/>
          <w:noProof/>
          <w:lang w:val="en-GB"/>
        </w:rPr>
      </w:pPr>
      <w:bookmarkStart w:id="2" w:name="_Toc158668042"/>
      <w:r w:rsidRPr="001A18D4">
        <w:rPr>
          <w:rFonts w:cs="Arial"/>
          <w:noProof/>
          <w:lang w:val="en-GB"/>
        </w:rPr>
        <w:t>Reasons</w:t>
      </w:r>
      <w:r w:rsidR="00292D15" w:rsidRPr="001A18D4">
        <w:rPr>
          <w:rFonts w:cs="Arial"/>
          <w:noProof/>
          <w:lang w:val="en-GB"/>
        </w:rPr>
        <w:t xml:space="preserve"> </w:t>
      </w:r>
      <w:r w:rsidRPr="001A18D4">
        <w:rPr>
          <w:rFonts w:cs="Arial"/>
          <w:noProof/>
          <w:lang w:val="en-GB"/>
        </w:rPr>
        <w:t>Behind the Financial Distress of the Company</w:t>
      </w:r>
      <w:bookmarkEnd w:id="2"/>
      <w:r w:rsidRPr="001A18D4">
        <w:rPr>
          <w:rFonts w:cs="Arial"/>
          <w:noProof/>
          <w:lang w:val="en-GB"/>
        </w:rPr>
        <w:t xml:space="preserve"> </w:t>
      </w:r>
    </w:p>
    <w:p w14:paraId="36E79582" w14:textId="77777777" w:rsidR="00AE73FC" w:rsidRPr="001A18D4" w:rsidRDefault="00AE73FC" w:rsidP="00477B14">
      <w:pPr>
        <w:rPr>
          <w:rFonts w:cs="Arial"/>
          <w:noProof/>
          <w:szCs w:val="24"/>
          <w:lang w:val="en-GB"/>
        </w:rPr>
      </w:pPr>
      <w:r w:rsidRPr="001A18D4">
        <w:rPr>
          <w:rFonts w:cs="Arial"/>
          <w:noProof/>
          <w:szCs w:val="24"/>
          <w:lang w:val="en-GB"/>
        </w:rPr>
        <w:t xml:space="preserve">There are various reasons why the company has been experiencing financial instability and distress. These reasons are identified and explained below: </w:t>
      </w:r>
    </w:p>
    <w:p w14:paraId="6D5F75EA" w14:textId="6362A29E" w:rsidR="00AE73FC" w:rsidRPr="001A18D4" w:rsidRDefault="00AE73FC" w:rsidP="00477B14">
      <w:pPr>
        <w:pStyle w:val="ListParagraph"/>
        <w:numPr>
          <w:ilvl w:val="0"/>
          <w:numId w:val="2"/>
        </w:numPr>
        <w:rPr>
          <w:rFonts w:cs="Arial"/>
          <w:noProof/>
          <w:szCs w:val="24"/>
          <w:lang w:val="en-GB"/>
        </w:rPr>
      </w:pPr>
      <w:r w:rsidRPr="001A18D4">
        <w:rPr>
          <w:rFonts w:cs="Arial"/>
          <w:noProof/>
          <w:szCs w:val="24"/>
          <w:lang w:val="en-GB"/>
        </w:rPr>
        <w:t>Poor Management: A company can face financial distress and instability due to poor management. When the company has poor management, it fails to plan appropriately and execute the plan properly. The strategies that it makes become ineffective or fail to achieve the organisational goals and objectives</w:t>
      </w:r>
      <w:r w:rsidR="008713CC" w:rsidRPr="001A18D4">
        <w:rPr>
          <w:rFonts w:cs="Arial"/>
          <w:noProof/>
          <w:szCs w:val="24"/>
          <w:lang w:val="en-GB"/>
        </w:rPr>
        <w:t xml:space="preserve"> </w:t>
      </w:r>
      <w:r w:rsidR="00E86F51" w:rsidRPr="001A18D4">
        <w:rPr>
          <w:rFonts w:cs="Arial"/>
          <w:noProof/>
          <w:szCs w:val="24"/>
          <w:lang w:val="en-GB"/>
        </w:rPr>
        <w:t>(Walker, 2021)</w:t>
      </w:r>
      <w:r w:rsidRPr="001A18D4">
        <w:rPr>
          <w:rFonts w:cs="Arial"/>
          <w:noProof/>
          <w:szCs w:val="24"/>
          <w:lang w:val="en-GB"/>
        </w:rPr>
        <w:t xml:space="preserve">. The case study shows that the lodge's management was not efficient and effective in planning and executing the plan. The management failed to perform a comprehensive market analysis and identify the competitive factors. Since it has not addressed the competitive challenges, the company faced </w:t>
      </w:r>
      <w:r w:rsidR="003B56E1" w:rsidRPr="001A18D4">
        <w:rPr>
          <w:rFonts w:cs="Arial"/>
          <w:noProof/>
          <w:szCs w:val="24"/>
          <w:lang w:val="en-GB"/>
        </w:rPr>
        <w:t xml:space="preserve">a </w:t>
      </w:r>
      <w:r w:rsidRPr="001A18D4">
        <w:rPr>
          <w:rFonts w:cs="Arial"/>
          <w:noProof/>
          <w:szCs w:val="24"/>
          <w:lang w:val="en-GB"/>
        </w:rPr>
        <w:t xml:space="preserve">decline in its revenue and overall profitability. </w:t>
      </w:r>
    </w:p>
    <w:p w14:paraId="4B246F4B" w14:textId="5A057FA9" w:rsidR="00C376DA" w:rsidRPr="001A18D4" w:rsidRDefault="00AE73FC" w:rsidP="00477B14">
      <w:pPr>
        <w:pStyle w:val="ListParagraph"/>
        <w:numPr>
          <w:ilvl w:val="0"/>
          <w:numId w:val="2"/>
        </w:numPr>
        <w:rPr>
          <w:rFonts w:cs="Arial"/>
          <w:noProof/>
          <w:szCs w:val="24"/>
          <w:lang w:val="en-GB"/>
        </w:rPr>
      </w:pPr>
      <w:r w:rsidRPr="001A18D4">
        <w:rPr>
          <w:rFonts w:cs="Arial"/>
          <w:noProof/>
          <w:szCs w:val="24"/>
          <w:lang w:val="en-GB"/>
        </w:rPr>
        <w:t>High Competition: Intense competition can be detrimental to the firm's financial health. Because the rival firms come with innovative solutions to attract the target market</w:t>
      </w:r>
      <w:r w:rsidR="00C45672" w:rsidRPr="001A18D4">
        <w:rPr>
          <w:rFonts w:cs="Arial"/>
          <w:noProof/>
          <w:szCs w:val="24"/>
          <w:lang w:val="en-GB"/>
        </w:rPr>
        <w:t xml:space="preserve"> (Viglia, Mauri and Carricano, 2016)</w:t>
      </w:r>
      <w:r w:rsidRPr="001A18D4">
        <w:rPr>
          <w:rFonts w:cs="Arial"/>
          <w:noProof/>
          <w:szCs w:val="24"/>
          <w:lang w:val="en-GB"/>
        </w:rPr>
        <w:t>. The company's location is highly competitive and there are many modern lodge</w:t>
      </w:r>
      <w:r w:rsidR="003B56E1" w:rsidRPr="001A18D4">
        <w:rPr>
          <w:rFonts w:cs="Arial"/>
          <w:noProof/>
          <w:szCs w:val="24"/>
          <w:lang w:val="en-GB"/>
        </w:rPr>
        <w:t>s</w:t>
      </w:r>
      <w:r w:rsidRPr="001A18D4">
        <w:rPr>
          <w:rFonts w:cs="Arial"/>
          <w:noProof/>
          <w:szCs w:val="24"/>
          <w:lang w:val="en-GB"/>
        </w:rPr>
        <w:t xml:space="preserve"> that have affected the market share of the company. Hence, the occupancy rate has consistently declined.</w:t>
      </w:r>
    </w:p>
    <w:p w14:paraId="3DD9B361" w14:textId="217956AD" w:rsidR="00C376DA" w:rsidRPr="001A18D4" w:rsidRDefault="0098245A" w:rsidP="00477B14">
      <w:pPr>
        <w:pStyle w:val="ListParagraph"/>
        <w:numPr>
          <w:ilvl w:val="0"/>
          <w:numId w:val="2"/>
        </w:numPr>
        <w:rPr>
          <w:rFonts w:cs="Arial"/>
          <w:noProof/>
          <w:szCs w:val="24"/>
          <w:lang w:val="en-GB"/>
        </w:rPr>
      </w:pPr>
      <w:r w:rsidRPr="001A18D4">
        <w:rPr>
          <w:rFonts w:cs="Arial"/>
          <w:noProof/>
          <w:szCs w:val="24"/>
          <w:lang w:val="en-GB"/>
        </w:rPr>
        <w:t>Changing Customer Preferences: An established company can face financial distress and instability in the long-term if it does not adapt to the changing market preferences. The hospitality industry is highly challenging for businesses because the customer's tastes and preferences change quickly. The market trend influences the service delivery of the hotels</w:t>
      </w:r>
      <w:r w:rsidR="00827F5F" w:rsidRPr="001A18D4">
        <w:rPr>
          <w:rFonts w:cs="Arial"/>
          <w:noProof/>
          <w:szCs w:val="24"/>
          <w:lang w:val="en-GB"/>
        </w:rPr>
        <w:t xml:space="preserve"> (Srivastava and Kumar, 2021)</w:t>
      </w:r>
      <w:r w:rsidRPr="001A18D4">
        <w:rPr>
          <w:rFonts w:cs="Arial"/>
          <w:noProof/>
          <w:szCs w:val="24"/>
          <w:lang w:val="en-GB"/>
        </w:rPr>
        <w:t xml:space="preserve">. The case study shows that the company's financial distress started when the revenue started to decrease. The revenue declined due to the changing customer's preferences. The </w:t>
      </w:r>
      <w:r w:rsidRPr="001A18D4">
        <w:rPr>
          <w:rFonts w:cs="Arial"/>
          <w:noProof/>
          <w:szCs w:val="24"/>
          <w:lang w:val="en-GB"/>
        </w:rPr>
        <w:lastRenderedPageBreak/>
        <w:t xml:space="preserve">company failed to understand the customer's preferences and did not adapted to the market trend. As a result, the company had </w:t>
      </w:r>
      <w:r w:rsidR="003B56E1" w:rsidRPr="001A18D4">
        <w:rPr>
          <w:rFonts w:cs="Arial"/>
          <w:noProof/>
          <w:szCs w:val="24"/>
          <w:lang w:val="en-GB"/>
        </w:rPr>
        <w:t xml:space="preserve">a </w:t>
      </w:r>
      <w:r w:rsidRPr="001A18D4">
        <w:rPr>
          <w:rFonts w:cs="Arial"/>
          <w:noProof/>
          <w:szCs w:val="24"/>
          <w:lang w:val="en-GB"/>
        </w:rPr>
        <w:t>negative impact on its profitability.</w:t>
      </w:r>
    </w:p>
    <w:p w14:paraId="598A414B" w14:textId="71477955" w:rsidR="00C376DA" w:rsidRPr="001A18D4" w:rsidRDefault="00B413C0" w:rsidP="00477B14">
      <w:pPr>
        <w:pStyle w:val="ListParagraph"/>
        <w:numPr>
          <w:ilvl w:val="0"/>
          <w:numId w:val="2"/>
        </w:numPr>
        <w:rPr>
          <w:rFonts w:cs="Arial"/>
          <w:noProof/>
          <w:szCs w:val="24"/>
          <w:lang w:val="en-GB"/>
        </w:rPr>
      </w:pPr>
      <w:r w:rsidRPr="001A18D4">
        <w:rPr>
          <w:rFonts w:cs="Arial"/>
          <w:noProof/>
          <w:szCs w:val="24"/>
          <w:lang w:val="en-GB"/>
        </w:rPr>
        <w:t>The Impact of the COVID-19 Pandemic: The recent development, of the COVID-19 pandemic, had a significant impact on the hospitality industry. Countries around the world suffered from this pandemic</w:t>
      </w:r>
      <w:r w:rsidR="00214CCA" w:rsidRPr="001A18D4">
        <w:rPr>
          <w:rFonts w:cs="Arial"/>
          <w:noProof/>
          <w:szCs w:val="24"/>
          <w:lang w:val="en-GB"/>
        </w:rPr>
        <w:t xml:space="preserve"> (Davahli et al., 2020)</w:t>
      </w:r>
      <w:r w:rsidRPr="001A18D4">
        <w:rPr>
          <w:rFonts w:cs="Arial"/>
          <w:noProof/>
          <w:szCs w:val="24"/>
          <w:lang w:val="en-GB"/>
        </w:rPr>
        <w:t>. The UK as well as other countries had government restrictions on businesses and lockdowns on public movement. Hence, the hospitality industry suffered the most from the incident. People were very concerned about safety and health issues</w:t>
      </w:r>
      <w:r w:rsidR="00A0582A" w:rsidRPr="001A18D4">
        <w:rPr>
          <w:rFonts w:cs="Arial"/>
          <w:noProof/>
          <w:szCs w:val="24"/>
          <w:lang w:val="en-GB"/>
        </w:rPr>
        <w:t xml:space="preserve"> (Srivastava and Kumar, 2021)</w:t>
      </w:r>
      <w:r w:rsidRPr="001A18D4">
        <w:rPr>
          <w:rFonts w:cs="Arial"/>
          <w:noProof/>
          <w:szCs w:val="24"/>
          <w:lang w:val="en-GB"/>
        </w:rPr>
        <w:t>. The demand for luxury and other hotel services declined greatly. The case study shows that the company has financial distress because of the loss of revenue. The COVID-19 pandemic has contributed to the financial performance of the company.</w:t>
      </w:r>
    </w:p>
    <w:p w14:paraId="6443277B" w14:textId="6C93C90E" w:rsidR="00EA3863" w:rsidRPr="001A18D4" w:rsidRDefault="00EA3863" w:rsidP="00477B14">
      <w:pPr>
        <w:pStyle w:val="Heading1"/>
        <w:rPr>
          <w:rFonts w:cs="Arial"/>
          <w:b w:val="0"/>
          <w:noProof/>
          <w:lang w:val="en-GB"/>
        </w:rPr>
      </w:pPr>
      <w:bookmarkStart w:id="3" w:name="_Toc158668043"/>
      <w:r w:rsidRPr="001A18D4">
        <w:rPr>
          <w:rFonts w:cs="Arial"/>
          <w:noProof/>
          <w:lang w:val="en-GB"/>
        </w:rPr>
        <w:t>Recommended Turnaround Strategies to Overcome the Financial Distress</w:t>
      </w:r>
      <w:bookmarkEnd w:id="3"/>
      <w:r w:rsidRPr="001A18D4">
        <w:rPr>
          <w:rFonts w:cs="Arial"/>
          <w:noProof/>
          <w:lang w:val="en-GB"/>
        </w:rPr>
        <w:t xml:space="preserve"> </w:t>
      </w:r>
    </w:p>
    <w:p w14:paraId="4D279E1B" w14:textId="10583052" w:rsidR="006A5A2E" w:rsidRPr="001A18D4" w:rsidRDefault="006A5A2E" w:rsidP="00477B14">
      <w:pPr>
        <w:rPr>
          <w:rFonts w:cs="Arial"/>
          <w:noProof/>
          <w:szCs w:val="24"/>
          <w:lang w:val="en-GB"/>
        </w:rPr>
      </w:pPr>
      <w:r w:rsidRPr="001A18D4">
        <w:rPr>
          <w:rFonts w:cs="Arial"/>
          <w:noProof/>
          <w:szCs w:val="24"/>
          <w:lang w:val="en-GB"/>
        </w:rPr>
        <w:t>The financial management and the leadership of the company need to make crucial decisions about the company to address the growing issues and overcome the financial distress</w:t>
      </w:r>
      <w:r w:rsidR="005A413B" w:rsidRPr="001A18D4">
        <w:rPr>
          <w:rFonts w:cs="Arial"/>
          <w:noProof/>
          <w:szCs w:val="24"/>
          <w:lang w:val="en-GB"/>
        </w:rPr>
        <w:t xml:space="preserve"> (</w:t>
      </w:r>
      <w:r w:rsidR="005A413B" w:rsidRPr="001A18D4">
        <w:rPr>
          <w:rFonts w:cs="Arial"/>
          <w:noProof/>
          <w:kern w:val="0"/>
          <w:szCs w:val="24"/>
          <w:lang w:val="en-GB"/>
          <w14:ligatures w14:val="none"/>
        </w:rPr>
        <w:t>Sudarsanam and Lai, 2001)</w:t>
      </w:r>
      <w:r w:rsidRPr="001A18D4">
        <w:rPr>
          <w:rFonts w:cs="Arial"/>
          <w:noProof/>
          <w:szCs w:val="24"/>
          <w:lang w:val="en-GB"/>
        </w:rPr>
        <w:t xml:space="preserve">. The company can make the following turnaround strategies to improve its financial performance and overcome the current situation: </w:t>
      </w:r>
    </w:p>
    <w:p w14:paraId="4CED5D24" w14:textId="46FEF88C" w:rsidR="00272E82" w:rsidRPr="001A18D4" w:rsidRDefault="006A5A2E" w:rsidP="00477B14">
      <w:pPr>
        <w:pStyle w:val="ListParagraph"/>
        <w:numPr>
          <w:ilvl w:val="0"/>
          <w:numId w:val="2"/>
        </w:numPr>
        <w:rPr>
          <w:rFonts w:cs="Arial"/>
          <w:noProof/>
          <w:szCs w:val="24"/>
          <w:lang w:val="en-GB"/>
        </w:rPr>
      </w:pPr>
      <w:r w:rsidRPr="001A18D4">
        <w:rPr>
          <w:rFonts w:cs="Arial"/>
          <w:noProof/>
          <w:szCs w:val="24"/>
          <w:lang w:val="en-GB"/>
        </w:rPr>
        <w:t xml:space="preserve">Market Research and Customer Segmentation: The management should perform comprehensive market research for understanding the customer's needs and preferences. They have to analyse the market competitiveness and other external factors that can affect the company's performance. They may prefer PESTLE analysis, Porter's five forces framework, and SWOT analysis. These </w:t>
      </w:r>
      <w:r w:rsidR="00272E82" w:rsidRPr="001A18D4">
        <w:rPr>
          <w:rFonts w:cs="Arial"/>
          <w:noProof/>
          <w:szCs w:val="24"/>
          <w:lang w:val="en-GB"/>
        </w:rPr>
        <w:t>frameworks</w:t>
      </w:r>
      <w:r w:rsidRPr="001A18D4">
        <w:rPr>
          <w:rFonts w:cs="Arial"/>
          <w:noProof/>
          <w:szCs w:val="24"/>
          <w:lang w:val="en-GB"/>
        </w:rPr>
        <w:t xml:space="preserve"> can help the company to assess the market position, external forces, and resource capabilities</w:t>
      </w:r>
      <w:r w:rsidR="006D7481" w:rsidRPr="001A18D4">
        <w:rPr>
          <w:rFonts w:cs="Arial"/>
          <w:noProof/>
          <w:szCs w:val="24"/>
          <w:lang w:val="en-GB"/>
        </w:rPr>
        <w:t xml:space="preserve"> (Rothaermel, 2021)</w:t>
      </w:r>
      <w:r w:rsidRPr="001A18D4">
        <w:rPr>
          <w:rFonts w:cs="Arial"/>
          <w:noProof/>
          <w:szCs w:val="24"/>
          <w:lang w:val="en-GB"/>
        </w:rPr>
        <w:t>. Based on these analyses, the management has to make effective strategies to attract the target market</w:t>
      </w:r>
      <w:r w:rsidR="006D7481" w:rsidRPr="001A18D4">
        <w:rPr>
          <w:rFonts w:cs="Arial"/>
          <w:noProof/>
          <w:szCs w:val="24"/>
          <w:lang w:val="en-GB"/>
        </w:rPr>
        <w:t xml:space="preserve">. </w:t>
      </w:r>
      <w:r w:rsidRPr="001A18D4">
        <w:rPr>
          <w:rFonts w:cs="Arial"/>
          <w:noProof/>
          <w:szCs w:val="24"/>
          <w:lang w:val="en-GB"/>
        </w:rPr>
        <w:t>Market segmentation strategy involves dividing the market into various segments based on certain characteristics and factors. The company should target the most profitable market segment and offer the market offerings to attract the market segment</w:t>
      </w:r>
      <w:r w:rsidR="00783ED8" w:rsidRPr="001A18D4">
        <w:rPr>
          <w:rFonts w:cs="Arial"/>
          <w:noProof/>
          <w:szCs w:val="24"/>
          <w:lang w:val="en-GB"/>
        </w:rPr>
        <w:t xml:space="preserve"> (Walker, 2021)</w:t>
      </w:r>
      <w:r w:rsidRPr="001A18D4">
        <w:rPr>
          <w:rFonts w:cs="Arial"/>
          <w:noProof/>
          <w:szCs w:val="24"/>
          <w:lang w:val="en-GB"/>
        </w:rPr>
        <w:t>. It can enhance the revenue generation of the company.</w:t>
      </w:r>
      <w:r w:rsidR="00272E82" w:rsidRPr="001A18D4">
        <w:rPr>
          <w:rFonts w:cs="Arial"/>
          <w:noProof/>
          <w:szCs w:val="24"/>
          <w:lang w:val="en-GB"/>
        </w:rPr>
        <w:t xml:space="preserve"> </w:t>
      </w:r>
    </w:p>
    <w:p w14:paraId="375E5488" w14:textId="26771E6C" w:rsidR="00553DF8" w:rsidRPr="001A18D4" w:rsidRDefault="00FE4BE2" w:rsidP="00477B14">
      <w:pPr>
        <w:pStyle w:val="ListParagraph"/>
        <w:numPr>
          <w:ilvl w:val="0"/>
          <w:numId w:val="2"/>
        </w:numPr>
        <w:rPr>
          <w:rFonts w:cs="Arial"/>
          <w:noProof/>
          <w:szCs w:val="24"/>
          <w:lang w:val="en-GB"/>
        </w:rPr>
      </w:pPr>
      <w:r w:rsidRPr="001A18D4">
        <w:rPr>
          <w:rFonts w:cs="Arial"/>
          <w:noProof/>
          <w:szCs w:val="24"/>
          <w:lang w:val="en-GB"/>
        </w:rPr>
        <w:lastRenderedPageBreak/>
        <w:t>Dynamic Pricing and Revenue Management System: The company can apply a dynamic pricing strategy by utilising the revenue management system. The revenue management system keeps a track record of market factors such as supply and demand</w:t>
      </w:r>
      <w:r w:rsidR="00E86F51" w:rsidRPr="001A18D4">
        <w:rPr>
          <w:rFonts w:cs="Arial"/>
          <w:noProof/>
          <w:szCs w:val="24"/>
          <w:lang w:val="en-GB"/>
        </w:rPr>
        <w:t xml:space="preserve"> </w:t>
      </w:r>
      <w:r w:rsidR="009402C5" w:rsidRPr="001A18D4">
        <w:rPr>
          <w:rFonts w:cs="Arial"/>
          <w:noProof/>
          <w:szCs w:val="24"/>
          <w:lang w:val="en-GB"/>
        </w:rPr>
        <w:t xml:space="preserve">(Stuart-Hill and Parker, 2014). </w:t>
      </w:r>
      <w:r w:rsidRPr="001A18D4">
        <w:rPr>
          <w:rFonts w:cs="Arial"/>
          <w:noProof/>
          <w:szCs w:val="24"/>
          <w:lang w:val="en-GB"/>
        </w:rPr>
        <w:t>Analysing these factors, it offers dynamic prices. The price can change based on the supply and demand. This strategy is helpful in increasing the occupancy rate. As customers are getting their expected prices, they will make purchases of the services</w:t>
      </w:r>
      <w:r w:rsidR="009402C5" w:rsidRPr="001A18D4">
        <w:rPr>
          <w:rFonts w:cs="Arial"/>
          <w:noProof/>
          <w:szCs w:val="24"/>
          <w:lang w:val="en-GB"/>
        </w:rPr>
        <w:t>.</w:t>
      </w:r>
    </w:p>
    <w:p w14:paraId="70DC7301" w14:textId="64A1EF27" w:rsidR="00EB5E19" w:rsidRPr="001A18D4" w:rsidRDefault="00BE193F" w:rsidP="00477B14">
      <w:pPr>
        <w:pStyle w:val="ListParagraph"/>
        <w:numPr>
          <w:ilvl w:val="0"/>
          <w:numId w:val="2"/>
        </w:numPr>
        <w:rPr>
          <w:rFonts w:cs="Arial"/>
          <w:noProof/>
          <w:szCs w:val="24"/>
          <w:lang w:val="en-GB"/>
        </w:rPr>
      </w:pPr>
      <w:r w:rsidRPr="001A18D4">
        <w:rPr>
          <w:rFonts w:cs="Arial"/>
          <w:noProof/>
          <w:szCs w:val="24"/>
          <w:lang w:val="en-GB"/>
        </w:rPr>
        <w:t xml:space="preserve">Introducing New Services and Improving the Service Quality: The company may seek to identify new sources for revenue generation. The primary challenge to improve the financial condition is to increase the revenue inflow. To overcome the challenge, the management has to identify new sources for revenue generation. They can offer personalised services to the guests and offer them various room services, </w:t>
      </w:r>
      <w:r w:rsidR="00211400" w:rsidRPr="001A18D4">
        <w:rPr>
          <w:rFonts w:cs="Arial"/>
          <w:noProof/>
          <w:szCs w:val="24"/>
          <w:lang w:val="en-GB"/>
        </w:rPr>
        <w:t xml:space="preserve">and unique facilities in the </w:t>
      </w:r>
      <w:r w:rsidRPr="001A18D4">
        <w:rPr>
          <w:rFonts w:cs="Arial"/>
          <w:noProof/>
          <w:szCs w:val="24"/>
          <w:lang w:val="en-GB"/>
        </w:rPr>
        <w:t>dining options, bars, and other sources to generate more revenue</w:t>
      </w:r>
      <w:r w:rsidR="002850CC" w:rsidRPr="001A18D4">
        <w:rPr>
          <w:rFonts w:cs="Arial"/>
          <w:noProof/>
          <w:szCs w:val="24"/>
          <w:lang w:val="en-GB"/>
        </w:rPr>
        <w:t xml:space="preserve"> (Walker, 2021)</w:t>
      </w:r>
      <w:r w:rsidRPr="001A18D4">
        <w:rPr>
          <w:rFonts w:cs="Arial"/>
          <w:noProof/>
          <w:szCs w:val="24"/>
          <w:lang w:val="en-GB"/>
        </w:rPr>
        <w:t>. A diversified portfolio of services can help the company to create a strong position in the market and outperform its competitors. In addition to this, the management should focus on the service quality of the company. Service quality is crucial for guest satisfaction. The management should apply the SERVQUAL model to improve the hospitality services. The model has five dimensions of service: reliability, assurance, tangible, empathy, and responsiveness. Assessing these five dimensions can help the company to improve its service quality. Improving the service quality can make the customers loyal to the business influencing them to make repetitive purchases</w:t>
      </w:r>
      <w:r w:rsidR="00651FC4" w:rsidRPr="001A18D4">
        <w:rPr>
          <w:rFonts w:cs="Arial"/>
          <w:noProof/>
          <w:szCs w:val="24"/>
          <w:lang w:val="en-GB"/>
        </w:rPr>
        <w:t xml:space="preserve"> (</w:t>
      </w:r>
      <w:r w:rsidR="00651FC4" w:rsidRPr="001A18D4">
        <w:rPr>
          <w:rFonts w:cs="Arial"/>
          <w:noProof/>
          <w:kern w:val="0"/>
          <w:szCs w:val="24"/>
          <w:lang w:val="en-GB"/>
          <w14:ligatures w14:val="none"/>
        </w:rPr>
        <w:t>Puri and Singh</w:t>
      </w:r>
      <w:r w:rsidR="00651FC4" w:rsidRPr="001A18D4">
        <w:rPr>
          <w:rFonts w:cs="Arial"/>
          <w:noProof/>
          <w:szCs w:val="24"/>
          <w:lang w:val="en-GB"/>
        </w:rPr>
        <w:t>, 2018)</w:t>
      </w:r>
      <w:r w:rsidRPr="001A18D4">
        <w:rPr>
          <w:rFonts w:cs="Arial"/>
          <w:noProof/>
          <w:szCs w:val="24"/>
          <w:lang w:val="en-GB"/>
        </w:rPr>
        <w:t>. The customers can also act as word-of-mouth to brand the company positively.</w:t>
      </w:r>
      <w:r w:rsidR="00EB5E19" w:rsidRPr="001A18D4">
        <w:rPr>
          <w:rFonts w:cs="Arial"/>
          <w:noProof/>
          <w:szCs w:val="24"/>
          <w:lang w:val="en-GB"/>
        </w:rPr>
        <w:t xml:space="preserve"> </w:t>
      </w:r>
    </w:p>
    <w:p w14:paraId="7C9500FD" w14:textId="43770EDF" w:rsidR="00EA3863" w:rsidRPr="001A18D4" w:rsidRDefault="00EB5E19" w:rsidP="00477B14">
      <w:pPr>
        <w:pStyle w:val="ListParagraph"/>
        <w:numPr>
          <w:ilvl w:val="0"/>
          <w:numId w:val="2"/>
        </w:numPr>
        <w:rPr>
          <w:rFonts w:cs="Arial"/>
          <w:noProof/>
          <w:szCs w:val="24"/>
          <w:lang w:val="en-GB"/>
        </w:rPr>
      </w:pPr>
      <w:r w:rsidRPr="001A18D4">
        <w:rPr>
          <w:rFonts w:cs="Arial"/>
          <w:noProof/>
          <w:szCs w:val="24"/>
          <w:lang w:val="en-GB"/>
        </w:rPr>
        <w:t>Upgradation of Property and Equipment: The company has taken a significant amount of debt. The funds are used in the operating activities of the company. The management has to utilise the debt effectively. It should utilise the funds in the upgradation of properties and equipment. Because the initiative is necessary for increasing the attractiveness of the luxury establishment. Moreover, the customers will get enhanced experience from the implementation of the initiative. The company can increase customer satisfaction and drive sales revenue</w:t>
      </w:r>
      <w:r w:rsidR="00CD1B2C" w:rsidRPr="001A18D4">
        <w:rPr>
          <w:rFonts w:cs="Arial"/>
          <w:noProof/>
          <w:szCs w:val="24"/>
          <w:lang w:val="en-GB"/>
        </w:rPr>
        <w:t xml:space="preserve"> (Stuart-Hill and Parker, 2014)</w:t>
      </w:r>
      <w:r w:rsidRPr="001A18D4">
        <w:rPr>
          <w:rFonts w:cs="Arial"/>
          <w:noProof/>
          <w:szCs w:val="24"/>
          <w:lang w:val="en-GB"/>
        </w:rPr>
        <w:t>.</w:t>
      </w:r>
      <w:r w:rsidR="00EA3863" w:rsidRPr="001A18D4">
        <w:rPr>
          <w:rFonts w:cs="Arial"/>
          <w:noProof/>
          <w:szCs w:val="24"/>
          <w:lang w:val="en-GB"/>
        </w:rPr>
        <w:br w:type="page"/>
      </w:r>
    </w:p>
    <w:p w14:paraId="2EAAE158" w14:textId="1FC6655B" w:rsidR="00EA3863" w:rsidRPr="001A18D4" w:rsidRDefault="00EA3863" w:rsidP="00477B14">
      <w:pPr>
        <w:pStyle w:val="Heading1"/>
        <w:rPr>
          <w:rFonts w:cs="Arial"/>
          <w:b w:val="0"/>
          <w:noProof/>
          <w:lang w:val="en-GB"/>
        </w:rPr>
      </w:pPr>
      <w:bookmarkStart w:id="4" w:name="_Toc158668044"/>
      <w:r w:rsidRPr="001A18D4">
        <w:rPr>
          <w:rFonts w:cs="Arial"/>
          <w:noProof/>
          <w:lang w:val="en-GB"/>
        </w:rPr>
        <w:lastRenderedPageBreak/>
        <w:t>Conclusion</w:t>
      </w:r>
      <w:bookmarkEnd w:id="4"/>
      <w:r w:rsidRPr="001A18D4">
        <w:rPr>
          <w:rFonts w:cs="Arial"/>
          <w:noProof/>
          <w:lang w:val="en-GB"/>
        </w:rPr>
        <w:t xml:space="preserve"> </w:t>
      </w:r>
    </w:p>
    <w:p w14:paraId="192B2549" w14:textId="139A5CE2" w:rsidR="00EA3863" w:rsidRPr="001A18D4" w:rsidRDefault="0089334C" w:rsidP="00477B14">
      <w:pPr>
        <w:rPr>
          <w:rFonts w:cs="Arial"/>
          <w:noProof/>
          <w:szCs w:val="24"/>
          <w:lang w:val="en-GB"/>
        </w:rPr>
      </w:pPr>
      <w:r w:rsidRPr="001A18D4">
        <w:rPr>
          <w:rFonts w:cs="Arial"/>
          <w:noProof/>
          <w:szCs w:val="24"/>
          <w:lang w:val="en-GB"/>
        </w:rPr>
        <w:t>The Seacrest Lodge has been experiencing financial distress in the last year. The company started to lose its profitability and performance in 2021 and encountered losses in 2023. The company has little solvency because of its higher debt usage. It faced such challenges because of the changing customer preferences, the COVID-19 pandemic, poor management, and high competition. To address these challenges, the management has to perform a comprehensive market analysis and choose the most profitable market segment. It can apply a dynamic pricing strategy, improve customer service, introduce new services, and upgrade the equipment and property. If the management can utilise the assets effectively and make informed decisions, the company can certainly make a successful turnaround.</w:t>
      </w:r>
      <w:r w:rsidR="00EA3863" w:rsidRPr="001A18D4">
        <w:rPr>
          <w:rFonts w:cs="Arial"/>
          <w:noProof/>
          <w:szCs w:val="24"/>
          <w:lang w:val="en-GB"/>
        </w:rPr>
        <w:br w:type="page"/>
      </w:r>
    </w:p>
    <w:p w14:paraId="045778FE" w14:textId="77777777" w:rsidR="00F045DF" w:rsidRPr="001A18D4" w:rsidRDefault="00F045DF" w:rsidP="00477B14">
      <w:pPr>
        <w:pStyle w:val="Heading1"/>
        <w:divId w:val="526918209"/>
        <w:rPr>
          <w:rFonts w:eastAsia="Times New Roman" w:cs="Arial"/>
          <w:b w:val="0"/>
          <w:noProof/>
          <w:lang w:val="en-GB"/>
        </w:rPr>
      </w:pPr>
      <w:bookmarkStart w:id="5" w:name="_Toc158668045"/>
      <w:r w:rsidRPr="001A18D4">
        <w:rPr>
          <w:rFonts w:eastAsia="Times New Roman" w:cs="Arial"/>
          <w:noProof/>
          <w:lang w:val="en-GB"/>
        </w:rPr>
        <w:lastRenderedPageBreak/>
        <w:t>Reference list</w:t>
      </w:r>
      <w:bookmarkEnd w:id="5"/>
    </w:p>
    <w:p w14:paraId="71C6F5C7"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Davahli, M.R., Karwowski, W., Sonmez, S. and Apostolopoulos, Y. (2020) The Hospitality Industry in the Face of the COVID-19 Pandemic: Current Topics and Research Methods. </w:t>
      </w:r>
      <w:r w:rsidRPr="001A18D4">
        <w:rPr>
          <w:rFonts w:cs="Arial"/>
          <w:i/>
          <w:iCs/>
          <w:noProof/>
          <w:kern w:val="0"/>
          <w:szCs w:val="24"/>
          <w:lang w:val="en-GB"/>
          <w14:ligatures w14:val="none"/>
        </w:rPr>
        <w:t>International Journal of Environmental Research and Public Health</w:t>
      </w:r>
      <w:r w:rsidRPr="001A18D4">
        <w:rPr>
          <w:rFonts w:cs="Arial"/>
          <w:noProof/>
          <w:kern w:val="0"/>
          <w:szCs w:val="24"/>
          <w:lang w:val="en-GB"/>
          <w14:ligatures w14:val="none"/>
        </w:rPr>
        <w:t xml:space="preserve">, [online] 17(20), pp.1–20. </w:t>
      </w:r>
    </w:p>
    <w:p w14:paraId="78CFCED9"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Garcia Osma, B., Gomez-Conde, J. and de las Heras, E. (2018) Debt Pressure and Interactive Use of Control systems: Effects on Cost of Debt. </w:t>
      </w:r>
      <w:r w:rsidRPr="001A18D4">
        <w:rPr>
          <w:rFonts w:cs="Arial"/>
          <w:i/>
          <w:iCs/>
          <w:noProof/>
          <w:kern w:val="0"/>
          <w:szCs w:val="24"/>
          <w:lang w:val="en-GB"/>
          <w14:ligatures w14:val="none"/>
        </w:rPr>
        <w:t>Management Accounting Research</w:t>
      </w:r>
      <w:r w:rsidRPr="001A18D4">
        <w:rPr>
          <w:rFonts w:cs="Arial"/>
          <w:noProof/>
          <w:kern w:val="0"/>
          <w:szCs w:val="24"/>
          <w:lang w:val="en-GB"/>
          <w14:ligatures w14:val="none"/>
        </w:rPr>
        <w:t xml:space="preserve">, 40, pp.27–46. </w:t>
      </w:r>
    </w:p>
    <w:p w14:paraId="573F48E7"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Jagels, M. and Ralston, C.E. (2007) </w:t>
      </w:r>
      <w:r w:rsidRPr="001A18D4">
        <w:rPr>
          <w:rFonts w:cs="Arial"/>
          <w:i/>
          <w:iCs/>
          <w:noProof/>
          <w:kern w:val="0"/>
          <w:szCs w:val="24"/>
          <w:lang w:val="en-GB"/>
          <w14:ligatures w14:val="none"/>
        </w:rPr>
        <w:t>Hospitality Management Accounting</w:t>
      </w:r>
      <w:r w:rsidRPr="001A18D4">
        <w:rPr>
          <w:rFonts w:cs="Arial"/>
          <w:noProof/>
          <w:kern w:val="0"/>
          <w:szCs w:val="24"/>
          <w:lang w:val="en-GB"/>
          <w14:ligatures w14:val="none"/>
        </w:rPr>
        <w:t>. Hoboken, N.J.: John Wiley &amp; Sons.</w:t>
      </w:r>
    </w:p>
    <w:p w14:paraId="31DC9950"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Johnson, R.W. (2017) </w:t>
      </w:r>
      <w:r w:rsidRPr="001A18D4">
        <w:rPr>
          <w:rFonts w:cs="Arial"/>
          <w:i/>
          <w:iCs/>
          <w:noProof/>
          <w:kern w:val="0"/>
          <w:szCs w:val="24"/>
          <w:lang w:val="en-GB"/>
          <w14:ligatures w14:val="none"/>
        </w:rPr>
        <w:t>Financial Management</w:t>
      </w:r>
      <w:r w:rsidRPr="001A18D4">
        <w:rPr>
          <w:rFonts w:cs="Arial"/>
          <w:noProof/>
          <w:kern w:val="0"/>
          <w:szCs w:val="24"/>
          <w:lang w:val="en-GB"/>
          <w14:ligatures w14:val="none"/>
        </w:rPr>
        <w:t>. Boston: Allyn and Bacon.</w:t>
      </w:r>
    </w:p>
    <w:p w14:paraId="76F27244"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Puri, G. and Singh, K. (2018) The role of service quality and customer satisfaction in tourism industry: A review of SERVQUAL Model. </w:t>
      </w:r>
      <w:r w:rsidRPr="001A18D4">
        <w:rPr>
          <w:rFonts w:cs="Arial"/>
          <w:i/>
          <w:iCs/>
          <w:noProof/>
          <w:kern w:val="0"/>
          <w:szCs w:val="24"/>
          <w:lang w:val="en-GB"/>
          <w14:ligatures w14:val="none"/>
        </w:rPr>
        <w:t>International Journal of Research and Analytical Reviews</w:t>
      </w:r>
      <w:r w:rsidRPr="001A18D4">
        <w:rPr>
          <w:rFonts w:cs="Arial"/>
          <w:noProof/>
          <w:kern w:val="0"/>
          <w:szCs w:val="24"/>
          <w:lang w:val="en-GB"/>
          <w14:ligatures w14:val="none"/>
        </w:rPr>
        <w:t xml:space="preserve">, </w:t>
      </w:r>
      <w:r w:rsidRPr="001A18D4">
        <w:rPr>
          <w:rFonts w:cs="Arial"/>
          <w:i/>
          <w:iCs/>
          <w:noProof/>
          <w:kern w:val="0"/>
          <w:szCs w:val="24"/>
          <w:lang w:val="en-GB"/>
          <w14:ligatures w14:val="none"/>
        </w:rPr>
        <w:t>5</w:t>
      </w:r>
      <w:r w:rsidRPr="001A18D4">
        <w:rPr>
          <w:rFonts w:cs="Arial"/>
          <w:noProof/>
          <w:kern w:val="0"/>
          <w:szCs w:val="24"/>
          <w:lang w:val="en-GB"/>
          <w14:ligatures w14:val="none"/>
        </w:rPr>
        <w:t>(4).</w:t>
      </w:r>
    </w:p>
    <w:p w14:paraId="4E16A399"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Rothaermel, F. (2021) </w:t>
      </w:r>
      <w:r w:rsidRPr="001A18D4">
        <w:rPr>
          <w:rFonts w:cs="Arial"/>
          <w:i/>
          <w:iCs/>
          <w:noProof/>
          <w:kern w:val="0"/>
          <w:szCs w:val="24"/>
          <w:lang w:val="en-GB"/>
          <w14:ligatures w14:val="none"/>
        </w:rPr>
        <w:t>Strategic Management</w:t>
      </w:r>
      <w:r w:rsidRPr="001A18D4">
        <w:rPr>
          <w:rFonts w:cs="Arial"/>
          <w:noProof/>
          <w:kern w:val="0"/>
          <w:szCs w:val="24"/>
          <w:lang w:val="en-GB"/>
          <w14:ligatures w14:val="none"/>
        </w:rPr>
        <w:t>. 5th ed. New York, New York: Mcgraw-Hill Education.</w:t>
      </w:r>
    </w:p>
    <w:p w14:paraId="558EF906"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Seal, W.B. and Rohde, C. (2019) </w:t>
      </w:r>
      <w:r w:rsidRPr="001A18D4">
        <w:rPr>
          <w:rFonts w:cs="Arial"/>
          <w:i/>
          <w:iCs/>
          <w:noProof/>
          <w:kern w:val="0"/>
          <w:szCs w:val="24"/>
          <w:lang w:val="en-GB"/>
          <w14:ligatures w14:val="none"/>
        </w:rPr>
        <w:t>Management Accounting</w:t>
      </w:r>
      <w:r w:rsidRPr="001A18D4">
        <w:rPr>
          <w:rFonts w:cs="Arial"/>
          <w:noProof/>
          <w:kern w:val="0"/>
          <w:szCs w:val="24"/>
          <w:lang w:val="en-GB"/>
          <w14:ligatures w14:val="none"/>
        </w:rPr>
        <w:t>. London: Mcgraw-Hill Education.</w:t>
      </w:r>
    </w:p>
    <w:p w14:paraId="68F45037"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Srivastava, A. and Kumar, V. (2021) Hotel Attributes and Overall Customer satisfaction: What Did COVID-19 change? </w:t>
      </w:r>
      <w:r w:rsidRPr="001A18D4">
        <w:rPr>
          <w:rFonts w:cs="Arial"/>
          <w:i/>
          <w:iCs/>
          <w:noProof/>
          <w:kern w:val="0"/>
          <w:szCs w:val="24"/>
          <w:lang w:val="en-GB"/>
          <w14:ligatures w14:val="none"/>
        </w:rPr>
        <w:t>Tourism Management Perspectives</w:t>
      </w:r>
      <w:r w:rsidRPr="001A18D4">
        <w:rPr>
          <w:rFonts w:cs="Arial"/>
          <w:noProof/>
          <w:kern w:val="0"/>
          <w:szCs w:val="24"/>
          <w:lang w:val="en-GB"/>
          <w14:ligatures w14:val="none"/>
        </w:rPr>
        <w:t xml:space="preserve">, 40, p.100867. </w:t>
      </w:r>
    </w:p>
    <w:p w14:paraId="7FB6438A"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Stuart-Hill, T. and Parker, J. (2014) </w:t>
      </w:r>
      <w:r w:rsidRPr="001A18D4">
        <w:rPr>
          <w:rFonts w:cs="Arial"/>
          <w:i/>
          <w:iCs/>
          <w:noProof/>
          <w:kern w:val="0"/>
          <w:szCs w:val="24"/>
          <w:lang w:val="en-GB"/>
          <w14:ligatures w14:val="none"/>
        </w:rPr>
        <w:t>An Introduction to Revenue Management for the Hospitality Industry : Principles and Practices for the Real World</w:t>
      </w:r>
      <w:r w:rsidRPr="001A18D4">
        <w:rPr>
          <w:rFonts w:cs="Arial"/>
          <w:noProof/>
          <w:kern w:val="0"/>
          <w:szCs w:val="24"/>
          <w:lang w:val="en-GB"/>
          <w14:ligatures w14:val="none"/>
        </w:rPr>
        <w:t>. Harlow: Pearson Education.</w:t>
      </w:r>
    </w:p>
    <w:p w14:paraId="0E4A051D"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Sudarsanam, S. and Lai, J. (2001) Corporate financial distress and turnaround strategies: An empirical analysis. </w:t>
      </w:r>
      <w:r w:rsidRPr="001A18D4">
        <w:rPr>
          <w:rFonts w:cs="Arial"/>
          <w:i/>
          <w:iCs/>
          <w:noProof/>
          <w:kern w:val="0"/>
          <w:szCs w:val="24"/>
          <w:lang w:val="en-GB"/>
          <w14:ligatures w14:val="none"/>
        </w:rPr>
        <w:t>British Journal of Management</w:t>
      </w:r>
      <w:r w:rsidRPr="001A18D4">
        <w:rPr>
          <w:rFonts w:cs="Arial"/>
          <w:noProof/>
          <w:kern w:val="0"/>
          <w:szCs w:val="24"/>
          <w:lang w:val="en-GB"/>
          <w14:ligatures w14:val="none"/>
        </w:rPr>
        <w:t xml:space="preserve">, </w:t>
      </w:r>
      <w:r w:rsidRPr="001A18D4">
        <w:rPr>
          <w:rFonts w:cs="Arial"/>
          <w:i/>
          <w:iCs/>
          <w:noProof/>
          <w:kern w:val="0"/>
          <w:szCs w:val="24"/>
          <w:lang w:val="en-GB"/>
          <w14:ligatures w14:val="none"/>
        </w:rPr>
        <w:t>12</w:t>
      </w:r>
      <w:r w:rsidRPr="001A18D4">
        <w:rPr>
          <w:rFonts w:cs="Arial"/>
          <w:noProof/>
          <w:kern w:val="0"/>
          <w:szCs w:val="24"/>
          <w:lang w:val="en-GB"/>
          <w14:ligatures w14:val="none"/>
        </w:rPr>
        <w:t>(3), pp.183-199.</w:t>
      </w:r>
    </w:p>
    <w:p w14:paraId="48B2E64D"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lastRenderedPageBreak/>
        <w:t xml:space="preserve">Viglia, G., Mauri, A. and Carricano, M. (2016) The Exploration of Hotel Reference Prices under Dynamic Pricing Scenarios and Different Forms of Competition. </w:t>
      </w:r>
      <w:r w:rsidRPr="001A18D4">
        <w:rPr>
          <w:rFonts w:cs="Arial"/>
          <w:i/>
          <w:iCs/>
          <w:noProof/>
          <w:kern w:val="0"/>
          <w:szCs w:val="24"/>
          <w:lang w:val="en-GB"/>
          <w14:ligatures w14:val="none"/>
        </w:rPr>
        <w:t>International Journal of Hospitality Management</w:t>
      </w:r>
      <w:r w:rsidRPr="001A18D4">
        <w:rPr>
          <w:rFonts w:cs="Arial"/>
          <w:noProof/>
          <w:kern w:val="0"/>
          <w:szCs w:val="24"/>
          <w:lang w:val="en-GB"/>
          <w14:ligatures w14:val="none"/>
        </w:rPr>
        <w:t xml:space="preserve">, 52, pp.46–55. </w:t>
      </w:r>
    </w:p>
    <w:p w14:paraId="1239FDBA" w14:textId="77777777" w:rsidR="009402C5" w:rsidRPr="001A18D4" w:rsidRDefault="009402C5" w:rsidP="00477B14">
      <w:pPr>
        <w:spacing w:after="240"/>
        <w:divId w:val="940334457"/>
        <w:rPr>
          <w:rFonts w:cs="Arial"/>
          <w:noProof/>
          <w:kern w:val="0"/>
          <w:szCs w:val="24"/>
          <w:lang w:val="en-GB"/>
          <w14:ligatures w14:val="none"/>
        </w:rPr>
      </w:pPr>
      <w:r w:rsidRPr="001A18D4">
        <w:rPr>
          <w:rFonts w:cs="Arial"/>
          <w:noProof/>
          <w:kern w:val="0"/>
          <w:szCs w:val="24"/>
          <w:lang w:val="en-GB"/>
          <w14:ligatures w14:val="none"/>
        </w:rPr>
        <w:t xml:space="preserve">Walker, J.R. (2021) </w:t>
      </w:r>
      <w:r w:rsidRPr="001A18D4">
        <w:rPr>
          <w:rFonts w:cs="Arial"/>
          <w:i/>
          <w:iCs/>
          <w:noProof/>
          <w:kern w:val="0"/>
          <w:szCs w:val="24"/>
          <w:lang w:val="en-GB"/>
          <w14:ligatures w14:val="none"/>
        </w:rPr>
        <w:t>Introduction to Hospitality</w:t>
      </w:r>
      <w:r w:rsidRPr="001A18D4">
        <w:rPr>
          <w:rFonts w:cs="Arial"/>
          <w:noProof/>
          <w:kern w:val="0"/>
          <w:szCs w:val="24"/>
          <w:lang w:val="en-GB"/>
          <w14:ligatures w14:val="none"/>
        </w:rPr>
        <w:t>. 8th ed. Hoboken: Pearson.</w:t>
      </w:r>
    </w:p>
    <w:p w14:paraId="4B0BD3BA" w14:textId="77777777" w:rsidR="00C376DA" w:rsidRPr="001A18D4" w:rsidRDefault="00C376DA" w:rsidP="00477B14">
      <w:pPr>
        <w:rPr>
          <w:rFonts w:cs="Arial"/>
          <w:noProof/>
          <w:szCs w:val="24"/>
          <w:lang w:val="en-GB"/>
        </w:rPr>
      </w:pPr>
    </w:p>
    <w:sectPr w:rsidR="00C376DA" w:rsidRPr="001A18D4" w:rsidSect="00B73031">
      <w:footerReference w:type="even"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A544B" w14:textId="77777777" w:rsidR="00B73031" w:rsidRDefault="00B73031" w:rsidP="00B92802">
      <w:pPr>
        <w:spacing w:after="0" w:line="240" w:lineRule="auto"/>
      </w:pPr>
      <w:r>
        <w:separator/>
      </w:r>
    </w:p>
  </w:endnote>
  <w:endnote w:type="continuationSeparator" w:id="0">
    <w:p w14:paraId="221C221E" w14:textId="77777777" w:rsidR="00B73031" w:rsidRDefault="00B73031" w:rsidP="00B92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9528188"/>
      <w:docPartObj>
        <w:docPartGallery w:val="Page Numbers (Bottom of Page)"/>
        <w:docPartUnique/>
      </w:docPartObj>
    </w:sdtPr>
    <w:sdtContent>
      <w:p w14:paraId="74DFF53B" w14:textId="14C56D43" w:rsidR="00B92802" w:rsidRDefault="00B92802" w:rsidP="009E17E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8C4911" w14:textId="77777777" w:rsidR="00B92802" w:rsidRDefault="00B92802" w:rsidP="00B92802">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4410911"/>
      <w:docPartObj>
        <w:docPartGallery w:val="Page Numbers (Bottom of Page)"/>
        <w:docPartUnique/>
      </w:docPartObj>
    </w:sdtPr>
    <w:sdtContent>
      <w:p w14:paraId="4B5C3603" w14:textId="1DAF78C9" w:rsidR="00B92802" w:rsidRDefault="00B92802" w:rsidP="009E17E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68F2440" w14:textId="77777777" w:rsidR="00B92802" w:rsidRDefault="00B92802" w:rsidP="00B92802">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87E9B" w14:textId="77777777" w:rsidR="00B73031" w:rsidRDefault="00B73031" w:rsidP="00B92802">
      <w:pPr>
        <w:spacing w:after="0" w:line="240" w:lineRule="auto"/>
      </w:pPr>
      <w:r>
        <w:separator/>
      </w:r>
    </w:p>
  </w:footnote>
  <w:footnote w:type="continuationSeparator" w:id="0">
    <w:p w14:paraId="2867591E" w14:textId="77777777" w:rsidR="00B73031" w:rsidRDefault="00B73031" w:rsidP="00B928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F6818"/>
    <w:multiLevelType w:val="hybridMultilevel"/>
    <w:tmpl w:val="3F86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A82494"/>
    <w:multiLevelType w:val="hybridMultilevel"/>
    <w:tmpl w:val="F8C0A400"/>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AAB0448"/>
    <w:multiLevelType w:val="hybridMultilevel"/>
    <w:tmpl w:val="BD526DF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B57BE6"/>
    <w:multiLevelType w:val="hybridMultilevel"/>
    <w:tmpl w:val="D6AC2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9246475">
    <w:abstractNumId w:val="0"/>
  </w:num>
  <w:num w:numId="2" w16cid:durableId="1865945984">
    <w:abstractNumId w:val="1"/>
  </w:num>
  <w:num w:numId="3" w16cid:durableId="1953125710">
    <w:abstractNumId w:val="2"/>
  </w:num>
  <w:num w:numId="4" w16cid:durableId="8372282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0NbAwMTA0MjU1sDRX0lEKTi0uzszPAykwqgUAUEXnXSwAAAA="/>
  </w:docVars>
  <w:rsids>
    <w:rsidRoot w:val="00272E95"/>
    <w:rsid w:val="00022849"/>
    <w:rsid w:val="000B1EE9"/>
    <w:rsid w:val="000B7341"/>
    <w:rsid w:val="001159AD"/>
    <w:rsid w:val="00146F7F"/>
    <w:rsid w:val="00195901"/>
    <w:rsid w:val="001969CD"/>
    <w:rsid w:val="001A18D4"/>
    <w:rsid w:val="001A4EA5"/>
    <w:rsid w:val="001B48D6"/>
    <w:rsid w:val="001B752F"/>
    <w:rsid w:val="001F5743"/>
    <w:rsid w:val="00211400"/>
    <w:rsid w:val="00214CCA"/>
    <w:rsid w:val="00251FDE"/>
    <w:rsid w:val="00271D0F"/>
    <w:rsid w:val="00272E82"/>
    <w:rsid w:val="00272E95"/>
    <w:rsid w:val="002749EE"/>
    <w:rsid w:val="002850CC"/>
    <w:rsid w:val="00292D15"/>
    <w:rsid w:val="002C019B"/>
    <w:rsid w:val="003311C6"/>
    <w:rsid w:val="00340F19"/>
    <w:rsid w:val="003919E3"/>
    <w:rsid w:val="003B56E1"/>
    <w:rsid w:val="003E2D0B"/>
    <w:rsid w:val="004018D0"/>
    <w:rsid w:val="00477B14"/>
    <w:rsid w:val="004B13E2"/>
    <w:rsid w:val="004C0E29"/>
    <w:rsid w:val="004D6DDD"/>
    <w:rsid w:val="004F0006"/>
    <w:rsid w:val="005359FB"/>
    <w:rsid w:val="00553DF8"/>
    <w:rsid w:val="00554895"/>
    <w:rsid w:val="00564948"/>
    <w:rsid w:val="00586B61"/>
    <w:rsid w:val="0059498A"/>
    <w:rsid w:val="005A122A"/>
    <w:rsid w:val="005A413B"/>
    <w:rsid w:val="005A504B"/>
    <w:rsid w:val="005F08D9"/>
    <w:rsid w:val="005F62DE"/>
    <w:rsid w:val="00651FC4"/>
    <w:rsid w:val="00683286"/>
    <w:rsid w:val="0069779A"/>
    <w:rsid w:val="006A5904"/>
    <w:rsid w:val="006A5A2E"/>
    <w:rsid w:val="006D08B9"/>
    <w:rsid w:val="006D70FC"/>
    <w:rsid w:val="006D7481"/>
    <w:rsid w:val="00776D94"/>
    <w:rsid w:val="00783ED8"/>
    <w:rsid w:val="00790E87"/>
    <w:rsid w:val="007E6263"/>
    <w:rsid w:val="00813ED3"/>
    <w:rsid w:val="00827F5F"/>
    <w:rsid w:val="00832980"/>
    <w:rsid w:val="008713CC"/>
    <w:rsid w:val="0089334C"/>
    <w:rsid w:val="00896DDC"/>
    <w:rsid w:val="008A6A17"/>
    <w:rsid w:val="008A726D"/>
    <w:rsid w:val="008D37E9"/>
    <w:rsid w:val="00903524"/>
    <w:rsid w:val="009055A5"/>
    <w:rsid w:val="009067FE"/>
    <w:rsid w:val="009402C5"/>
    <w:rsid w:val="00977B3C"/>
    <w:rsid w:val="0098245A"/>
    <w:rsid w:val="009E09F7"/>
    <w:rsid w:val="009E4A97"/>
    <w:rsid w:val="00A0402B"/>
    <w:rsid w:val="00A0582A"/>
    <w:rsid w:val="00A32969"/>
    <w:rsid w:val="00A72350"/>
    <w:rsid w:val="00A76F62"/>
    <w:rsid w:val="00A81255"/>
    <w:rsid w:val="00AE24CB"/>
    <w:rsid w:val="00AE73FC"/>
    <w:rsid w:val="00B331F5"/>
    <w:rsid w:val="00B37177"/>
    <w:rsid w:val="00B413C0"/>
    <w:rsid w:val="00B55134"/>
    <w:rsid w:val="00B572FE"/>
    <w:rsid w:val="00B62E65"/>
    <w:rsid w:val="00B73031"/>
    <w:rsid w:val="00B842EB"/>
    <w:rsid w:val="00B92802"/>
    <w:rsid w:val="00BB308B"/>
    <w:rsid w:val="00BC2009"/>
    <w:rsid w:val="00BE193F"/>
    <w:rsid w:val="00C1393B"/>
    <w:rsid w:val="00C25DC2"/>
    <w:rsid w:val="00C376DA"/>
    <w:rsid w:val="00C45672"/>
    <w:rsid w:val="00C70647"/>
    <w:rsid w:val="00C85079"/>
    <w:rsid w:val="00C922AE"/>
    <w:rsid w:val="00CA54DB"/>
    <w:rsid w:val="00CA66A9"/>
    <w:rsid w:val="00CB0C1A"/>
    <w:rsid w:val="00CD1B2C"/>
    <w:rsid w:val="00CF6095"/>
    <w:rsid w:val="00D20748"/>
    <w:rsid w:val="00D27F21"/>
    <w:rsid w:val="00D65C99"/>
    <w:rsid w:val="00D918B6"/>
    <w:rsid w:val="00DC05BB"/>
    <w:rsid w:val="00E10EAA"/>
    <w:rsid w:val="00E1745E"/>
    <w:rsid w:val="00E41E8C"/>
    <w:rsid w:val="00E536CB"/>
    <w:rsid w:val="00E54281"/>
    <w:rsid w:val="00E86F51"/>
    <w:rsid w:val="00EA3863"/>
    <w:rsid w:val="00EB5E19"/>
    <w:rsid w:val="00ED7BDA"/>
    <w:rsid w:val="00F045DF"/>
    <w:rsid w:val="00F05B7C"/>
    <w:rsid w:val="00F153E5"/>
    <w:rsid w:val="00F211B6"/>
    <w:rsid w:val="00F600F9"/>
    <w:rsid w:val="00F73949"/>
    <w:rsid w:val="00F93EA2"/>
    <w:rsid w:val="00FE4BE2"/>
    <w:rsid w:val="00FF11FB"/>
    <w:rsid w:val="00FF1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D3E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6A9"/>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D65C99"/>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3FC"/>
    <w:pPr>
      <w:ind w:left="720"/>
      <w:contextualSpacing/>
    </w:pPr>
  </w:style>
  <w:style w:type="paragraph" w:styleId="Header">
    <w:name w:val="header"/>
    <w:basedOn w:val="Normal"/>
    <w:link w:val="HeaderChar"/>
    <w:uiPriority w:val="99"/>
    <w:unhideWhenUsed/>
    <w:rsid w:val="00B92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802"/>
  </w:style>
  <w:style w:type="paragraph" w:styleId="Footer">
    <w:name w:val="footer"/>
    <w:basedOn w:val="Normal"/>
    <w:link w:val="FooterChar"/>
    <w:uiPriority w:val="99"/>
    <w:unhideWhenUsed/>
    <w:rsid w:val="00B92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802"/>
  </w:style>
  <w:style w:type="character" w:styleId="PageNumber">
    <w:name w:val="page number"/>
    <w:basedOn w:val="DefaultParagraphFont"/>
    <w:uiPriority w:val="99"/>
    <w:semiHidden/>
    <w:unhideWhenUsed/>
    <w:rsid w:val="00B92802"/>
  </w:style>
  <w:style w:type="character" w:customStyle="1" w:styleId="Heading1Char">
    <w:name w:val="Heading 1 Char"/>
    <w:basedOn w:val="DefaultParagraphFont"/>
    <w:link w:val="Heading1"/>
    <w:uiPriority w:val="9"/>
    <w:rsid w:val="00D65C99"/>
    <w:rPr>
      <w:rFonts w:ascii="Arial" w:eastAsiaTheme="majorEastAsia" w:hAnsi="Arial" w:cstheme="majorBidi"/>
      <w:b/>
      <w:color w:val="2F5496" w:themeColor="accent1" w:themeShade="BF"/>
      <w:sz w:val="32"/>
      <w:szCs w:val="32"/>
    </w:rPr>
  </w:style>
  <w:style w:type="paragraph" w:styleId="TOCHeading">
    <w:name w:val="TOC Heading"/>
    <w:basedOn w:val="Heading1"/>
    <w:next w:val="Normal"/>
    <w:uiPriority w:val="39"/>
    <w:unhideWhenUsed/>
    <w:qFormat/>
    <w:rsid w:val="00D65C99"/>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D65C99"/>
    <w:pPr>
      <w:spacing w:after="100"/>
    </w:pPr>
  </w:style>
  <w:style w:type="character" w:styleId="Hyperlink">
    <w:name w:val="Hyperlink"/>
    <w:basedOn w:val="DefaultParagraphFont"/>
    <w:uiPriority w:val="99"/>
    <w:unhideWhenUsed/>
    <w:rsid w:val="00D65C99"/>
    <w:rPr>
      <w:color w:val="0563C1" w:themeColor="hyperlink"/>
      <w:u w:val="single"/>
    </w:rPr>
  </w:style>
  <w:style w:type="paragraph" w:customStyle="1" w:styleId="Default">
    <w:name w:val="Default"/>
    <w:rsid w:val="00564948"/>
    <w:pPr>
      <w:autoSpaceDE w:val="0"/>
      <w:autoSpaceDN w:val="0"/>
      <w:adjustRightInd w:val="0"/>
      <w:spacing w:after="0" w:line="240" w:lineRule="auto"/>
    </w:pPr>
    <w:rPr>
      <w:rFonts w:ascii="Arial" w:eastAsiaTheme="minorHAnsi"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88581">
      <w:bodyDiv w:val="1"/>
      <w:marLeft w:val="0"/>
      <w:marRight w:val="0"/>
      <w:marTop w:val="0"/>
      <w:marBottom w:val="0"/>
      <w:divBdr>
        <w:top w:val="none" w:sz="0" w:space="0" w:color="auto"/>
        <w:left w:val="none" w:sz="0" w:space="0" w:color="auto"/>
        <w:bottom w:val="none" w:sz="0" w:space="0" w:color="auto"/>
        <w:right w:val="none" w:sz="0" w:space="0" w:color="auto"/>
      </w:divBdr>
    </w:div>
    <w:div w:id="526918209">
      <w:bodyDiv w:val="1"/>
      <w:marLeft w:val="0"/>
      <w:marRight w:val="0"/>
      <w:marTop w:val="0"/>
      <w:marBottom w:val="0"/>
      <w:divBdr>
        <w:top w:val="none" w:sz="0" w:space="0" w:color="auto"/>
        <w:left w:val="none" w:sz="0" w:space="0" w:color="auto"/>
        <w:bottom w:val="none" w:sz="0" w:space="0" w:color="auto"/>
        <w:right w:val="none" w:sz="0" w:space="0" w:color="auto"/>
      </w:divBdr>
      <w:divsChild>
        <w:div w:id="940334457">
          <w:marLeft w:val="0"/>
          <w:marRight w:val="0"/>
          <w:marTop w:val="0"/>
          <w:marBottom w:val="0"/>
          <w:divBdr>
            <w:top w:val="none" w:sz="0" w:space="0" w:color="auto"/>
            <w:left w:val="none" w:sz="0" w:space="0" w:color="auto"/>
            <w:bottom w:val="none" w:sz="0" w:space="0" w:color="auto"/>
            <w:right w:val="none" w:sz="0" w:space="0" w:color="auto"/>
          </w:divBdr>
          <w:divsChild>
            <w:div w:id="450054850">
              <w:marLeft w:val="0"/>
              <w:marRight w:val="0"/>
              <w:marTop w:val="0"/>
              <w:marBottom w:val="0"/>
              <w:divBdr>
                <w:top w:val="none" w:sz="0" w:space="0" w:color="auto"/>
                <w:left w:val="none" w:sz="0" w:space="0" w:color="auto"/>
                <w:bottom w:val="none" w:sz="0" w:space="0" w:color="auto"/>
                <w:right w:val="none" w:sz="0" w:space="0" w:color="auto"/>
              </w:divBdr>
              <w:divsChild>
                <w:div w:id="1687826726">
                  <w:marLeft w:val="0"/>
                  <w:marRight w:val="0"/>
                  <w:marTop w:val="0"/>
                  <w:marBottom w:val="0"/>
                  <w:divBdr>
                    <w:top w:val="none" w:sz="0" w:space="0" w:color="auto"/>
                    <w:left w:val="none" w:sz="0" w:space="0" w:color="auto"/>
                    <w:bottom w:val="none" w:sz="0" w:space="0" w:color="auto"/>
                    <w:right w:val="none" w:sz="0" w:space="0" w:color="auto"/>
                  </w:divBdr>
                </w:div>
              </w:divsChild>
            </w:div>
            <w:div w:id="1824807764">
              <w:marLeft w:val="0"/>
              <w:marRight w:val="0"/>
              <w:marTop w:val="0"/>
              <w:marBottom w:val="0"/>
              <w:divBdr>
                <w:top w:val="none" w:sz="0" w:space="0" w:color="auto"/>
                <w:left w:val="none" w:sz="0" w:space="0" w:color="auto"/>
                <w:bottom w:val="none" w:sz="0" w:space="0" w:color="auto"/>
                <w:right w:val="none" w:sz="0" w:space="0" w:color="auto"/>
              </w:divBdr>
              <w:divsChild>
                <w:div w:id="91763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1BC43-11FF-4691-8514-0ED5FA3E2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2024-02-11T18:41:00Z</dcterms:created>
  <dcterms:modified xsi:type="dcterms:W3CDTF">2024-02-26T13:51:00Z</dcterms:modified>
</cp:coreProperties>
</file>