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0ACE3" w14:textId="59C51C11" w:rsidR="00FD101A" w:rsidRPr="00FD101A" w:rsidRDefault="00FD101A" w:rsidP="00FD101A">
      <w:r>
        <w:rPr>
          <w:noProof/>
        </w:rPr>
        <w:drawing>
          <wp:inline distT="0" distB="0" distL="0" distR="0" wp14:anchorId="79D28C04" wp14:editId="1D527F79">
            <wp:extent cx="2044700" cy="1077119"/>
            <wp:effectExtent l="76200" t="76200" r="127000" b="14224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29359" t="20879" r="58232" b="67500"/>
                    <a:stretch>
                      <a:fillRect/>
                    </a:stretch>
                  </pic:blipFill>
                  <pic:spPr bwMode="auto">
                    <a:xfrm>
                      <a:off x="0" y="0"/>
                      <a:ext cx="2047808" cy="10787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581CCBE" w14:textId="77777777" w:rsidR="00FD101A" w:rsidRPr="00FD101A" w:rsidRDefault="00FD101A" w:rsidP="00FD101A"/>
    <w:p w14:paraId="45B4C160" w14:textId="426B67E0" w:rsidR="00FD101A" w:rsidRDefault="00FD101A" w:rsidP="00FD101A"/>
    <w:p w14:paraId="2D7CDAB6" w14:textId="29DF45E5" w:rsidR="00FD101A" w:rsidRDefault="00FD101A" w:rsidP="00FD101A"/>
    <w:p w14:paraId="2C12BBB8" w14:textId="1872CECC" w:rsidR="002C0F20" w:rsidRPr="00FD101A" w:rsidRDefault="002C0F20" w:rsidP="002C0F20">
      <w:pPr>
        <w:rPr>
          <w:b/>
          <w:bCs/>
          <w:sz w:val="28"/>
          <w:szCs w:val="28"/>
        </w:rPr>
      </w:pPr>
      <w:r w:rsidRPr="00FD101A">
        <w:rPr>
          <w:b/>
          <w:bCs/>
          <w:sz w:val="28"/>
          <w:szCs w:val="28"/>
        </w:rPr>
        <w:t>Programme: BA Business Management</w:t>
      </w:r>
    </w:p>
    <w:p w14:paraId="07741692" w14:textId="6607DDAE" w:rsidR="002C0F20" w:rsidRPr="00FD101A" w:rsidRDefault="002C0F20" w:rsidP="002C0F20">
      <w:pPr>
        <w:rPr>
          <w:b/>
          <w:bCs/>
          <w:sz w:val="28"/>
          <w:szCs w:val="28"/>
        </w:rPr>
      </w:pPr>
      <w:r w:rsidRPr="00FD101A">
        <w:rPr>
          <w:b/>
          <w:bCs/>
          <w:sz w:val="28"/>
          <w:szCs w:val="28"/>
        </w:rPr>
        <w:t>Module: Community Engagement</w:t>
      </w:r>
    </w:p>
    <w:p w14:paraId="56D057EB" w14:textId="47E24299" w:rsidR="002C0F20" w:rsidRPr="00FD101A" w:rsidRDefault="002C0F20" w:rsidP="002C0F20">
      <w:pPr>
        <w:rPr>
          <w:b/>
          <w:bCs/>
          <w:sz w:val="28"/>
          <w:szCs w:val="28"/>
        </w:rPr>
      </w:pPr>
      <w:r w:rsidRPr="00FD101A">
        <w:rPr>
          <w:b/>
          <w:bCs/>
          <w:sz w:val="28"/>
          <w:szCs w:val="28"/>
        </w:rPr>
        <w:t>Module code: LCBB4002</w:t>
      </w:r>
    </w:p>
    <w:p w14:paraId="4E21C910" w14:textId="1FB40685" w:rsidR="002C0F20" w:rsidRPr="00FD101A" w:rsidRDefault="00305F37" w:rsidP="002C0F20">
      <w:pPr>
        <w:rPr>
          <w:b/>
          <w:bCs/>
          <w:sz w:val="28"/>
          <w:szCs w:val="28"/>
        </w:rPr>
      </w:pPr>
      <w:r w:rsidRPr="00FD101A">
        <w:rPr>
          <w:b/>
          <w:bCs/>
          <w:sz w:val="28"/>
          <w:szCs w:val="28"/>
        </w:rPr>
        <w:t xml:space="preserve">Lecturer: Toyin </w:t>
      </w:r>
      <w:proofErr w:type="spellStart"/>
      <w:r w:rsidRPr="00FD101A">
        <w:rPr>
          <w:b/>
          <w:bCs/>
          <w:sz w:val="28"/>
          <w:szCs w:val="28"/>
        </w:rPr>
        <w:t>Adisa</w:t>
      </w:r>
      <w:proofErr w:type="spellEnd"/>
    </w:p>
    <w:p w14:paraId="586AE3B9" w14:textId="7904BAB7" w:rsidR="00305F37" w:rsidRPr="00FD101A" w:rsidRDefault="00305F37" w:rsidP="002C0F20">
      <w:pPr>
        <w:rPr>
          <w:b/>
          <w:bCs/>
          <w:sz w:val="28"/>
          <w:szCs w:val="28"/>
        </w:rPr>
      </w:pPr>
      <w:r w:rsidRPr="00FD101A">
        <w:rPr>
          <w:b/>
          <w:bCs/>
          <w:sz w:val="28"/>
          <w:szCs w:val="28"/>
        </w:rPr>
        <w:t>Assignment Title: Assessment 2</w:t>
      </w:r>
    </w:p>
    <w:p w14:paraId="457C03B4" w14:textId="1DA259B3" w:rsidR="00305F37" w:rsidRPr="00FD101A" w:rsidRDefault="00305F37" w:rsidP="002C0F20">
      <w:pPr>
        <w:rPr>
          <w:b/>
          <w:bCs/>
          <w:sz w:val="28"/>
          <w:szCs w:val="28"/>
        </w:rPr>
      </w:pPr>
      <w:r w:rsidRPr="00FD101A">
        <w:rPr>
          <w:b/>
          <w:bCs/>
          <w:sz w:val="28"/>
          <w:szCs w:val="28"/>
        </w:rPr>
        <w:t>Student name: Tatiana Cebotari (2123377)</w:t>
      </w:r>
    </w:p>
    <w:p w14:paraId="3874EA0E" w14:textId="5DB9C175" w:rsidR="003D4C53" w:rsidRDefault="00000000">
      <w:pPr>
        <w:spacing w:line="259" w:lineRule="auto"/>
        <w:jc w:val="left"/>
        <w:rPr>
          <w:rFonts w:eastAsiaTheme="majorEastAsia" w:cstheme="majorBidi"/>
          <w:b/>
          <w:spacing w:val="-10"/>
          <w:kern w:val="28"/>
          <w:sz w:val="36"/>
          <w:szCs w:val="56"/>
        </w:rPr>
      </w:pPr>
      <w:r>
        <w:br w:type="page"/>
      </w:r>
    </w:p>
    <w:p w14:paraId="7843FA2B" w14:textId="53766656" w:rsidR="005B5999" w:rsidRDefault="00000000" w:rsidP="003D4C53">
      <w:pPr>
        <w:jc w:val="center"/>
        <w:rPr>
          <w:b/>
          <w:bCs/>
          <w:sz w:val="28"/>
          <w:szCs w:val="28"/>
        </w:rPr>
      </w:pPr>
      <w:r w:rsidRPr="00FD101A">
        <w:rPr>
          <w:b/>
          <w:bCs/>
          <w:sz w:val="28"/>
          <w:szCs w:val="28"/>
        </w:rPr>
        <w:lastRenderedPageBreak/>
        <w:t>Executive Summary</w:t>
      </w:r>
    </w:p>
    <w:p w14:paraId="0040DAF8" w14:textId="77777777" w:rsidR="00FD101A" w:rsidRPr="00FD101A" w:rsidRDefault="00FD101A" w:rsidP="003D4C53">
      <w:pPr>
        <w:jc w:val="center"/>
        <w:rPr>
          <w:b/>
          <w:bCs/>
          <w:sz w:val="28"/>
          <w:szCs w:val="28"/>
        </w:rPr>
      </w:pPr>
    </w:p>
    <w:p w14:paraId="62E130B7" w14:textId="77777777" w:rsidR="005B5999" w:rsidRPr="00C41635" w:rsidRDefault="00000000" w:rsidP="00FD101A">
      <w:pPr>
        <w:jc w:val="center"/>
        <w:rPr>
          <w:kern w:val="28"/>
        </w:rPr>
      </w:pPr>
      <w:r>
        <w:rPr>
          <w:kern w:val="28"/>
        </w:rPr>
        <w:t>This report has focused on t</w:t>
      </w:r>
      <w:r w:rsidRPr="0077692C">
        <w:rPr>
          <w:kern w:val="28"/>
        </w:rPr>
        <w:t>he chosen community engagement initiative, "Together we can," which is the subject of this study. After examination, it became clear that the program's goal is to address problems and support the UK's varied population. It is also clear that significant stakeholder involvement is essential for the project's success. Additionally, some of the appropriate channels, such as roundtable talks and community surveys, can be used to influence crucial elements like community involvement and cooperation.</w:t>
      </w:r>
      <w:r>
        <w:br w:type="page"/>
      </w:r>
    </w:p>
    <w:p w14:paraId="7416C84D" w14:textId="77777777" w:rsidR="005B5999" w:rsidRDefault="00000000" w:rsidP="00CD6700">
      <w:pPr>
        <w:pStyle w:val="Heading1"/>
      </w:pPr>
      <w:r>
        <w:lastRenderedPageBreak/>
        <w:t>Introduction</w:t>
      </w:r>
    </w:p>
    <w:p w14:paraId="290F1A6D" w14:textId="77777777" w:rsidR="001750CA" w:rsidRDefault="00000000" w:rsidP="001750CA">
      <w:r>
        <w:t>In accordance with the changing environmental aspects and developing technologies, it is necessary for governments to address them and tackle them effectively with relevant strategies.</w:t>
      </w:r>
      <w:r w:rsidR="00235613">
        <w:t xml:space="preserve"> </w:t>
      </w:r>
      <w:r w:rsidR="00235613" w:rsidRPr="007036CE">
        <w:rPr>
          <w:b/>
          <w:bCs/>
          <w:i/>
          <w:iCs/>
        </w:rPr>
        <w:t>Community Engagement</w:t>
      </w:r>
      <w:r w:rsidR="00235613">
        <w:t xml:space="preserve"> refers to the process of interacting with communities, government and appropriate public decision makers that can assist in acknowledging the right opportunities to mitigate the emerging challenges</w:t>
      </w:r>
      <w:r w:rsidR="002B59AE">
        <w:t xml:space="preserve"> (</w:t>
      </w:r>
      <w:r w:rsidR="00A350BA" w:rsidRPr="00A350BA">
        <w:t xml:space="preserve">Trottier </w:t>
      </w:r>
      <w:r w:rsidR="00A350BA" w:rsidRPr="00A350BA">
        <w:rPr>
          <w:i/>
          <w:iCs/>
        </w:rPr>
        <w:t>et al</w:t>
      </w:r>
      <w:r w:rsidR="00A350BA" w:rsidRPr="00A350BA">
        <w:t>., 2019</w:t>
      </w:r>
      <w:r w:rsidR="002B59AE">
        <w:t>)</w:t>
      </w:r>
      <w:r w:rsidR="00235613">
        <w:t>.</w:t>
      </w:r>
      <w:r w:rsidR="00D10712">
        <w:t xml:space="preserve"> Its significance is that it focuses on taking the actions that mainly oversee to influence </w:t>
      </w:r>
      <w:r w:rsidR="00D10712" w:rsidRPr="00E24C32">
        <w:rPr>
          <w:b/>
          <w:bCs/>
          <w:i/>
          <w:iCs/>
        </w:rPr>
        <w:t>stakeholders</w:t>
      </w:r>
      <w:r w:rsidR="00D10712">
        <w:t xml:space="preserve"> and </w:t>
      </w:r>
      <w:r w:rsidR="00D10712" w:rsidRPr="00E24C32">
        <w:rPr>
          <w:b/>
          <w:bCs/>
          <w:i/>
          <w:iCs/>
        </w:rPr>
        <w:t>governments</w:t>
      </w:r>
      <w:r w:rsidR="00D10712">
        <w:t xml:space="preserve"> by providing them with the right </w:t>
      </w:r>
      <w:r w:rsidR="00D10712" w:rsidRPr="00E24C32">
        <w:rPr>
          <w:b/>
          <w:bCs/>
          <w:i/>
          <w:iCs/>
        </w:rPr>
        <w:t xml:space="preserve">funding power </w:t>
      </w:r>
      <w:r w:rsidR="00D10712">
        <w:t>that can be implemented in public projects and drive social changes.</w:t>
      </w:r>
      <w:r w:rsidR="005C5C96">
        <w:t xml:space="preserve"> Moreover, community engagement can be used to include </w:t>
      </w:r>
      <w:r w:rsidR="005C5C96" w:rsidRPr="00E24C32">
        <w:rPr>
          <w:b/>
          <w:bCs/>
          <w:i/>
          <w:iCs/>
        </w:rPr>
        <w:t>communities</w:t>
      </w:r>
      <w:r w:rsidR="005C5C96">
        <w:t xml:space="preserve">, </w:t>
      </w:r>
      <w:r w:rsidR="005C5C96" w:rsidRPr="00E24C32">
        <w:rPr>
          <w:b/>
          <w:bCs/>
          <w:i/>
          <w:iCs/>
        </w:rPr>
        <w:t>voluntary, individuals</w:t>
      </w:r>
      <w:r w:rsidR="005C5C96">
        <w:t xml:space="preserve">, and </w:t>
      </w:r>
      <w:r w:rsidR="005C5C96" w:rsidRPr="00E24C32">
        <w:rPr>
          <w:b/>
          <w:bCs/>
          <w:i/>
          <w:iCs/>
        </w:rPr>
        <w:t xml:space="preserve">public sectors </w:t>
      </w:r>
      <w:r w:rsidR="005C5C96">
        <w:t xml:space="preserve">in order to address </w:t>
      </w:r>
      <w:r w:rsidR="005C5C96" w:rsidRPr="00E24C32">
        <w:rPr>
          <w:b/>
          <w:bCs/>
          <w:i/>
          <w:iCs/>
        </w:rPr>
        <w:t>local, national, or global issues</w:t>
      </w:r>
      <w:r w:rsidR="005C5C96">
        <w:t>.</w:t>
      </w:r>
      <w:r w:rsidR="00220B4C">
        <w:t xml:space="preserve"> Further, Community Engagement mainly has</w:t>
      </w:r>
      <w:r w:rsidR="00E24C32">
        <w:t xml:space="preserve"> some</w:t>
      </w:r>
      <w:r w:rsidR="00220B4C">
        <w:t xml:space="preserve"> principles, which are </w:t>
      </w:r>
      <w:proofErr w:type="spellStart"/>
      <w:r w:rsidR="00220B4C" w:rsidRPr="00E24C32">
        <w:rPr>
          <w:b/>
          <w:bCs/>
          <w:i/>
          <w:iCs/>
        </w:rPr>
        <w:t>strategising</w:t>
      </w:r>
      <w:proofErr w:type="spellEnd"/>
      <w:r w:rsidR="00220B4C" w:rsidRPr="00E24C32">
        <w:rPr>
          <w:b/>
          <w:bCs/>
          <w:i/>
          <w:iCs/>
        </w:rPr>
        <w:t xml:space="preserve"> and preparation, diversity and inclusion, collaboration, learning, action, transparency, </w:t>
      </w:r>
      <w:r w:rsidR="00220B4C" w:rsidRPr="00E24C32">
        <w:t xml:space="preserve">and </w:t>
      </w:r>
      <w:r w:rsidR="00220B4C" w:rsidRPr="00E24C32">
        <w:rPr>
          <w:b/>
          <w:bCs/>
          <w:i/>
          <w:iCs/>
        </w:rPr>
        <w:t>sustainable engagement</w:t>
      </w:r>
      <w:r w:rsidR="003F5918">
        <w:t xml:space="preserve"> (</w:t>
      </w:r>
      <w:r w:rsidR="003F5918" w:rsidRPr="003F5918">
        <w:t xml:space="preserve">Mitchell </w:t>
      </w:r>
      <w:r w:rsidR="003F5918" w:rsidRPr="003F5918">
        <w:rPr>
          <w:i/>
          <w:iCs/>
        </w:rPr>
        <w:t>et al</w:t>
      </w:r>
      <w:r w:rsidR="003F5918" w:rsidRPr="003F5918">
        <w:t>., 2019</w:t>
      </w:r>
      <w:r w:rsidR="003F5918">
        <w:t>)</w:t>
      </w:r>
      <w:r w:rsidR="00220B4C">
        <w:t>.</w:t>
      </w:r>
      <w:r w:rsidR="00A7700A">
        <w:t xml:space="preserve"> The report will consist of several factors of analysing the right approach for developing relationships with stakeholders with the help of stakeholder analysis</w:t>
      </w:r>
      <w:r w:rsidR="00151165">
        <w:t xml:space="preserve"> and will focus on the "</w:t>
      </w:r>
      <w:r w:rsidR="00151165" w:rsidRPr="00151165">
        <w:rPr>
          <w:b/>
          <w:bCs/>
          <w:i/>
          <w:iCs/>
        </w:rPr>
        <w:t>Together We Can</w:t>
      </w:r>
      <w:r w:rsidR="00151165">
        <w:t>” community engagement project</w:t>
      </w:r>
      <w:r w:rsidR="00A7700A">
        <w:t>.</w:t>
      </w:r>
      <w:r w:rsidR="00617F25">
        <w:t xml:space="preserve"> Moreover, it will include several strategies that can assist in engaging with stakeholders with the help of social media platforms.</w:t>
      </w:r>
      <w:r w:rsidR="00975D14">
        <w:t xml:space="preserve"> Additionally, it will incorporate different opportunities to promote diversity, inclusion, collaboration, multi-culturalism, and many more.</w:t>
      </w:r>
    </w:p>
    <w:p w14:paraId="4375832A" w14:textId="77777777" w:rsidR="00D37DD9" w:rsidRDefault="00000000">
      <w:pPr>
        <w:spacing w:line="259" w:lineRule="auto"/>
        <w:jc w:val="left"/>
        <w:rPr>
          <w:rFonts w:eastAsiaTheme="majorEastAsia" w:cstheme="majorBidi"/>
          <w:b/>
          <w:color w:val="000000" w:themeColor="text1"/>
          <w:szCs w:val="32"/>
        </w:rPr>
      </w:pPr>
      <w:r>
        <w:br w:type="page"/>
      </w:r>
    </w:p>
    <w:p w14:paraId="0E35CB9C" w14:textId="77777777" w:rsidR="005B5999" w:rsidRDefault="00000000" w:rsidP="00CD6700">
      <w:pPr>
        <w:pStyle w:val="Heading1"/>
      </w:pPr>
      <w:r>
        <w:lastRenderedPageBreak/>
        <w:t>Discussion</w:t>
      </w:r>
    </w:p>
    <w:p w14:paraId="40D0E1FC" w14:textId="77777777" w:rsidR="004E7879" w:rsidRPr="00A86915" w:rsidRDefault="00000000" w:rsidP="004E7879">
      <w:pPr>
        <w:pStyle w:val="Heading2"/>
      </w:pPr>
      <w:r w:rsidRPr="00A86915">
        <w:t>Identify how best to establish the relationship between the stakeholders</w:t>
      </w:r>
    </w:p>
    <w:p w14:paraId="287A50DF" w14:textId="77777777" w:rsidR="004E7879" w:rsidRPr="00273A9C" w:rsidRDefault="00000000" w:rsidP="004E7879">
      <w:r w:rsidRPr="00273A9C">
        <w:t xml:space="preserve">One can consider </w:t>
      </w:r>
      <w:proofErr w:type="gramStart"/>
      <w:r w:rsidRPr="00273A9C">
        <w:t>a large number of</w:t>
      </w:r>
      <w:proofErr w:type="gramEnd"/>
      <w:r w:rsidRPr="00273A9C">
        <w:t xml:space="preserve"> people as stakeholders to grow more relations and can create a larger network of trust and cooperation (Jones </w:t>
      </w:r>
      <w:r w:rsidRPr="00273A9C">
        <w:rPr>
          <w:i/>
          <w:iCs/>
        </w:rPr>
        <w:t>et al</w:t>
      </w:r>
      <w:r w:rsidRPr="00273A9C">
        <w:t xml:space="preserve">., 2018). Effective management of stakeholders is necessary as the people related to an organisation or community are treated as a stakeholder irrespective of their intentions. Growing assertive relationships with stakeholders can help individuals in their growth and make them more effective in the process. However, failed attempts in making positive relationships with stakeholders can cause a delay in the process </w:t>
      </w:r>
      <w:proofErr w:type="gramStart"/>
      <w:r w:rsidRPr="00273A9C">
        <w:t>and also</w:t>
      </w:r>
      <w:proofErr w:type="gramEnd"/>
      <w:r w:rsidRPr="00273A9C">
        <w:t xml:space="preserve"> be a risky thing for individuals. In order to build excellent relationships with various stakeholders, individuals should follow the required strategies.</w:t>
      </w:r>
    </w:p>
    <w:p w14:paraId="777D4A0F" w14:textId="77777777" w:rsidR="004E7879" w:rsidRPr="00273A9C" w:rsidRDefault="00000000" w:rsidP="004E7879">
      <w:r w:rsidRPr="00273A9C">
        <w:t xml:space="preserve">It is very necessary to identify who are the stakeholders related to the community engagement project. There can be two kinds of groups that are treated as stakeholders. The first one is the group that directly has a huge interest in the project and the second one is that is getting affected by the happening of the project. One should organise the stakeholders to know their priority-wise influence and impact on the project (de Oliveira and </w:t>
      </w:r>
      <w:proofErr w:type="spellStart"/>
      <w:r w:rsidRPr="00273A9C">
        <w:t>Rabechini</w:t>
      </w:r>
      <w:proofErr w:type="spellEnd"/>
      <w:r w:rsidRPr="00273A9C">
        <w:t xml:space="preserve"> Jr, 2019). In the together we can community project, stakeholders are a necessary entity as they are believed that they are part of the project. </w:t>
      </w:r>
    </w:p>
    <w:p w14:paraId="1C8F137E" w14:textId="77777777" w:rsidR="004E7879" w:rsidRPr="00273A9C" w:rsidRDefault="00000000" w:rsidP="004E7879">
      <w:r w:rsidRPr="00273A9C">
        <w:t>Stakeholders should have the knowledge of the project that is going to be executed irrespective of how they are related to the project. In community engagement projects it is already necessary to involve stakeholders directly so that they can play their role in exchange for their wellbeing. Communicating with stakeholders is also necessary so that they can know the status of the project.</w:t>
      </w:r>
    </w:p>
    <w:p w14:paraId="37EB8DEF" w14:textId="77777777" w:rsidR="004E7879" w:rsidRPr="00273A9C" w:rsidRDefault="00000000" w:rsidP="004E7879">
      <w:r w:rsidRPr="00273A9C">
        <w:t>In some cases, stakeholders are constant with their individual opinion in this virtual era of communication. A few stakeholders can be stubborn and maybe not be interested in the mass agreement and in community engagement projects it is necessary to have the same mass opinion (</w:t>
      </w:r>
      <w:proofErr w:type="spellStart"/>
      <w:r w:rsidRPr="00273A9C">
        <w:t>Rajhans</w:t>
      </w:r>
      <w:proofErr w:type="spellEnd"/>
      <w:r w:rsidRPr="00273A9C">
        <w:t xml:space="preserve">, 2018). In that case, meeting the stakeholders, discussing problems with them and coming to a mutual understanding is a vital factor. A brief discussion with them can change their resistance into an agreement to mass opinions. </w:t>
      </w:r>
    </w:p>
    <w:p w14:paraId="62B0D666" w14:textId="77777777" w:rsidR="004E7879" w:rsidRPr="00273A9C" w:rsidRDefault="00000000" w:rsidP="004E7879">
      <w:r w:rsidRPr="00273A9C">
        <w:t xml:space="preserve">Providing feedback on the project outcomes can be effective to build excellent stakeholder relationships. A genuine reflection on what happened on the project can give stakeholders a </w:t>
      </w:r>
      <w:r w:rsidRPr="00273A9C">
        <w:lastRenderedPageBreak/>
        <w:t xml:space="preserve">clear idea of their </w:t>
      </w:r>
      <w:proofErr w:type="gramStart"/>
      <w:r w:rsidRPr="00273A9C">
        <w:t>particular interests</w:t>
      </w:r>
      <w:proofErr w:type="gramEnd"/>
      <w:r w:rsidRPr="00273A9C">
        <w:t xml:space="preserve"> that are going to fulfil. It is also effective to attract more stakeholders if the results or outcomes of the community engagement are positive. </w:t>
      </w:r>
    </w:p>
    <w:p w14:paraId="351DF952" w14:textId="77777777" w:rsidR="004E7879" w:rsidRPr="00273A9C" w:rsidRDefault="00000000" w:rsidP="004E7879">
      <w:pPr>
        <w:pStyle w:val="Heading2"/>
      </w:pPr>
      <w:r w:rsidRPr="00A86915">
        <w:t xml:space="preserve">What strategies are suitable for engaging them (social media platforms)? </w:t>
      </w:r>
    </w:p>
    <w:p w14:paraId="59F298B4" w14:textId="77777777" w:rsidR="004E7879" w:rsidRPr="00273A9C" w:rsidRDefault="00000000" w:rsidP="004E7879">
      <w:r w:rsidRPr="00273A9C">
        <w:t>In order to engage more stakeholders</w:t>
      </w:r>
      <w:r>
        <w:t xml:space="preserve"> and achieve effective communication with local communities</w:t>
      </w:r>
      <w:r w:rsidRPr="00273A9C">
        <w:t xml:space="preserve"> in the “Together we can” community engagement project there is a need to take help of necessary strategies</w:t>
      </w:r>
      <w:r>
        <w:t xml:space="preserve"> (Chandan </w:t>
      </w:r>
      <w:r>
        <w:rPr>
          <w:i/>
          <w:iCs/>
        </w:rPr>
        <w:t>et al</w:t>
      </w:r>
      <w:r w:rsidRPr="00273A9C">
        <w:t>.</w:t>
      </w:r>
      <w:r>
        <w:t>, 2021).</w:t>
      </w:r>
      <w:r w:rsidRPr="00273A9C">
        <w:t xml:space="preserve">  The strategies contain various activities and important measures that are relevant to community engagement. In a community project like “Together we can” creative art acts as a language to convince more people to join. Creative art can be of various forms such as dance, drama and poetry, music and many others and they are used to express the challenges of the community. Community mapping and gathering resources from them is another strategy to engage local institutions, associations and individuals and the economy also. Various activities are needed to attract community assets such as civil construction in the local areas. </w:t>
      </w:r>
    </w:p>
    <w:p w14:paraId="4AD90A08" w14:textId="7A1DEB62" w:rsidR="004E7879" w:rsidRPr="00273A9C" w:rsidRDefault="00000000" w:rsidP="004E7879">
      <w:r w:rsidRPr="00273A9C">
        <w:t xml:space="preserve">Public meetings are another strategy to gather more stakeholders as it is an open invitations to a large pool of people. Holding a public meeting can bring various complex scenarios and issues into the light as people are allowed to ask open questions and raise issues. Interviews can help too in this matter to promote individualism and have wider views and experiences. The interview processes can be of various types such as virtual, telephonic, personal, face-to-face or </w:t>
      </w:r>
      <w:proofErr w:type="gramStart"/>
      <w:r w:rsidRPr="00273A9C">
        <w:t>competency-based</w:t>
      </w:r>
      <w:proofErr w:type="gramEnd"/>
      <w:r w:rsidRPr="00273A9C">
        <w:t xml:space="preserve">. </w:t>
      </w:r>
    </w:p>
    <w:p w14:paraId="0362AA2E" w14:textId="77777777" w:rsidR="004E7879" w:rsidRDefault="00000000" w:rsidP="004E7879">
      <w:r w:rsidRPr="00273A9C">
        <w:t xml:space="preserve">To promote community engagement, workshops can be held to encourage people to collaborate to resolve issues. It finds another way to engage project participants and promotes community involvement. Moreover, forums can be used to </w:t>
      </w:r>
      <w:r>
        <w:t xml:space="preserve">engage with more </w:t>
      </w:r>
      <w:proofErr w:type="gramStart"/>
      <w:r>
        <w:t>stakeholders</w:t>
      </w:r>
      <w:proofErr w:type="gramEnd"/>
      <w:r>
        <w:t xml:space="preserve"> and this is a very common method to do it. Forums are monitored and dictated by </w:t>
      </w:r>
      <w:proofErr w:type="gramStart"/>
      <w:r>
        <w:t>moderators</w:t>
      </w:r>
      <w:proofErr w:type="gramEnd"/>
      <w:r>
        <w:t xml:space="preserve"> and it is responsible for meeting with more people to have knowledge of their views. </w:t>
      </w:r>
    </w:p>
    <w:p w14:paraId="7B274EF2" w14:textId="77777777" w:rsidR="004E7879" w:rsidRDefault="00000000" w:rsidP="004E7879">
      <w:r>
        <w:t xml:space="preserve">A web-based engagement is also preferable by project admins for faster and more effective communication with communities. This allows users to engage from different regions across the globe </w:t>
      </w:r>
      <w:proofErr w:type="gramStart"/>
      <w:r>
        <w:t>and also</w:t>
      </w:r>
      <w:proofErr w:type="gramEnd"/>
      <w:r>
        <w:t xml:space="preserve"> is a cost-efficient method. Learning from past experiences and identifying the mistakes in the present and saving scenarios for future search are also appreciated. Future search helps in not repeating the same mistakes and it is the strategy that sets future expectations from the community members. Open space technology is also useful to bring more stakeholders under the same roof. This theme-based strategy allows participants to mention the </w:t>
      </w:r>
      <w:r>
        <w:lastRenderedPageBreak/>
        <w:t>agenda and moderators then harvest different ideas and focus on managing time. It helps the stakeholders to enhance their knowledge, learning and collaborative work.</w:t>
      </w:r>
    </w:p>
    <w:p w14:paraId="2E0C8882" w14:textId="77777777" w:rsidR="004E7879" w:rsidRPr="004E7879" w:rsidRDefault="00000000" w:rsidP="004E7879">
      <w:r>
        <w:t xml:space="preserve">All these strategies surely help to gather more stakeholders in the community engagement projects but there is another strategy that can get a huge response from the stakeholders (Nguyen </w:t>
      </w:r>
      <w:r>
        <w:rPr>
          <w:i/>
          <w:iCs/>
        </w:rPr>
        <w:t>et al</w:t>
      </w:r>
      <w:r>
        <w:t>., 2018). The role of social media and its uses to reach and engage more stakeholders is important in the “Together we can” community engagement project. It is the easier way to communicate in modern days and people are more often searching for collaborative ventures. It is the fun process of gathering and retaining stakeholders as here people tell their own stories regarding projects and relevant works. Social media has a huge role in targeting specific people or communities and engaging them eventually. With the use of various social media applications such as Facebook, Instagram, Twitter and many others, project moderators target the influencers to engage in the project. In this way, they target people of every age group, especially the youth so that the social reach can be more powerful. Sending official emails to influencers regarding collaboration can assist in their communication (</w:t>
      </w:r>
      <w:r>
        <w:rPr>
          <w:shd w:val="clear" w:color="auto" w:fill="FFFFFF"/>
        </w:rPr>
        <w:t>Schaffer, 2022)</w:t>
      </w:r>
      <w:r>
        <w:t>. Social media and relevant applications are useful tools to gather stakeholders for the “Together we can” project.</w:t>
      </w:r>
    </w:p>
    <w:p w14:paraId="31DDC0F7" w14:textId="77777777" w:rsidR="005B5999" w:rsidRDefault="00000000" w:rsidP="00151165">
      <w:pPr>
        <w:pStyle w:val="Heading2"/>
      </w:pPr>
      <w:r>
        <w:t>Analysis to explore relevant avenues to promote community participation, collaboration, diversity, and inclusion to enable socio-cultural integration and multi-culturalism</w:t>
      </w:r>
    </w:p>
    <w:p w14:paraId="23408020" w14:textId="77777777" w:rsidR="00D74089" w:rsidRDefault="00000000" w:rsidP="00CE1B37">
      <w:r>
        <w:t>With the increasing uncertainty all over the world, it is necessary for the government of a country to oversee the factors that can help them to address the issues.</w:t>
      </w:r>
      <w:r w:rsidR="00541D8A">
        <w:t xml:space="preserve"> Moreover, sustainable community development can help in enhancing and expanding the aspects of gaining economic and social opportunities, which can assist in enhancing the quality of life.</w:t>
      </w:r>
      <w:r w:rsidR="00314556">
        <w:t xml:space="preserve"> This can be addressed with the help of </w:t>
      </w:r>
      <w:r w:rsidR="00314556" w:rsidRPr="006A63E0">
        <w:rPr>
          <w:b/>
          <w:bCs/>
          <w:i/>
          <w:iCs/>
        </w:rPr>
        <w:t>Community Participation</w:t>
      </w:r>
      <w:r w:rsidR="00314556">
        <w:t>, which is defined as the method of resolving the issues that increase the involvement of people and help in identifying the issues and their relevant solutions</w:t>
      </w:r>
      <w:r w:rsidR="00B86847">
        <w:t xml:space="preserve"> </w:t>
      </w:r>
      <w:r w:rsidR="00B86847" w:rsidRPr="00FE7E68">
        <w:t>(</w:t>
      </w:r>
      <w:r w:rsidR="00FE7E68" w:rsidRPr="00FE7E68">
        <w:t xml:space="preserve">Marston </w:t>
      </w:r>
      <w:r w:rsidR="00FE7E68" w:rsidRPr="00FE7E68">
        <w:rPr>
          <w:i/>
          <w:iCs/>
        </w:rPr>
        <w:t>et al</w:t>
      </w:r>
      <w:r w:rsidR="00FE7E68" w:rsidRPr="00FE7E68">
        <w:t>., 2020</w:t>
      </w:r>
      <w:r w:rsidR="00B86847">
        <w:t>).</w:t>
      </w:r>
      <w:r w:rsidR="00310F81">
        <w:t xml:space="preserve"> Further, it is essential for analysing the importance of societal development and increase the effectiveness to address big issues.</w:t>
      </w:r>
      <w:r w:rsidR="000D5D34">
        <w:t xml:space="preserve"> According </w:t>
      </w:r>
      <w:r w:rsidR="000D5D34" w:rsidRPr="000D5D34">
        <w:t xml:space="preserve">to Brown </w:t>
      </w:r>
      <w:r w:rsidR="000D5D34" w:rsidRPr="000D5D34">
        <w:rPr>
          <w:i/>
          <w:iCs/>
        </w:rPr>
        <w:t>et al</w:t>
      </w:r>
      <w:r w:rsidR="000D5D34" w:rsidRPr="000D5D34">
        <w:t>. (2022</w:t>
      </w:r>
      <w:r w:rsidR="000D5D34">
        <w:t>),</w:t>
      </w:r>
      <w:r w:rsidR="0020546F">
        <w:t xml:space="preserve"> it has been identified that </w:t>
      </w:r>
      <w:r w:rsidR="0020546F" w:rsidRPr="00802E84">
        <w:rPr>
          <w:b/>
          <w:bCs/>
          <w:i/>
          <w:iCs/>
        </w:rPr>
        <w:t>Community Surveys</w:t>
      </w:r>
      <w:r w:rsidR="0020546F">
        <w:t xml:space="preserve"> can help an individual to increase the aspects of </w:t>
      </w:r>
      <w:r w:rsidR="00802E84">
        <w:rPr>
          <w:b/>
          <w:bCs/>
          <w:i/>
          <w:iCs/>
        </w:rPr>
        <w:t>C</w:t>
      </w:r>
      <w:r w:rsidR="0020546F" w:rsidRPr="00802E84">
        <w:rPr>
          <w:b/>
          <w:bCs/>
          <w:i/>
          <w:iCs/>
        </w:rPr>
        <w:t xml:space="preserve">ommunity </w:t>
      </w:r>
      <w:r w:rsidR="00802E84">
        <w:rPr>
          <w:b/>
          <w:bCs/>
          <w:i/>
          <w:iCs/>
        </w:rPr>
        <w:t>P</w:t>
      </w:r>
      <w:r w:rsidR="0020546F" w:rsidRPr="00802E84">
        <w:rPr>
          <w:b/>
          <w:bCs/>
          <w:i/>
          <w:iCs/>
        </w:rPr>
        <w:t>articipation</w:t>
      </w:r>
      <w:r w:rsidR="0020546F">
        <w:t xml:space="preserve"> and gain the vision to enhance the operations aspects.</w:t>
      </w:r>
      <w:r w:rsidR="00802E84">
        <w:t xml:space="preserve"> In accordance with the analysis, it has been assessed that implementation of Community Surveys in the Community Engagement Project "Together We Can" will oversee to increase the effectiveness of civic renewal and escalate the aspects of continuous improvement in public service delivery.</w:t>
      </w:r>
    </w:p>
    <w:p w14:paraId="7C800E88" w14:textId="77777777" w:rsidR="002B51AF" w:rsidRDefault="00000000" w:rsidP="00CE1B37">
      <w:r>
        <w:lastRenderedPageBreak/>
        <w:t>On the other hand</w:t>
      </w:r>
      <w:r w:rsidRPr="00355B94">
        <w:t xml:space="preserve">, Organizers </w:t>
      </w:r>
      <w:r w:rsidRPr="00355B94">
        <w:rPr>
          <w:i/>
          <w:iCs/>
        </w:rPr>
        <w:t>et al</w:t>
      </w:r>
      <w:r w:rsidRPr="00355B94">
        <w:t xml:space="preserve">. </w:t>
      </w:r>
      <w:r w:rsidR="00186541">
        <w:t>(</w:t>
      </w:r>
      <w:r w:rsidRPr="00355B94">
        <w:t>2019</w:t>
      </w:r>
      <w:r w:rsidR="00186541">
        <w:t>)</w:t>
      </w:r>
      <w:r>
        <w:t>,</w:t>
      </w:r>
      <w:r w:rsidR="00186541">
        <w:t xml:space="preserve"> stated that </w:t>
      </w:r>
      <w:r w:rsidR="00186541" w:rsidRPr="006929A6">
        <w:rPr>
          <w:b/>
          <w:bCs/>
          <w:i/>
          <w:iCs/>
        </w:rPr>
        <w:t>Round Table Discussion</w:t>
      </w:r>
      <w:r w:rsidR="00186541">
        <w:t xml:space="preserve"> </w:t>
      </w:r>
      <w:r w:rsidR="00340924">
        <w:t>is a process that helps a group of people to agree on a specific statement with the reference to debate, and discussion.</w:t>
      </w:r>
      <w:r w:rsidR="003E7F88">
        <w:t xml:space="preserve"> Moreover, it can help in addressing the </w:t>
      </w:r>
      <w:r w:rsidR="003E7F88" w:rsidRPr="00D52EBB">
        <w:rPr>
          <w:b/>
          <w:bCs/>
          <w:i/>
          <w:iCs/>
        </w:rPr>
        <w:t>Collaboration</w:t>
      </w:r>
      <w:r w:rsidR="003E7F88">
        <w:t xml:space="preserve"> aspects as it mainly focuses on identifying the advantages as well as disadvantages of different avenues.</w:t>
      </w:r>
      <w:r w:rsidR="00F30C41">
        <w:t xml:space="preserve"> In addition to this, it has helped in analysing the aspects of the "Together We Can" Community Engagement project as it will help them to analyse the right and effective approach to acquiring development and improvement.</w:t>
      </w:r>
      <w:r w:rsidR="0068747F">
        <w:t xml:space="preserve"> However</w:t>
      </w:r>
      <w:r w:rsidR="0068747F" w:rsidRPr="00D21EF8">
        <w:t xml:space="preserve">, </w:t>
      </w:r>
      <w:proofErr w:type="spellStart"/>
      <w:r w:rsidR="00D06595" w:rsidRPr="00D21EF8">
        <w:t>Barranger</w:t>
      </w:r>
      <w:proofErr w:type="spellEnd"/>
      <w:r w:rsidR="00D06595" w:rsidRPr="00D21EF8">
        <w:t xml:space="preserve"> </w:t>
      </w:r>
      <w:r w:rsidR="00D06595" w:rsidRPr="00D21EF8">
        <w:rPr>
          <w:i/>
          <w:iCs/>
        </w:rPr>
        <w:t>et al</w:t>
      </w:r>
      <w:r w:rsidR="00D06595" w:rsidRPr="00D21EF8">
        <w:t>. (2019),</w:t>
      </w:r>
      <w:r w:rsidR="00C827DD">
        <w:t xml:space="preserve"> indicated that </w:t>
      </w:r>
      <w:r w:rsidR="00C827DD" w:rsidRPr="000E7669">
        <w:rPr>
          <w:b/>
          <w:bCs/>
          <w:i/>
          <w:iCs/>
        </w:rPr>
        <w:t>Diversity and Inclusion</w:t>
      </w:r>
      <w:r w:rsidR="00C827DD">
        <w:t xml:space="preserve"> can assist in addressing factors of enabling multi-culturalism, and socio-cultural integration.</w:t>
      </w:r>
      <w:r w:rsidR="000E488A">
        <w:t xml:space="preserve"> This aspect can help in involving different communities and engage them to analyse and understand the needs in order to get an aspect of continuous enhancement in Public Service Delivery.</w:t>
      </w:r>
      <w:r w:rsidR="009724C7">
        <w:t xml:space="preserve"> Moreover, Diversity and Inclusion in the area of the Community Engagement Project "Together We Can" will be addressed as it assists in differentiating and promoting the socio-cultural aspects and multi-culturalism.</w:t>
      </w:r>
    </w:p>
    <w:p w14:paraId="57BA7F7A" w14:textId="77777777" w:rsidR="00B937E2" w:rsidRDefault="00000000" w:rsidP="00CE1B37">
      <w:r>
        <w:t>Moreover, this can be addressed with the help of avenues such as Focusing on Groups that can focus on seeking the approaches to carefully select and understand the issue</w:t>
      </w:r>
      <w:r w:rsidR="005F2CE6">
        <w:t>s.</w:t>
      </w:r>
      <w:r w:rsidR="002B6FE5">
        <w:t xml:space="preserve"> Moreover, </w:t>
      </w:r>
      <w:r w:rsidR="002B51AF">
        <w:t>social media</w:t>
      </w:r>
      <w:r w:rsidR="002B6FE5">
        <w:t xml:space="preserve"> can help in effective community engagement as most of the people in the United Kingdom are declined towards using the internet after COVID-19.</w:t>
      </w:r>
      <w:r w:rsidR="00162B87">
        <w:t xml:space="preserve"> In the year 2022, there were about 58 million active users in the United Kingdom (</w:t>
      </w:r>
      <w:r w:rsidR="00477385">
        <w:t>statista.com, 2022</w:t>
      </w:r>
      <w:r w:rsidR="00162B87">
        <w:t>). Therefore, it can help in targeting people that will oversee the aspect of Community Engagement regarding “Together We Can”.</w:t>
      </w:r>
      <w:r w:rsidR="00FC779B">
        <w:t xml:space="preserve"> Thus, with the help of analysis, it can be analysed that these avenues can assist in promoting the right aspects of community engagement such as participation, diversity, inclusion, and collaboration.</w:t>
      </w:r>
    </w:p>
    <w:p w14:paraId="28B93FC4" w14:textId="77777777" w:rsidR="00B937E2" w:rsidRDefault="00000000">
      <w:pPr>
        <w:spacing w:line="259" w:lineRule="auto"/>
        <w:jc w:val="left"/>
      </w:pPr>
      <w:r>
        <w:br w:type="page"/>
      </w:r>
    </w:p>
    <w:p w14:paraId="65D010E0" w14:textId="77777777" w:rsidR="00B937E2" w:rsidRDefault="00000000" w:rsidP="00B937E2">
      <w:pPr>
        <w:pStyle w:val="Heading1"/>
      </w:pPr>
      <w:r>
        <w:lastRenderedPageBreak/>
        <w:t xml:space="preserve">Conclusion </w:t>
      </w:r>
    </w:p>
    <w:p w14:paraId="7A2456EF" w14:textId="77777777" w:rsidR="00B937E2" w:rsidRDefault="00000000" w:rsidP="00B937E2">
      <w:r>
        <w:t>This report focuses on "</w:t>
      </w:r>
      <w:r w:rsidRPr="009E27AD">
        <w:rPr>
          <w:b/>
          <w:i/>
        </w:rPr>
        <w:t>Together we can</w:t>
      </w:r>
      <w:r>
        <w:t xml:space="preserve">" as the chosen community engagement program. Upon analysis it helped in understanding the motive of the program is to address challenges and benefit the diverse population of the UK. It is also evident that prominent stakeholder engagement is vital for the sake of the success of this project. In addition, some of the relevant avenues like Roundtable discussions and community surveys can be utilised for influencing vital aspects like community participation and collaboration. The report also reflects the importance of addressing the diverse population of the UK and the inclusivity importance in these community engagement projects, as it is the key to incessantly improving the public service deliverance and maintaining equality. Still, </w:t>
      </w:r>
      <w:proofErr w:type="gramStart"/>
      <w:r>
        <w:t>in regards to</w:t>
      </w:r>
      <w:proofErr w:type="gramEnd"/>
      <w:r>
        <w:t xml:space="preserve"> sagacious perception some recommendations are made;</w:t>
      </w:r>
    </w:p>
    <w:p w14:paraId="5F280ECD" w14:textId="77777777" w:rsidR="00B937E2" w:rsidRDefault="00000000" w:rsidP="00B937E2">
      <w:pPr>
        <w:pStyle w:val="ListParagraph"/>
        <w:numPr>
          <w:ilvl w:val="0"/>
          <w:numId w:val="1"/>
        </w:numPr>
      </w:pPr>
      <w:r w:rsidRPr="000C0913">
        <w:rPr>
          <w:b/>
          <w:i/>
        </w:rPr>
        <w:t>Social media</w:t>
      </w:r>
      <w:r>
        <w:t xml:space="preserve"> must be utilised by the government to engage all the stakeholders, specifically the relevant proportion of the population.  Adopting social media by the local authority will help in explicitly identify the existing issues and evaluate the progress of the respective community engagement projects (</w:t>
      </w:r>
      <w:r w:rsidRPr="00B45E44">
        <w:t>Santoso</w:t>
      </w:r>
      <w:r>
        <w:t xml:space="preserve"> </w:t>
      </w:r>
      <w:r w:rsidRPr="000C0913">
        <w:rPr>
          <w:i/>
        </w:rPr>
        <w:t>et al.</w:t>
      </w:r>
      <w:r>
        <w:t xml:space="preserve">, 2020). Thus, this report recommends mutual use of social media to reach a wider proportion of the population and make the project </w:t>
      </w:r>
      <w:proofErr w:type="gramStart"/>
      <w:r>
        <w:t>perception-rich</w:t>
      </w:r>
      <w:proofErr w:type="gramEnd"/>
      <w:r>
        <w:t xml:space="preserve">. </w:t>
      </w:r>
    </w:p>
    <w:p w14:paraId="1ECCB19B" w14:textId="77777777" w:rsidR="00151165" w:rsidRPr="00B937E2" w:rsidRDefault="00000000" w:rsidP="00CE1B37">
      <w:pPr>
        <w:pStyle w:val="ListParagraph"/>
        <w:numPr>
          <w:ilvl w:val="0"/>
          <w:numId w:val="1"/>
        </w:numPr>
        <w:rPr>
          <w:caps/>
        </w:rPr>
      </w:pPr>
      <w:r>
        <w:t xml:space="preserve">Considering the </w:t>
      </w:r>
      <w:r w:rsidRPr="000C0913">
        <w:rPr>
          <w:b/>
          <w:i/>
        </w:rPr>
        <w:t>diversity</w:t>
      </w:r>
      <w:r>
        <w:t xml:space="preserve"> present within the UK population, these Community engagement programs must be inclusive in their nature. As this program is supposed to help the relentless improvement of service delivery and provide equality, it is vital, that complaints and perceptions from all the communities must be addressed, which data can be gathered from social media. To improve the quality and efficacy of these data, AI can be used for mining the relevant data. This will help in garnering accurate data interpretation and providing relevant algorithms </w:t>
      </w:r>
      <w:r w:rsidRPr="000C0913">
        <w:rPr>
          <w:rFonts w:cs="Times New Roman"/>
          <w:szCs w:val="24"/>
          <w:lang w:val="en-GB"/>
        </w:rPr>
        <w:t xml:space="preserve">(Frey </w:t>
      </w:r>
      <w:r w:rsidRPr="000C0913">
        <w:rPr>
          <w:rFonts w:cs="Times New Roman"/>
          <w:i/>
          <w:szCs w:val="24"/>
          <w:lang w:val="en-GB"/>
        </w:rPr>
        <w:t>et al.</w:t>
      </w:r>
      <w:r w:rsidRPr="000C0913">
        <w:rPr>
          <w:rFonts w:cs="Times New Roman"/>
          <w:szCs w:val="24"/>
          <w:lang w:val="en-GB"/>
        </w:rPr>
        <w:t>, 2020</w:t>
      </w:r>
      <w:r>
        <w:t>).</w:t>
      </w:r>
    </w:p>
    <w:p w14:paraId="2DC646B3" w14:textId="77777777" w:rsidR="00E24C32" w:rsidRDefault="00E24C32" w:rsidP="00E24C32"/>
    <w:p w14:paraId="2A930E21" w14:textId="77777777" w:rsidR="006E1BC1" w:rsidRDefault="00000000">
      <w:pPr>
        <w:spacing w:line="259" w:lineRule="auto"/>
        <w:jc w:val="left"/>
        <w:rPr>
          <w:rFonts w:eastAsiaTheme="majorEastAsia" w:cstheme="majorBidi"/>
          <w:b/>
          <w:color w:val="000000" w:themeColor="text1"/>
          <w:szCs w:val="32"/>
        </w:rPr>
      </w:pPr>
      <w:r>
        <w:br w:type="page"/>
      </w:r>
    </w:p>
    <w:p w14:paraId="6691DE4E" w14:textId="77777777" w:rsidR="005B5999" w:rsidRDefault="00000000" w:rsidP="00CD6700">
      <w:pPr>
        <w:pStyle w:val="Heading1"/>
      </w:pPr>
      <w:r>
        <w:lastRenderedPageBreak/>
        <w:t>Reference list</w:t>
      </w:r>
    </w:p>
    <w:p w14:paraId="050A39C5" w14:textId="77777777" w:rsidR="00B61DBB" w:rsidRPr="00B61DBB" w:rsidRDefault="00000000" w:rsidP="00657889">
      <w:pPr>
        <w:rPr>
          <w:rFonts w:cs="Times New Roman"/>
          <w:color w:val="000000" w:themeColor="text1"/>
          <w:szCs w:val="24"/>
          <w:vertAlign w:val="subscript"/>
        </w:rPr>
      </w:pPr>
      <w:proofErr w:type="spellStart"/>
      <w:r w:rsidRPr="00B61DBB">
        <w:rPr>
          <w:rFonts w:cs="Times New Roman"/>
          <w:color w:val="000000" w:themeColor="text1"/>
          <w:szCs w:val="24"/>
          <w:shd w:val="clear" w:color="auto" w:fill="FFFFFF"/>
        </w:rPr>
        <w:t>Barranger</w:t>
      </w:r>
      <w:proofErr w:type="spellEnd"/>
      <w:r w:rsidRPr="00B61DBB">
        <w:rPr>
          <w:rFonts w:cs="Times New Roman"/>
          <w:color w:val="000000" w:themeColor="text1"/>
          <w:szCs w:val="24"/>
          <w:shd w:val="clear" w:color="auto" w:fill="FFFFFF"/>
        </w:rPr>
        <w:t xml:space="preserve">, C., Gravely, E., Najeeb, H., Scott, J. and </w:t>
      </w:r>
      <w:proofErr w:type="spellStart"/>
      <w:r w:rsidRPr="00B61DBB">
        <w:rPr>
          <w:rFonts w:cs="Times New Roman"/>
          <w:color w:val="000000" w:themeColor="text1"/>
          <w:szCs w:val="24"/>
          <w:shd w:val="clear" w:color="auto" w:fill="FFFFFF"/>
        </w:rPr>
        <w:t>Wynia</w:t>
      </w:r>
      <w:proofErr w:type="spellEnd"/>
      <w:r w:rsidRPr="00B61DBB">
        <w:rPr>
          <w:rFonts w:cs="Times New Roman"/>
          <w:color w:val="000000" w:themeColor="text1"/>
          <w:szCs w:val="24"/>
          <w:shd w:val="clear" w:color="auto" w:fill="FFFFFF"/>
        </w:rPr>
        <w:t>, K., 2019. Equity, Diversity, and Inclusion Assessment of the Office of Community Engagement.</w:t>
      </w:r>
    </w:p>
    <w:p w14:paraId="7456EF77" w14:textId="77777777" w:rsidR="00B61DBB" w:rsidRPr="00B61DBB" w:rsidRDefault="00000000">
      <w:pPr>
        <w:rPr>
          <w:rFonts w:cs="Times New Roman"/>
          <w:color w:val="000000" w:themeColor="text1"/>
          <w:szCs w:val="24"/>
          <w:vertAlign w:val="subscript"/>
        </w:rPr>
      </w:pPr>
      <w:r w:rsidRPr="00B61DBB">
        <w:rPr>
          <w:rFonts w:cs="Times New Roman"/>
          <w:color w:val="000000" w:themeColor="text1"/>
          <w:szCs w:val="24"/>
          <w:shd w:val="clear" w:color="auto" w:fill="FFFFFF"/>
        </w:rPr>
        <w:t xml:space="preserve">Brown, G., </w:t>
      </w:r>
      <w:proofErr w:type="spellStart"/>
      <w:r w:rsidRPr="00B61DBB">
        <w:rPr>
          <w:rFonts w:cs="Times New Roman"/>
          <w:color w:val="000000" w:themeColor="text1"/>
          <w:szCs w:val="24"/>
          <w:shd w:val="clear" w:color="auto" w:fill="FFFFFF"/>
        </w:rPr>
        <w:t>Kyttä</w:t>
      </w:r>
      <w:proofErr w:type="spellEnd"/>
      <w:r w:rsidRPr="00B61DBB">
        <w:rPr>
          <w:rFonts w:cs="Times New Roman"/>
          <w:color w:val="000000" w:themeColor="text1"/>
          <w:szCs w:val="24"/>
          <w:shd w:val="clear" w:color="auto" w:fill="FFFFFF"/>
        </w:rPr>
        <w:t>, M. and Reed, P., 2022. Using community surveys with participatory mapping to monitor comprehensive plan implementation. </w:t>
      </w:r>
      <w:r w:rsidRPr="00B61DBB">
        <w:rPr>
          <w:rFonts w:cs="Times New Roman"/>
          <w:i/>
          <w:iCs/>
          <w:color w:val="000000" w:themeColor="text1"/>
          <w:szCs w:val="24"/>
          <w:shd w:val="clear" w:color="auto" w:fill="FFFFFF"/>
        </w:rPr>
        <w:t>Landscape and Urban Planning</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218</w:t>
      </w:r>
      <w:r w:rsidRPr="00B61DBB">
        <w:rPr>
          <w:rFonts w:cs="Times New Roman"/>
          <w:color w:val="000000" w:themeColor="text1"/>
          <w:szCs w:val="24"/>
          <w:shd w:val="clear" w:color="auto" w:fill="FFFFFF"/>
        </w:rPr>
        <w:t>, p.104306.</w:t>
      </w:r>
    </w:p>
    <w:p w14:paraId="462D8B36" w14:textId="77777777" w:rsidR="00B61DBB" w:rsidRPr="00B61DBB" w:rsidRDefault="00000000" w:rsidP="006E1BC1">
      <w:pPr>
        <w:rPr>
          <w:rFonts w:cs="Times New Roman"/>
          <w:color w:val="000000" w:themeColor="text1"/>
          <w:szCs w:val="24"/>
        </w:rPr>
      </w:pPr>
      <w:r w:rsidRPr="00B61DBB">
        <w:rPr>
          <w:rFonts w:cs="Times New Roman"/>
          <w:color w:val="000000" w:themeColor="text1"/>
          <w:szCs w:val="24"/>
          <w:shd w:val="clear" w:color="auto" w:fill="FFFFFF"/>
        </w:rPr>
        <w:t xml:space="preserve">Chandana, K.R., Memon, F., Narayan, R. and </w:t>
      </w:r>
      <w:proofErr w:type="spellStart"/>
      <w:r w:rsidRPr="00B61DBB">
        <w:rPr>
          <w:rFonts w:cs="Times New Roman"/>
          <w:color w:val="000000" w:themeColor="text1"/>
          <w:szCs w:val="24"/>
          <w:shd w:val="clear" w:color="auto" w:fill="FFFFFF"/>
        </w:rPr>
        <w:t>Manneh</w:t>
      </w:r>
      <w:proofErr w:type="spellEnd"/>
      <w:r w:rsidRPr="00B61DBB">
        <w:rPr>
          <w:rFonts w:cs="Times New Roman"/>
          <w:color w:val="000000" w:themeColor="text1"/>
          <w:szCs w:val="24"/>
          <w:shd w:val="clear" w:color="auto" w:fill="FFFFFF"/>
        </w:rPr>
        <w:t xml:space="preserve">, A., 2021. A Multidisciplinary Public Health Approach through Community Engagement in COVID-19 Prevention and Control-A Proposal for </w:t>
      </w:r>
      <w:proofErr w:type="spellStart"/>
      <w:r w:rsidRPr="00B61DBB">
        <w:rPr>
          <w:rFonts w:cs="Times New Roman"/>
          <w:color w:val="000000" w:themeColor="text1"/>
          <w:szCs w:val="24"/>
          <w:shd w:val="clear" w:color="auto" w:fill="FFFFFF"/>
        </w:rPr>
        <w:t>Bhadradri</w:t>
      </w:r>
      <w:proofErr w:type="spellEnd"/>
      <w:r w:rsidRPr="00B61DBB">
        <w:rPr>
          <w:rFonts w:cs="Times New Roman"/>
          <w:color w:val="000000" w:themeColor="text1"/>
          <w:szCs w:val="24"/>
          <w:shd w:val="clear" w:color="auto" w:fill="FFFFFF"/>
        </w:rPr>
        <w:t xml:space="preserve"> </w:t>
      </w:r>
      <w:proofErr w:type="spellStart"/>
      <w:r w:rsidRPr="00B61DBB">
        <w:rPr>
          <w:rFonts w:cs="Times New Roman"/>
          <w:color w:val="000000" w:themeColor="text1"/>
          <w:szCs w:val="24"/>
          <w:shd w:val="clear" w:color="auto" w:fill="FFFFFF"/>
        </w:rPr>
        <w:t>Kothagudem</w:t>
      </w:r>
      <w:proofErr w:type="spellEnd"/>
      <w:r w:rsidRPr="00B61DBB">
        <w:rPr>
          <w:rFonts w:cs="Times New Roman"/>
          <w:color w:val="000000" w:themeColor="text1"/>
          <w:szCs w:val="24"/>
          <w:shd w:val="clear" w:color="auto" w:fill="FFFFFF"/>
        </w:rPr>
        <w:t xml:space="preserve"> District in Telangana State.</w:t>
      </w:r>
    </w:p>
    <w:p w14:paraId="5C426E82" w14:textId="77777777" w:rsidR="00B61DBB" w:rsidRPr="00B61DBB" w:rsidRDefault="00000000" w:rsidP="006E1BC1">
      <w:pPr>
        <w:rPr>
          <w:rFonts w:cs="Times New Roman"/>
          <w:color w:val="000000" w:themeColor="text1"/>
          <w:szCs w:val="24"/>
          <w:shd w:val="clear" w:color="auto" w:fill="FFFFFF"/>
        </w:rPr>
      </w:pPr>
      <w:r w:rsidRPr="00B61DBB">
        <w:rPr>
          <w:rFonts w:cs="Times New Roman"/>
          <w:color w:val="000000" w:themeColor="text1"/>
          <w:szCs w:val="24"/>
          <w:shd w:val="clear" w:color="auto" w:fill="FFFFFF"/>
        </w:rPr>
        <w:t xml:space="preserve">de Oliveira, G.F. and </w:t>
      </w:r>
      <w:proofErr w:type="spellStart"/>
      <w:r w:rsidRPr="00B61DBB">
        <w:rPr>
          <w:rFonts w:cs="Times New Roman"/>
          <w:color w:val="000000" w:themeColor="text1"/>
          <w:szCs w:val="24"/>
          <w:shd w:val="clear" w:color="auto" w:fill="FFFFFF"/>
        </w:rPr>
        <w:t>Rabechini</w:t>
      </w:r>
      <w:proofErr w:type="spellEnd"/>
      <w:r w:rsidRPr="00B61DBB">
        <w:rPr>
          <w:rFonts w:cs="Times New Roman"/>
          <w:color w:val="000000" w:themeColor="text1"/>
          <w:szCs w:val="24"/>
          <w:shd w:val="clear" w:color="auto" w:fill="FFFFFF"/>
        </w:rPr>
        <w:t xml:space="preserve"> Jr, R., 2019. Stakeholder management influence on trust in a project: A quantitative study. </w:t>
      </w:r>
      <w:r w:rsidRPr="00B61DBB">
        <w:rPr>
          <w:rFonts w:cs="Times New Roman"/>
          <w:i/>
          <w:iCs/>
          <w:color w:val="000000" w:themeColor="text1"/>
          <w:szCs w:val="24"/>
          <w:shd w:val="clear" w:color="auto" w:fill="FFFFFF"/>
        </w:rPr>
        <w:t>International journal of project management</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37</w:t>
      </w:r>
      <w:r w:rsidRPr="00B61DBB">
        <w:rPr>
          <w:rFonts w:cs="Times New Roman"/>
          <w:color w:val="000000" w:themeColor="text1"/>
          <w:szCs w:val="24"/>
          <w:shd w:val="clear" w:color="auto" w:fill="FFFFFF"/>
        </w:rPr>
        <w:t>(1), pp.131-144.</w:t>
      </w:r>
    </w:p>
    <w:p w14:paraId="7B964D89" w14:textId="77777777" w:rsidR="00B61DBB" w:rsidRPr="00B61DBB" w:rsidRDefault="00000000" w:rsidP="006E1BC1">
      <w:pPr>
        <w:rPr>
          <w:rFonts w:cs="Times New Roman"/>
          <w:color w:val="000000" w:themeColor="text1"/>
          <w:szCs w:val="24"/>
        </w:rPr>
      </w:pPr>
      <w:r w:rsidRPr="00B61DBB">
        <w:rPr>
          <w:rFonts w:cs="Times New Roman"/>
          <w:color w:val="000000" w:themeColor="text1"/>
          <w:szCs w:val="24"/>
          <w:shd w:val="clear" w:color="auto" w:fill="FFFFFF"/>
        </w:rPr>
        <w:t xml:space="preserve">Frey, W.R., Patton, D.U., Gaskell, M.B. and McGregor, K.A., 2020. Artificial intelligence and inclusion: Formerly gang-involved youth as domain experts for </w:t>
      </w:r>
      <w:proofErr w:type="spellStart"/>
      <w:r w:rsidRPr="00B61DBB">
        <w:rPr>
          <w:rFonts w:cs="Times New Roman"/>
          <w:color w:val="000000" w:themeColor="text1"/>
          <w:szCs w:val="24"/>
          <w:shd w:val="clear" w:color="auto" w:fill="FFFFFF"/>
        </w:rPr>
        <w:t>analyzing</w:t>
      </w:r>
      <w:proofErr w:type="spellEnd"/>
      <w:r w:rsidRPr="00B61DBB">
        <w:rPr>
          <w:rFonts w:cs="Times New Roman"/>
          <w:color w:val="000000" w:themeColor="text1"/>
          <w:szCs w:val="24"/>
          <w:shd w:val="clear" w:color="auto" w:fill="FFFFFF"/>
        </w:rPr>
        <w:t xml:space="preserve"> unstructured twitter data. </w:t>
      </w:r>
      <w:r w:rsidRPr="00B61DBB">
        <w:rPr>
          <w:rFonts w:cs="Times New Roman"/>
          <w:i/>
          <w:iCs/>
          <w:color w:val="000000" w:themeColor="text1"/>
          <w:szCs w:val="24"/>
          <w:shd w:val="clear" w:color="auto" w:fill="FFFFFF"/>
        </w:rPr>
        <w:t>Social Science Computer Review</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38</w:t>
      </w:r>
      <w:r w:rsidRPr="00B61DBB">
        <w:rPr>
          <w:rFonts w:cs="Times New Roman"/>
          <w:color w:val="000000" w:themeColor="text1"/>
          <w:szCs w:val="24"/>
          <w:shd w:val="clear" w:color="auto" w:fill="FFFFFF"/>
        </w:rPr>
        <w:t>(1), pp.42-56.</w:t>
      </w:r>
    </w:p>
    <w:p w14:paraId="50297894" w14:textId="77777777" w:rsidR="00B61DBB" w:rsidRPr="00B61DBB" w:rsidRDefault="00000000" w:rsidP="006E1BC1">
      <w:pPr>
        <w:rPr>
          <w:rFonts w:cs="Times New Roman"/>
          <w:color w:val="000000" w:themeColor="text1"/>
          <w:szCs w:val="24"/>
          <w:shd w:val="clear" w:color="auto" w:fill="FFFFFF"/>
        </w:rPr>
      </w:pPr>
      <w:r w:rsidRPr="00B61DBB">
        <w:rPr>
          <w:rFonts w:cs="Times New Roman"/>
          <w:color w:val="000000" w:themeColor="text1"/>
          <w:szCs w:val="24"/>
          <w:shd w:val="clear" w:color="auto" w:fill="FFFFFF"/>
        </w:rPr>
        <w:t xml:space="preserve">Jones, T.M., Harrison, J.S. and </w:t>
      </w:r>
      <w:proofErr w:type="spellStart"/>
      <w:r w:rsidRPr="00B61DBB">
        <w:rPr>
          <w:rFonts w:cs="Times New Roman"/>
          <w:color w:val="000000" w:themeColor="text1"/>
          <w:szCs w:val="24"/>
          <w:shd w:val="clear" w:color="auto" w:fill="FFFFFF"/>
        </w:rPr>
        <w:t>Felps</w:t>
      </w:r>
      <w:proofErr w:type="spellEnd"/>
      <w:r w:rsidRPr="00B61DBB">
        <w:rPr>
          <w:rFonts w:cs="Times New Roman"/>
          <w:color w:val="000000" w:themeColor="text1"/>
          <w:szCs w:val="24"/>
          <w:shd w:val="clear" w:color="auto" w:fill="FFFFFF"/>
        </w:rPr>
        <w:t>, W., 2018. How applying instrumental stakeholder theory can provide a sustainable competitive advantage. </w:t>
      </w:r>
      <w:r w:rsidRPr="00B61DBB">
        <w:rPr>
          <w:rFonts w:cs="Times New Roman"/>
          <w:i/>
          <w:iCs/>
          <w:color w:val="000000" w:themeColor="text1"/>
          <w:szCs w:val="24"/>
          <w:shd w:val="clear" w:color="auto" w:fill="FFFFFF"/>
        </w:rPr>
        <w:t>Academy of Management Review</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43</w:t>
      </w:r>
      <w:r w:rsidRPr="00B61DBB">
        <w:rPr>
          <w:rFonts w:cs="Times New Roman"/>
          <w:color w:val="000000" w:themeColor="text1"/>
          <w:szCs w:val="24"/>
          <w:shd w:val="clear" w:color="auto" w:fill="FFFFFF"/>
        </w:rPr>
        <w:t>(3), pp.371-391.</w:t>
      </w:r>
    </w:p>
    <w:p w14:paraId="6203B0B0" w14:textId="77777777" w:rsidR="00B61DBB" w:rsidRPr="00B61DBB" w:rsidRDefault="00000000" w:rsidP="00657889">
      <w:pPr>
        <w:rPr>
          <w:rFonts w:cs="Times New Roman"/>
          <w:color w:val="000000" w:themeColor="text1"/>
          <w:szCs w:val="24"/>
        </w:rPr>
      </w:pPr>
      <w:r w:rsidRPr="00B61DBB">
        <w:rPr>
          <w:rFonts w:cs="Times New Roman"/>
          <w:color w:val="000000" w:themeColor="text1"/>
          <w:szCs w:val="24"/>
          <w:shd w:val="clear" w:color="auto" w:fill="FFFFFF"/>
        </w:rPr>
        <w:t xml:space="preserve">Marston, C., </w:t>
      </w:r>
      <w:proofErr w:type="spellStart"/>
      <w:r w:rsidRPr="00B61DBB">
        <w:rPr>
          <w:rFonts w:cs="Times New Roman"/>
          <w:color w:val="000000" w:themeColor="text1"/>
          <w:szCs w:val="24"/>
          <w:shd w:val="clear" w:color="auto" w:fill="FFFFFF"/>
        </w:rPr>
        <w:t>Renedo</w:t>
      </w:r>
      <w:proofErr w:type="spellEnd"/>
      <w:r w:rsidRPr="00B61DBB">
        <w:rPr>
          <w:rFonts w:cs="Times New Roman"/>
          <w:color w:val="000000" w:themeColor="text1"/>
          <w:szCs w:val="24"/>
          <w:shd w:val="clear" w:color="auto" w:fill="FFFFFF"/>
        </w:rPr>
        <w:t>, A. and Miles, S., 2020. Community participation is crucial in a pandemic. </w:t>
      </w:r>
      <w:r w:rsidRPr="00B61DBB">
        <w:rPr>
          <w:rFonts w:cs="Times New Roman"/>
          <w:i/>
          <w:iCs/>
          <w:color w:val="000000" w:themeColor="text1"/>
          <w:szCs w:val="24"/>
          <w:shd w:val="clear" w:color="auto" w:fill="FFFFFF"/>
        </w:rPr>
        <w:t>The Lancet</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395</w:t>
      </w:r>
      <w:r w:rsidRPr="00B61DBB">
        <w:rPr>
          <w:rFonts w:cs="Times New Roman"/>
          <w:color w:val="000000" w:themeColor="text1"/>
          <w:szCs w:val="24"/>
          <w:shd w:val="clear" w:color="auto" w:fill="FFFFFF"/>
        </w:rPr>
        <w:t>(10238), pp.1676-1678.</w:t>
      </w:r>
    </w:p>
    <w:p w14:paraId="429E317F" w14:textId="77777777" w:rsidR="00B61DBB" w:rsidRPr="00B61DBB" w:rsidRDefault="00000000" w:rsidP="00657889">
      <w:pPr>
        <w:rPr>
          <w:rFonts w:cs="Times New Roman"/>
          <w:color w:val="000000" w:themeColor="text1"/>
          <w:szCs w:val="24"/>
          <w:vertAlign w:val="subscript"/>
        </w:rPr>
      </w:pPr>
      <w:r w:rsidRPr="00B61DBB">
        <w:rPr>
          <w:rFonts w:cs="Times New Roman"/>
          <w:color w:val="000000" w:themeColor="text1"/>
          <w:szCs w:val="24"/>
          <w:shd w:val="clear" w:color="auto" w:fill="FFFFFF"/>
        </w:rPr>
        <w:t xml:space="preserve">Mitchell, J., Cooke, P., </w:t>
      </w:r>
      <w:proofErr w:type="spellStart"/>
      <w:r w:rsidRPr="00B61DBB">
        <w:rPr>
          <w:rFonts w:cs="Times New Roman"/>
          <w:color w:val="000000" w:themeColor="text1"/>
          <w:szCs w:val="24"/>
          <w:shd w:val="clear" w:color="auto" w:fill="FFFFFF"/>
        </w:rPr>
        <w:t>Baral</w:t>
      </w:r>
      <w:proofErr w:type="spellEnd"/>
      <w:r w:rsidRPr="00B61DBB">
        <w:rPr>
          <w:rFonts w:cs="Times New Roman"/>
          <w:color w:val="000000" w:themeColor="text1"/>
          <w:szCs w:val="24"/>
          <w:shd w:val="clear" w:color="auto" w:fill="FFFFFF"/>
        </w:rPr>
        <w:t xml:space="preserve">, S., Bull, N., Stones, C., </w:t>
      </w:r>
      <w:proofErr w:type="spellStart"/>
      <w:r w:rsidRPr="00B61DBB">
        <w:rPr>
          <w:rFonts w:cs="Times New Roman"/>
          <w:color w:val="000000" w:themeColor="text1"/>
          <w:szCs w:val="24"/>
          <w:shd w:val="clear" w:color="auto" w:fill="FFFFFF"/>
        </w:rPr>
        <w:t>Tsekleves</w:t>
      </w:r>
      <w:proofErr w:type="spellEnd"/>
      <w:r w:rsidRPr="00B61DBB">
        <w:rPr>
          <w:rFonts w:cs="Times New Roman"/>
          <w:color w:val="000000" w:themeColor="text1"/>
          <w:szCs w:val="24"/>
          <w:shd w:val="clear" w:color="auto" w:fill="FFFFFF"/>
        </w:rPr>
        <w:t xml:space="preserve">, E., </w:t>
      </w:r>
      <w:proofErr w:type="spellStart"/>
      <w:r w:rsidRPr="00B61DBB">
        <w:rPr>
          <w:rFonts w:cs="Times New Roman"/>
          <w:color w:val="000000" w:themeColor="text1"/>
          <w:szCs w:val="24"/>
          <w:shd w:val="clear" w:color="auto" w:fill="FFFFFF"/>
        </w:rPr>
        <w:t>Verdezoto</w:t>
      </w:r>
      <w:proofErr w:type="spellEnd"/>
      <w:r w:rsidRPr="00B61DBB">
        <w:rPr>
          <w:rFonts w:cs="Times New Roman"/>
          <w:color w:val="000000" w:themeColor="text1"/>
          <w:szCs w:val="24"/>
          <w:shd w:val="clear" w:color="auto" w:fill="FFFFFF"/>
        </w:rPr>
        <w:t xml:space="preserve">, N., </w:t>
      </w:r>
      <w:proofErr w:type="spellStart"/>
      <w:r w:rsidRPr="00B61DBB">
        <w:rPr>
          <w:rFonts w:cs="Times New Roman"/>
          <w:color w:val="000000" w:themeColor="text1"/>
          <w:szCs w:val="24"/>
          <w:shd w:val="clear" w:color="auto" w:fill="FFFFFF"/>
        </w:rPr>
        <w:t>Arjyal</w:t>
      </w:r>
      <w:proofErr w:type="spellEnd"/>
      <w:r w:rsidRPr="00B61DBB">
        <w:rPr>
          <w:rFonts w:cs="Times New Roman"/>
          <w:color w:val="000000" w:themeColor="text1"/>
          <w:szCs w:val="24"/>
          <w:shd w:val="clear" w:color="auto" w:fill="FFFFFF"/>
        </w:rPr>
        <w:t xml:space="preserve">, A., </w:t>
      </w:r>
      <w:proofErr w:type="spellStart"/>
      <w:r w:rsidRPr="00B61DBB">
        <w:rPr>
          <w:rFonts w:cs="Times New Roman"/>
          <w:color w:val="000000" w:themeColor="text1"/>
          <w:szCs w:val="24"/>
          <w:shd w:val="clear" w:color="auto" w:fill="FFFFFF"/>
        </w:rPr>
        <w:t>Giri</w:t>
      </w:r>
      <w:proofErr w:type="spellEnd"/>
      <w:r w:rsidRPr="00B61DBB">
        <w:rPr>
          <w:rFonts w:cs="Times New Roman"/>
          <w:color w:val="000000" w:themeColor="text1"/>
          <w:szCs w:val="24"/>
          <w:shd w:val="clear" w:color="auto" w:fill="FFFFFF"/>
        </w:rPr>
        <w:t>, R., Shrestha, A. and King, R., 2019. The values and principles underpinning community engagement approaches to tackling antimicrobial resistance (AMR). </w:t>
      </w:r>
      <w:r w:rsidRPr="00B61DBB">
        <w:rPr>
          <w:rFonts w:cs="Times New Roman"/>
          <w:i/>
          <w:iCs/>
          <w:color w:val="000000" w:themeColor="text1"/>
          <w:szCs w:val="24"/>
          <w:shd w:val="clear" w:color="auto" w:fill="FFFFFF"/>
        </w:rPr>
        <w:t>Global Health Action</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12</w:t>
      </w:r>
      <w:r w:rsidRPr="00B61DBB">
        <w:rPr>
          <w:rFonts w:cs="Times New Roman"/>
          <w:color w:val="000000" w:themeColor="text1"/>
          <w:szCs w:val="24"/>
          <w:shd w:val="clear" w:color="auto" w:fill="FFFFFF"/>
        </w:rPr>
        <w:t>(sup1), p.1837484.</w:t>
      </w:r>
    </w:p>
    <w:p w14:paraId="49DD9BA5" w14:textId="77777777" w:rsidR="00B61DBB" w:rsidRPr="00B61DBB" w:rsidRDefault="00000000" w:rsidP="006E1BC1">
      <w:pPr>
        <w:rPr>
          <w:rFonts w:cs="Times New Roman"/>
          <w:color w:val="000000" w:themeColor="text1"/>
          <w:szCs w:val="24"/>
          <w:shd w:val="clear" w:color="auto" w:fill="FFFFFF"/>
        </w:rPr>
      </w:pPr>
      <w:r w:rsidRPr="00B61DBB">
        <w:rPr>
          <w:rFonts w:cs="Times New Roman"/>
          <w:color w:val="000000" w:themeColor="text1"/>
          <w:szCs w:val="24"/>
          <w:shd w:val="clear" w:color="auto" w:fill="FFFFFF"/>
        </w:rPr>
        <w:t xml:space="preserve">Nguyen, L.H., Hewett, R., </w:t>
      </w:r>
      <w:proofErr w:type="spellStart"/>
      <w:r w:rsidRPr="00B61DBB">
        <w:rPr>
          <w:rFonts w:cs="Times New Roman"/>
          <w:color w:val="000000" w:themeColor="text1"/>
          <w:szCs w:val="24"/>
          <w:shd w:val="clear" w:color="auto" w:fill="FFFFFF"/>
        </w:rPr>
        <w:t>Namin</w:t>
      </w:r>
      <w:proofErr w:type="spellEnd"/>
      <w:r w:rsidRPr="00B61DBB">
        <w:rPr>
          <w:rFonts w:cs="Times New Roman"/>
          <w:color w:val="000000" w:themeColor="text1"/>
          <w:szCs w:val="24"/>
          <w:shd w:val="clear" w:color="auto" w:fill="FFFFFF"/>
        </w:rPr>
        <w:t xml:space="preserve">, A.S., Alvarez, N., </w:t>
      </w:r>
      <w:proofErr w:type="spellStart"/>
      <w:r w:rsidRPr="00B61DBB">
        <w:rPr>
          <w:rFonts w:cs="Times New Roman"/>
          <w:color w:val="000000" w:themeColor="text1"/>
          <w:szCs w:val="24"/>
          <w:shd w:val="clear" w:color="auto" w:fill="FFFFFF"/>
        </w:rPr>
        <w:t>Bradatan</w:t>
      </w:r>
      <w:proofErr w:type="spellEnd"/>
      <w:r w:rsidRPr="00B61DBB">
        <w:rPr>
          <w:rFonts w:cs="Times New Roman"/>
          <w:color w:val="000000" w:themeColor="text1"/>
          <w:szCs w:val="24"/>
          <w:shd w:val="clear" w:color="auto" w:fill="FFFFFF"/>
        </w:rPr>
        <w:t xml:space="preserve">, C. and </w:t>
      </w:r>
      <w:proofErr w:type="spellStart"/>
      <w:r w:rsidRPr="00B61DBB">
        <w:rPr>
          <w:rFonts w:cs="Times New Roman"/>
          <w:color w:val="000000" w:themeColor="text1"/>
          <w:szCs w:val="24"/>
          <w:shd w:val="clear" w:color="auto" w:fill="FFFFFF"/>
        </w:rPr>
        <w:t>Jin</w:t>
      </w:r>
      <w:proofErr w:type="spellEnd"/>
      <w:r w:rsidRPr="00B61DBB">
        <w:rPr>
          <w:rFonts w:cs="Times New Roman"/>
          <w:color w:val="000000" w:themeColor="text1"/>
          <w:szCs w:val="24"/>
          <w:shd w:val="clear" w:color="auto" w:fill="FFFFFF"/>
        </w:rPr>
        <w:t>, F., 2018, August. Smart and connected water resource management via social media and community engagement. In </w:t>
      </w:r>
      <w:r w:rsidRPr="00B61DBB">
        <w:rPr>
          <w:rFonts w:cs="Times New Roman"/>
          <w:i/>
          <w:iCs/>
          <w:color w:val="000000" w:themeColor="text1"/>
          <w:szCs w:val="24"/>
          <w:shd w:val="clear" w:color="auto" w:fill="FFFFFF"/>
        </w:rPr>
        <w:t>2018 IEEE/ACM International Conference on Advances in Social Networks Analysis and Mining (ASONAM)</w:t>
      </w:r>
      <w:r w:rsidRPr="00B61DBB">
        <w:rPr>
          <w:rFonts w:cs="Times New Roman"/>
          <w:color w:val="000000" w:themeColor="text1"/>
          <w:szCs w:val="24"/>
          <w:shd w:val="clear" w:color="auto" w:fill="FFFFFF"/>
        </w:rPr>
        <w:t> (pp. 613-616). IEEE.</w:t>
      </w:r>
    </w:p>
    <w:p w14:paraId="55A8DFDB" w14:textId="77777777" w:rsidR="00B61DBB" w:rsidRPr="00B61DBB" w:rsidRDefault="00000000" w:rsidP="00657889">
      <w:pPr>
        <w:rPr>
          <w:rFonts w:cs="Times New Roman"/>
          <w:color w:val="000000" w:themeColor="text1"/>
          <w:szCs w:val="24"/>
        </w:rPr>
      </w:pPr>
      <w:r w:rsidRPr="00B61DBB">
        <w:rPr>
          <w:rFonts w:cs="Times New Roman"/>
          <w:color w:val="000000" w:themeColor="text1"/>
          <w:szCs w:val="24"/>
          <w:shd w:val="clear" w:color="auto" w:fill="FFFFFF"/>
        </w:rPr>
        <w:t xml:space="preserve">Organizers, Kang, W., </w:t>
      </w:r>
      <w:proofErr w:type="spellStart"/>
      <w:r w:rsidRPr="00B61DBB">
        <w:rPr>
          <w:rFonts w:cs="Times New Roman"/>
          <w:color w:val="000000" w:themeColor="text1"/>
          <w:szCs w:val="24"/>
          <w:shd w:val="clear" w:color="auto" w:fill="FFFFFF"/>
        </w:rPr>
        <w:t>Oshan</w:t>
      </w:r>
      <w:proofErr w:type="spellEnd"/>
      <w:r w:rsidRPr="00B61DBB">
        <w:rPr>
          <w:rFonts w:cs="Times New Roman"/>
          <w:color w:val="000000" w:themeColor="text1"/>
          <w:szCs w:val="24"/>
          <w:shd w:val="clear" w:color="auto" w:fill="FFFFFF"/>
        </w:rPr>
        <w:t xml:space="preserve">, T., Wolf, L.J., Discussants, Boeing, G., Frias-Martinez, V., Gao, S., </w:t>
      </w:r>
      <w:proofErr w:type="spellStart"/>
      <w:r w:rsidRPr="00B61DBB">
        <w:rPr>
          <w:rFonts w:cs="Times New Roman"/>
          <w:color w:val="000000" w:themeColor="text1"/>
          <w:szCs w:val="24"/>
          <w:shd w:val="clear" w:color="auto" w:fill="FFFFFF"/>
        </w:rPr>
        <w:t>Poorthuis</w:t>
      </w:r>
      <w:proofErr w:type="spellEnd"/>
      <w:r w:rsidRPr="00B61DBB">
        <w:rPr>
          <w:rFonts w:cs="Times New Roman"/>
          <w:color w:val="000000" w:themeColor="text1"/>
          <w:szCs w:val="24"/>
          <w:shd w:val="clear" w:color="auto" w:fill="FFFFFF"/>
        </w:rPr>
        <w:t xml:space="preserve">, A. and Xu, W., 2019. A roundtable discussion: Defining urban data </w:t>
      </w:r>
      <w:r w:rsidRPr="00B61DBB">
        <w:rPr>
          <w:rFonts w:cs="Times New Roman"/>
          <w:color w:val="000000" w:themeColor="text1"/>
          <w:szCs w:val="24"/>
          <w:shd w:val="clear" w:color="auto" w:fill="FFFFFF"/>
        </w:rPr>
        <w:lastRenderedPageBreak/>
        <w:t>science. </w:t>
      </w:r>
      <w:r w:rsidRPr="00B61DBB">
        <w:rPr>
          <w:rFonts w:cs="Times New Roman"/>
          <w:i/>
          <w:iCs/>
          <w:color w:val="000000" w:themeColor="text1"/>
          <w:szCs w:val="24"/>
          <w:shd w:val="clear" w:color="auto" w:fill="FFFFFF"/>
        </w:rPr>
        <w:t>Environment and Planning B: Urban Analytics and City Science</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46</w:t>
      </w:r>
      <w:r w:rsidRPr="00B61DBB">
        <w:rPr>
          <w:rFonts w:cs="Times New Roman"/>
          <w:color w:val="000000" w:themeColor="text1"/>
          <w:szCs w:val="24"/>
          <w:shd w:val="clear" w:color="auto" w:fill="FFFFFF"/>
        </w:rPr>
        <w:t>(9), pp.1756-1768.</w:t>
      </w:r>
    </w:p>
    <w:p w14:paraId="4AA0C95F" w14:textId="77777777" w:rsidR="00B61DBB" w:rsidRPr="00B61DBB" w:rsidRDefault="00000000" w:rsidP="006E1BC1">
      <w:pPr>
        <w:rPr>
          <w:rFonts w:cs="Times New Roman"/>
          <w:color w:val="000000" w:themeColor="text1"/>
          <w:szCs w:val="24"/>
          <w:shd w:val="clear" w:color="auto" w:fill="FFFFFF"/>
        </w:rPr>
      </w:pPr>
      <w:proofErr w:type="spellStart"/>
      <w:r w:rsidRPr="00B61DBB">
        <w:rPr>
          <w:rFonts w:cs="Times New Roman"/>
          <w:color w:val="000000" w:themeColor="text1"/>
          <w:szCs w:val="24"/>
          <w:shd w:val="clear" w:color="auto" w:fill="FFFFFF"/>
        </w:rPr>
        <w:t>Rajhans</w:t>
      </w:r>
      <w:proofErr w:type="spellEnd"/>
      <w:r w:rsidRPr="00B61DBB">
        <w:rPr>
          <w:rFonts w:cs="Times New Roman"/>
          <w:color w:val="000000" w:themeColor="text1"/>
          <w:szCs w:val="24"/>
          <w:shd w:val="clear" w:color="auto" w:fill="FFFFFF"/>
        </w:rPr>
        <w:t>, K., 2018. Effective communication management: A key to stakeholder relationship management in project-based organizations. </w:t>
      </w:r>
      <w:r w:rsidRPr="00B61DBB">
        <w:rPr>
          <w:rFonts w:cs="Times New Roman"/>
          <w:i/>
          <w:iCs/>
          <w:color w:val="000000" w:themeColor="text1"/>
          <w:szCs w:val="24"/>
          <w:shd w:val="clear" w:color="auto" w:fill="FFFFFF"/>
        </w:rPr>
        <w:t>IUP Journal of Soft Skills</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12</w:t>
      </w:r>
      <w:r w:rsidRPr="00B61DBB">
        <w:rPr>
          <w:rFonts w:cs="Times New Roman"/>
          <w:color w:val="000000" w:themeColor="text1"/>
          <w:szCs w:val="24"/>
          <w:shd w:val="clear" w:color="auto" w:fill="FFFFFF"/>
        </w:rPr>
        <w:t>(4), pp.47-66.</w:t>
      </w:r>
    </w:p>
    <w:p w14:paraId="155A222C" w14:textId="77777777" w:rsidR="00B61DBB" w:rsidRPr="00B61DBB" w:rsidRDefault="00000000" w:rsidP="006E1BC1">
      <w:pPr>
        <w:rPr>
          <w:rFonts w:cs="Times New Roman"/>
          <w:color w:val="000000" w:themeColor="text1"/>
          <w:szCs w:val="24"/>
          <w:shd w:val="clear" w:color="auto" w:fill="FFFFFF"/>
        </w:rPr>
      </w:pPr>
      <w:r w:rsidRPr="00B61DBB">
        <w:rPr>
          <w:rFonts w:cs="Times New Roman"/>
          <w:color w:val="000000" w:themeColor="text1"/>
          <w:szCs w:val="24"/>
          <w:shd w:val="clear" w:color="auto" w:fill="FFFFFF"/>
        </w:rPr>
        <w:t xml:space="preserve">Santoso, A.D., </w:t>
      </w:r>
      <w:proofErr w:type="spellStart"/>
      <w:r w:rsidRPr="00B61DBB">
        <w:rPr>
          <w:rFonts w:cs="Times New Roman"/>
          <w:color w:val="000000" w:themeColor="text1"/>
          <w:szCs w:val="24"/>
          <w:shd w:val="clear" w:color="auto" w:fill="FFFFFF"/>
        </w:rPr>
        <w:t>Rinjany</w:t>
      </w:r>
      <w:proofErr w:type="spellEnd"/>
      <w:r w:rsidRPr="00B61DBB">
        <w:rPr>
          <w:rFonts w:cs="Times New Roman"/>
          <w:color w:val="000000" w:themeColor="text1"/>
          <w:szCs w:val="24"/>
          <w:shd w:val="clear" w:color="auto" w:fill="FFFFFF"/>
        </w:rPr>
        <w:t xml:space="preserve">, D. and </w:t>
      </w:r>
      <w:proofErr w:type="spellStart"/>
      <w:r w:rsidRPr="00B61DBB">
        <w:rPr>
          <w:rFonts w:cs="Times New Roman"/>
          <w:color w:val="000000" w:themeColor="text1"/>
          <w:szCs w:val="24"/>
          <w:shd w:val="clear" w:color="auto" w:fill="FFFFFF"/>
        </w:rPr>
        <w:t>Bafadhal</w:t>
      </w:r>
      <w:proofErr w:type="spellEnd"/>
      <w:r w:rsidRPr="00B61DBB">
        <w:rPr>
          <w:rFonts w:cs="Times New Roman"/>
          <w:color w:val="000000" w:themeColor="text1"/>
          <w:szCs w:val="24"/>
          <w:shd w:val="clear" w:color="auto" w:fill="FFFFFF"/>
        </w:rPr>
        <w:t xml:space="preserve">, O.M., 2020. Social media and local government in </w:t>
      </w:r>
      <w:proofErr w:type="spellStart"/>
      <w:r w:rsidRPr="00B61DBB">
        <w:rPr>
          <w:rFonts w:cs="Times New Roman"/>
          <w:color w:val="000000" w:themeColor="text1"/>
          <w:szCs w:val="24"/>
          <w:shd w:val="clear" w:color="auto" w:fill="FFFFFF"/>
        </w:rPr>
        <w:t>indonesia</w:t>
      </w:r>
      <w:proofErr w:type="spellEnd"/>
      <w:r w:rsidRPr="00B61DBB">
        <w:rPr>
          <w:rFonts w:cs="Times New Roman"/>
          <w:color w:val="000000" w:themeColor="text1"/>
          <w:szCs w:val="24"/>
          <w:shd w:val="clear" w:color="auto" w:fill="FFFFFF"/>
        </w:rPr>
        <w:t>: Adoption, use and stakeholder engagement. </w:t>
      </w:r>
      <w:r w:rsidRPr="00B61DBB">
        <w:rPr>
          <w:rFonts w:cs="Times New Roman"/>
          <w:i/>
          <w:iCs/>
          <w:color w:val="000000" w:themeColor="text1"/>
          <w:szCs w:val="24"/>
          <w:shd w:val="clear" w:color="auto" w:fill="FFFFFF"/>
        </w:rPr>
        <w:t>Romanian Journal of Communication and Public Relations</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22</w:t>
      </w:r>
      <w:r w:rsidRPr="00B61DBB">
        <w:rPr>
          <w:rFonts w:cs="Times New Roman"/>
          <w:color w:val="000000" w:themeColor="text1"/>
          <w:szCs w:val="24"/>
          <w:shd w:val="clear" w:color="auto" w:fill="FFFFFF"/>
        </w:rPr>
        <w:t>(3), pp.21-35.</w:t>
      </w:r>
    </w:p>
    <w:p w14:paraId="3DDDB199" w14:textId="77777777" w:rsidR="00B61DBB" w:rsidRPr="00B61DBB" w:rsidRDefault="00000000" w:rsidP="006E1BC1">
      <w:pPr>
        <w:rPr>
          <w:rFonts w:cs="Times New Roman"/>
          <w:color w:val="000000" w:themeColor="text1"/>
          <w:szCs w:val="24"/>
          <w:shd w:val="clear" w:color="auto" w:fill="FFFFFF"/>
        </w:rPr>
      </w:pPr>
      <w:r w:rsidRPr="00B61DBB">
        <w:rPr>
          <w:rFonts w:cs="Times New Roman"/>
          <w:color w:val="000000" w:themeColor="text1"/>
          <w:szCs w:val="24"/>
          <w:shd w:val="clear" w:color="auto" w:fill="FFFFFF"/>
        </w:rPr>
        <w:t xml:space="preserve">Schaffer. N, 2022. </w:t>
      </w:r>
      <w:r w:rsidRPr="00B61DBB">
        <w:rPr>
          <w:rFonts w:cs="Times New Roman"/>
          <w:i/>
          <w:iCs/>
          <w:color w:val="000000" w:themeColor="text1"/>
          <w:szCs w:val="24"/>
          <w:shd w:val="clear" w:color="auto" w:fill="FFFFFF"/>
        </w:rPr>
        <w:t xml:space="preserve">How to Reach Out to Influencers </w:t>
      </w:r>
      <w:proofErr w:type="gramStart"/>
      <w:r w:rsidRPr="00B61DBB">
        <w:rPr>
          <w:rFonts w:cs="Times New Roman"/>
          <w:i/>
          <w:iCs/>
          <w:color w:val="000000" w:themeColor="text1"/>
          <w:szCs w:val="24"/>
          <w:shd w:val="clear" w:color="auto" w:fill="FFFFFF"/>
        </w:rPr>
        <w:t>For</w:t>
      </w:r>
      <w:proofErr w:type="gramEnd"/>
      <w:r w:rsidRPr="00B61DBB">
        <w:rPr>
          <w:rFonts w:cs="Times New Roman"/>
          <w:i/>
          <w:iCs/>
          <w:color w:val="000000" w:themeColor="text1"/>
          <w:szCs w:val="24"/>
          <w:shd w:val="clear" w:color="auto" w:fill="FFFFFF"/>
        </w:rPr>
        <w:t xml:space="preserve"> Collaborations </w:t>
      </w:r>
      <w:r w:rsidRPr="00B61DBB">
        <w:rPr>
          <w:rFonts w:cs="Times New Roman"/>
          <w:color w:val="000000" w:themeColor="text1"/>
          <w:szCs w:val="24"/>
          <w:shd w:val="clear" w:color="auto" w:fill="FFFFFF"/>
        </w:rPr>
        <w:t>[Online] Available at: https://nealschaffer.com/how-to-reach-out-to-influencers/ [Accessed 12 August 2022]</w:t>
      </w:r>
    </w:p>
    <w:p w14:paraId="7CF31C96" w14:textId="77777777" w:rsidR="00B61DBB" w:rsidRPr="00B61DBB" w:rsidRDefault="00000000" w:rsidP="00657889">
      <w:pPr>
        <w:rPr>
          <w:rFonts w:cs="Times New Roman"/>
          <w:color w:val="000000" w:themeColor="text1"/>
          <w:szCs w:val="24"/>
          <w:vertAlign w:val="subscript"/>
        </w:rPr>
      </w:pPr>
      <w:r w:rsidRPr="00B61DBB">
        <w:rPr>
          <w:rFonts w:cs="Times New Roman"/>
          <w:color w:val="000000" w:themeColor="text1"/>
          <w:szCs w:val="24"/>
        </w:rPr>
        <w:t xml:space="preserve">statista.com, 2022. </w:t>
      </w:r>
      <w:r w:rsidRPr="00B61DBB">
        <w:rPr>
          <w:rFonts w:cs="Times New Roman"/>
          <w:i/>
          <w:iCs/>
          <w:color w:val="000000" w:themeColor="text1"/>
          <w:szCs w:val="24"/>
        </w:rPr>
        <w:t>Active social media audience in the United Kingdom (UK) in February 2022</w:t>
      </w:r>
      <w:r w:rsidRPr="00B61DBB">
        <w:rPr>
          <w:rFonts w:cs="Times New Roman"/>
          <w:color w:val="000000" w:themeColor="text1"/>
          <w:szCs w:val="24"/>
        </w:rPr>
        <w:t xml:space="preserve"> [Online] Available at: https://www.statista.com/statistics/507405/uk-active-social-media-and-mobile-social-media-users/#:~:text=The%20United%20Kingdom%20(UK)%20was,the%20population%20of%20the%20UK. [Accessed 13 August 2022]</w:t>
      </w:r>
    </w:p>
    <w:p w14:paraId="159C96D0" w14:textId="77777777" w:rsidR="00B61DBB" w:rsidRPr="00B61DBB" w:rsidRDefault="00000000" w:rsidP="00657889">
      <w:pPr>
        <w:rPr>
          <w:rFonts w:cs="Times New Roman"/>
          <w:color w:val="000000" w:themeColor="text1"/>
          <w:szCs w:val="24"/>
        </w:rPr>
      </w:pPr>
      <w:r w:rsidRPr="00B61DBB">
        <w:rPr>
          <w:rFonts w:cs="Times New Roman"/>
          <w:color w:val="000000" w:themeColor="text1"/>
          <w:szCs w:val="24"/>
          <w:shd w:val="clear" w:color="auto" w:fill="FFFFFF"/>
        </w:rPr>
        <w:t xml:space="preserve">Trottier, B.A., Carlin, D.J., </w:t>
      </w:r>
      <w:proofErr w:type="spellStart"/>
      <w:r w:rsidRPr="00B61DBB">
        <w:rPr>
          <w:rFonts w:cs="Times New Roman"/>
          <w:color w:val="000000" w:themeColor="text1"/>
          <w:szCs w:val="24"/>
          <w:shd w:val="clear" w:color="auto" w:fill="FFFFFF"/>
        </w:rPr>
        <w:t>Heacock</w:t>
      </w:r>
      <w:proofErr w:type="spellEnd"/>
      <w:r w:rsidRPr="00B61DBB">
        <w:rPr>
          <w:rFonts w:cs="Times New Roman"/>
          <w:color w:val="000000" w:themeColor="text1"/>
          <w:szCs w:val="24"/>
          <w:shd w:val="clear" w:color="auto" w:fill="FFFFFF"/>
        </w:rPr>
        <w:t>, M.L., Henry, H.F. and Suk, W.A., 2019. The importance of community engagement and research translation within the NIEHS Superfund Research Program. </w:t>
      </w:r>
      <w:r w:rsidRPr="00B61DBB">
        <w:rPr>
          <w:rFonts w:cs="Times New Roman"/>
          <w:i/>
          <w:iCs/>
          <w:color w:val="000000" w:themeColor="text1"/>
          <w:szCs w:val="24"/>
          <w:shd w:val="clear" w:color="auto" w:fill="FFFFFF"/>
        </w:rPr>
        <w:t>International journal of environmental research and public health</w:t>
      </w:r>
      <w:r w:rsidRPr="00B61DBB">
        <w:rPr>
          <w:rFonts w:cs="Times New Roman"/>
          <w:color w:val="000000" w:themeColor="text1"/>
          <w:szCs w:val="24"/>
          <w:shd w:val="clear" w:color="auto" w:fill="FFFFFF"/>
        </w:rPr>
        <w:t>, </w:t>
      </w:r>
      <w:r w:rsidRPr="00B61DBB">
        <w:rPr>
          <w:rFonts w:cs="Times New Roman"/>
          <w:i/>
          <w:iCs/>
          <w:color w:val="000000" w:themeColor="text1"/>
          <w:szCs w:val="24"/>
          <w:shd w:val="clear" w:color="auto" w:fill="FFFFFF"/>
        </w:rPr>
        <w:t>16</w:t>
      </w:r>
      <w:r w:rsidRPr="00B61DBB">
        <w:rPr>
          <w:rFonts w:cs="Times New Roman"/>
          <w:color w:val="000000" w:themeColor="text1"/>
          <w:szCs w:val="24"/>
          <w:shd w:val="clear" w:color="auto" w:fill="FFFFFF"/>
        </w:rPr>
        <w:t>(17), p.3067.</w:t>
      </w:r>
    </w:p>
    <w:sectPr w:rsidR="00B61DBB" w:rsidRPr="00B61DBB" w:rsidSect="000154F8">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2279" w14:textId="77777777" w:rsidR="00F26E9E" w:rsidRDefault="00F26E9E">
      <w:pPr>
        <w:spacing w:after="0" w:line="240" w:lineRule="auto"/>
      </w:pPr>
      <w:r>
        <w:separator/>
      </w:r>
    </w:p>
  </w:endnote>
  <w:endnote w:type="continuationSeparator" w:id="0">
    <w:p w14:paraId="0258E034" w14:textId="77777777" w:rsidR="00F26E9E" w:rsidRDefault="00F26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372369"/>
      <w:docPartObj>
        <w:docPartGallery w:val="Page Numbers (Bottom of Page)"/>
        <w:docPartUnique/>
      </w:docPartObj>
    </w:sdtPr>
    <w:sdtEndPr>
      <w:rPr>
        <w:noProof/>
      </w:rPr>
    </w:sdtEndPr>
    <w:sdtContent>
      <w:p w14:paraId="3D74E76F" w14:textId="77777777" w:rsidR="000154F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DF588D" w14:textId="77777777" w:rsidR="000154F8" w:rsidRDefault="0001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8821D" w14:textId="77777777" w:rsidR="00F26E9E" w:rsidRDefault="00F26E9E">
      <w:pPr>
        <w:spacing w:after="0" w:line="240" w:lineRule="auto"/>
      </w:pPr>
      <w:r>
        <w:separator/>
      </w:r>
    </w:p>
  </w:footnote>
  <w:footnote w:type="continuationSeparator" w:id="0">
    <w:p w14:paraId="1D0941FE" w14:textId="77777777" w:rsidR="00F26E9E" w:rsidRDefault="00F26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57D88"/>
    <w:multiLevelType w:val="hybridMultilevel"/>
    <w:tmpl w:val="1AE88E58"/>
    <w:lvl w:ilvl="0" w:tplc="952C26FE">
      <w:start w:val="1"/>
      <w:numFmt w:val="bullet"/>
      <w:lvlText w:val=""/>
      <w:lvlJc w:val="left"/>
      <w:pPr>
        <w:ind w:left="360" w:hanging="360"/>
      </w:pPr>
      <w:rPr>
        <w:rFonts w:ascii="Symbol" w:hAnsi="Symbol" w:hint="default"/>
      </w:rPr>
    </w:lvl>
    <w:lvl w:ilvl="1" w:tplc="25E657E4" w:tentative="1">
      <w:start w:val="1"/>
      <w:numFmt w:val="bullet"/>
      <w:lvlText w:val="o"/>
      <w:lvlJc w:val="left"/>
      <w:pPr>
        <w:ind w:left="1080" w:hanging="360"/>
      </w:pPr>
      <w:rPr>
        <w:rFonts w:ascii="Courier New" w:hAnsi="Courier New" w:cs="Courier New" w:hint="default"/>
      </w:rPr>
    </w:lvl>
    <w:lvl w:ilvl="2" w:tplc="5F1AFDAE" w:tentative="1">
      <w:start w:val="1"/>
      <w:numFmt w:val="bullet"/>
      <w:lvlText w:val=""/>
      <w:lvlJc w:val="left"/>
      <w:pPr>
        <w:ind w:left="1800" w:hanging="360"/>
      </w:pPr>
      <w:rPr>
        <w:rFonts w:ascii="Wingdings" w:hAnsi="Wingdings" w:hint="default"/>
      </w:rPr>
    </w:lvl>
    <w:lvl w:ilvl="3" w:tplc="BD68D7C0" w:tentative="1">
      <w:start w:val="1"/>
      <w:numFmt w:val="bullet"/>
      <w:lvlText w:val=""/>
      <w:lvlJc w:val="left"/>
      <w:pPr>
        <w:ind w:left="2520" w:hanging="360"/>
      </w:pPr>
      <w:rPr>
        <w:rFonts w:ascii="Symbol" w:hAnsi="Symbol" w:hint="default"/>
      </w:rPr>
    </w:lvl>
    <w:lvl w:ilvl="4" w:tplc="94E6D5E2" w:tentative="1">
      <w:start w:val="1"/>
      <w:numFmt w:val="bullet"/>
      <w:lvlText w:val="o"/>
      <w:lvlJc w:val="left"/>
      <w:pPr>
        <w:ind w:left="3240" w:hanging="360"/>
      </w:pPr>
      <w:rPr>
        <w:rFonts w:ascii="Courier New" w:hAnsi="Courier New" w:cs="Courier New" w:hint="default"/>
      </w:rPr>
    </w:lvl>
    <w:lvl w:ilvl="5" w:tplc="FD647BBA" w:tentative="1">
      <w:start w:val="1"/>
      <w:numFmt w:val="bullet"/>
      <w:lvlText w:val=""/>
      <w:lvlJc w:val="left"/>
      <w:pPr>
        <w:ind w:left="3960" w:hanging="360"/>
      </w:pPr>
      <w:rPr>
        <w:rFonts w:ascii="Wingdings" w:hAnsi="Wingdings" w:hint="default"/>
      </w:rPr>
    </w:lvl>
    <w:lvl w:ilvl="6" w:tplc="131094AA" w:tentative="1">
      <w:start w:val="1"/>
      <w:numFmt w:val="bullet"/>
      <w:lvlText w:val=""/>
      <w:lvlJc w:val="left"/>
      <w:pPr>
        <w:ind w:left="4680" w:hanging="360"/>
      </w:pPr>
      <w:rPr>
        <w:rFonts w:ascii="Symbol" w:hAnsi="Symbol" w:hint="default"/>
      </w:rPr>
    </w:lvl>
    <w:lvl w:ilvl="7" w:tplc="C67059A2" w:tentative="1">
      <w:start w:val="1"/>
      <w:numFmt w:val="bullet"/>
      <w:lvlText w:val="o"/>
      <w:lvlJc w:val="left"/>
      <w:pPr>
        <w:ind w:left="5400" w:hanging="360"/>
      </w:pPr>
      <w:rPr>
        <w:rFonts w:ascii="Courier New" w:hAnsi="Courier New" w:cs="Courier New" w:hint="default"/>
      </w:rPr>
    </w:lvl>
    <w:lvl w:ilvl="8" w:tplc="0358BB34" w:tentative="1">
      <w:start w:val="1"/>
      <w:numFmt w:val="bullet"/>
      <w:lvlText w:val=""/>
      <w:lvlJc w:val="left"/>
      <w:pPr>
        <w:ind w:left="6120" w:hanging="360"/>
      </w:pPr>
      <w:rPr>
        <w:rFonts w:ascii="Wingdings" w:hAnsi="Wingdings" w:hint="default"/>
      </w:rPr>
    </w:lvl>
  </w:abstractNum>
  <w:num w:numId="1" w16cid:durableId="539325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99"/>
    <w:rsid w:val="000154F8"/>
    <w:rsid w:val="00047D28"/>
    <w:rsid w:val="00080297"/>
    <w:rsid w:val="000A49F2"/>
    <w:rsid w:val="000B1C6F"/>
    <w:rsid w:val="000C0913"/>
    <w:rsid w:val="000D5D34"/>
    <w:rsid w:val="000E488A"/>
    <w:rsid w:val="000E7669"/>
    <w:rsid w:val="00102D10"/>
    <w:rsid w:val="00151165"/>
    <w:rsid w:val="00162B87"/>
    <w:rsid w:val="001750CA"/>
    <w:rsid w:val="00183B8B"/>
    <w:rsid w:val="00186541"/>
    <w:rsid w:val="0019759E"/>
    <w:rsid w:val="001C4AA8"/>
    <w:rsid w:val="0020546F"/>
    <w:rsid w:val="00220B4C"/>
    <w:rsid w:val="00231A82"/>
    <w:rsid w:val="00235613"/>
    <w:rsid w:val="002635FA"/>
    <w:rsid w:val="00273A9C"/>
    <w:rsid w:val="002B51AF"/>
    <w:rsid w:val="002B59AE"/>
    <w:rsid w:val="002B6FE5"/>
    <w:rsid w:val="002C0F20"/>
    <w:rsid w:val="002D7243"/>
    <w:rsid w:val="00305F37"/>
    <w:rsid w:val="00310F81"/>
    <w:rsid w:val="00314556"/>
    <w:rsid w:val="00340924"/>
    <w:rsid w:val="00355B94"/>
    <w:rsid w:val="003D4C53"/>
    <w:rsid w:val="003E7F88"/>
    <w:rsid w:val="003F5918"/>
    <w:rsid w:val="00442B12"/>
    <w:rsid w:val="00477385"/>
    <w:rsid w:val="004B2C37"/>
    <w:rsid w:val="004C540E"/>
    <w:rsid w:val="004C7C69"/>
    <w:rsid w:val="004E7879"/>
    <w:rsid w:val="00534A40"/>
    <w:rsid w:val="00541D8A"/>
    <w:rsid w:val="005B5999"/>
    <w:rsid w:val="005C5C96"/>
    <w:rsid w:val="005F2CE6"/>
    <w:rsid w:val="00617F25"/>
    <w:rsid w:val="00657889"/>
    <w:rsid w:val="0068747F"/>
    <w:rsid w:val="006929A6"/>
    <w:rsid w:val="006A63E0"/>
    <w:rsid w:val="006E1BC1"/>
    <w:rsid w:val="007036CE"/>
    <w:rsid w:val="007138C3"/>
    <w:rsid w:val="00734088"/>
    <w:rsid w:val="0077692C"/>
    <w:rsid w:val="007D7778"/>
    <w:rsid w:val="00802E84"/>
    <w:rsid w:val="00804020"/>
    <w:rsid w:val="008125D8"/>
    <w:rsid w:val="008156DC"/>
    <w:rsid w:val="00820A97"/>
    <w:rsid w:val="00841209"/>
    <w:rsid w:val="00870C7B"/>
    <w:rsid w:val="008B0981"/>
    <w:rsid w:val="008B2220"/>
    <w:rsid w:val="008C3CBD"/>
    <w:rsid w:val="008D3C3F"/>
    <w:rsid w:val="008F135D"/>
    <w:rsid w:val="0091608A"/>
    <w:rsid w:val="009724C7"/>
    <w:rsid w:val="00975D14"/>
    <w:rsid w:val="009A390E"/>
    <w:rsid w:val="009E27AD"/>
    <w:rsid w:val="00A26FFB"/>
    <w:rsid w:val="00A3454E"/>
    <w:rsid w:val="00A350BA"/>
    <w:rsid w:val="00A543E0"/>
    <w:rsid w:val="00A7700A"/>
    <w:rsid w:val="00A86915"/>
    <w:rsid w:val="00B00674"/>
    <w:rsid w:val="00B154BF"/>
    <w:rsid w:val="00B3305D"/>
    <w:rsid w:val="00B43FA5"/>
    <w:rsid w:val="00B45E44"/>
    <w:rsid w:val="00B61DBB"/>
    <w:rsid w:val="00B86847"/>
    <w:rsid w:val="00B937E2"/>
    <w:rsid w:val="00BE7FD1"/>
    <w:rsid w:val="00C11264"/>
    <w:rsid w:val="00C41635"/>
    <w:rsid w:val="00C827DD"/>
    <w:rsid w:val="00C84948"/>
    <w:rsid w:val="00CB0757"/>
    <w:rsid w:val="00CB0D16"/>
    <w:rsid w:val="00CD6700"/>
    <w:rsid w:val="00CE1B37"/>
    <w:rsid w:val="00CE7E67"/>
    <w:rsid w:val="00D06595"/>
    <w:rsid w:val="00D10712"/>
    <w:rsid w:val="00D21EF8"/>
    <w:rsid w:val="00D37DD9"/>
    <w:rsid w:val="00D465D8"/>
    <w:rsid w:val="00D52EBB"/>
    <w:rsid w:val="00D74089"/>
    <w:rsid w:val="00DA43F8"/>
    <w:rsid w:val="00DF01AF"/>
    <w:rsid w:val="00E24C32"/>
    <w:rsid w:val="00E930D5"/>
    <w:rsid w:val="00E94DBB"/>
    <w:rsid w:val="00F26E9E"/>
    <w:rsid w:val="00F30C41"/>
    <w:rsid w:val="00F6275A"/>
    <w:rsid w:val="00FC779B"/>
    <w:rsid w:val="00FD0685"/>
    <w:rsid w:val="00FD101A"/>
    <w:rsid w:val="00FD1296"/>
    <w:rsid w:val="00FE7E6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6108"/>
  <w15:chartTrackingRefBased/>
  <w15:docId w15:val="{D0AC1CE8-1FAC-41EC-8B02-E311EFE31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99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D6700"/>
    <w:pPr>
      <w:keepNext/>
      <w:keepLines/>
      <w:spacing w:before="240" w:after="0"/>
      <w:outlineLvl w:val="0"/>
    </w:pPr>
    <w:rPr>
      <w:rFonts w:eastAsiaTheme="majorEastAsia" w:cstheme="majorBidi"/>
      <w:b/>
      <w:color w:val="000000" w:themeColor="text1"/>
      <w:szCs w:val="32"/>
    </w:rPr>
  </w:style>
  <w:style w:type="paragraph" w:styleId="Heading2">
    <w:name w:val="heading 2"/>
    <w:basedOn w:val="Heading1"/>
    <w:next w:val="Normal"/>
    <w:link w:val="Heading2Char"/>
    <w:uiPriority w:val="9"/>
    <w:unhideWhenUsed/>
    <w:qFormat/>
    <w:rsid w:val="0015116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5999"/>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B5999"/>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CD6700"/>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51165"/>
    <w:rPr>
      <w:rFonts w:ascii="Times New Roman" w:eastAsiaTheme="majorEastAsia" w:hAnsi="Times New Roman" w:cstheme="majorBidi"/>
      <w:b/>
      <w:color w:val="000000" w:themeColor="text1"/>
      <w:sz w:val="24"/>
      <w:szCs w:val="32"/>
      <w:lang w:val="en-GB"/>
    </w:rPr>
  </w:style>
  <w:style w:type="character" w:styleId="Hyperlink">
    <w:name w:val="Hyperlink"/>
    <w:basedOn w:val="DefaultParagraphFont"/>
    <w:uiPriority w:val="99"/>
    <w:unhideWhenUsed/>
    <w:rsid w:val="000B1C6F"/>
    <w:rPr>
      <w:color w:val="0563C1" w:themeColor="hyperlink"/>
      <w:u w:val="single"/>
    </w:rPr>
  </w:style>
  <w:style w:type="character" w:customStyle="1" w:styleId="UnresolvedMention1">
    <w:name w:val="Unresolved Mention1"/>
    <w:basedOn w:val="DefaultParagraphFont"/>
    <w:uiPriority w:val="99"/>
    <w:semiHidden/>
    <w:unhideWhenUsed/>
    <w:rsid w:val="000B1C6F"/>
    <w:rPr>
      <w:color w:val="605E5C"/>
      <w:shd w:val="clear" w:color="auto" w:fill="E1DFDD"/>
    </w:rPr>
  </w:style>
  <w:style w:type="paragraph" w:styleId="Header">
    <w:name w:val="header"/>
    <w:basedOn w:val="Normal"/>
    <w:link w:val="HeaderChar"/>
    <w:uiPriority w:val="99"/>
    <w:unhideWhenUsed/>
    <w:rsid w:val="00015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4F8"/>
    <w:rPr>
      <w:rFonts w:ascii="Times New Roman" w:hAnsi="Times New Roman"/>
      <w:sz w:val="24"/>
      <w:lang w:val="en-GB"/>
    </w:rPr>
  </w:style>
  <w:style w:type="paragraph" w:styleId="Footer">
    <w:name w:val="footer"/>
    <w:basedOn w:val="Normal"/>
    <w:link w:val="FooterChar"/>
    <w:uiPriority w:val="99"/>
    <w:unhideWhenUsed/>
    <w:rsid w:val="00015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4F8"/>
    <w:rPr>
      <w:rFonts w:ascii="Times New Roman" w:hAnsi="Times New Roman"/>
      <w:sz w:val="24"/>
      <w:lang w:val="en-GB"/>
    </w:rPr>
  </w:style>
  <w:style w:type="paragraph" w:styleId="ListParagraph">
    <w:name w:val="List Paragraph"/>
    <w:basedOn w:val="Normal"/>
    <w:uiPriority w:val="34"/>
    <w:qFormat/>
    <w:rsid w:val="00B937E2"/>
    <w:pPr>
      <w:ind w:left="720"/>
      <w:contextualSpacing/>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tatiana cebotari</cp:lastModifiedBy>
  <cp:revision>2</cp:revision>
  <dcterms:created xsi:type="dcterms:W3CDTF">2022-09-09T15:24:00Z</dcterms:created>
  <dcterms:modified xsi:type="dcterms:W3CDTF">2022-09-09T15:24:00Z</dcterms:modified>
</cp:coreProperties>
</file>