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13CA7" w14:textId="77777777" w:rsidR="002F7F19" w:rsidRDefault="002F7F19" w:rsidP="002F7F19">
      <w:pPr>
        <w:pStyle w:val="NormalWeb"/>
        <w:spacing w:before="0" w:beforeAutospacing="0" w:after="0" w:afterAutospacing="0"/>
        <w:ind w:left="-180" w:right="-334"/>
      </w:pPr>
      <w:r>
        <w:rPr>
          <w:noProof/>
          <w:lang w:eastAsia="en-GB"/>
        </w:rPr>
        <w:drawing>
          <wp:inline distT="0" distB="0" distL="0" distR="0" wp14:anchorId="7A33B64F" wp14:editId="7C5B669E">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210B8DF" w14:textId="77777777" w:rsidR="002F7F19" w:rsidRDefault="002F7F19" w:rsidP="002F7F19">
      <w:pPr>
        <w:pStyle w:val="NormalWeb"/>
        <w:spacing w:before="0" w:beforeAutospacing="0" w:after="0" w:afterAutospacing="0"/>
        <w:ind w:left="-180" w:right="-334"/>
      </w:pPr>
    </w:p>
    <w:p w14:paraId="4691138F" w14:textId="77777777" w:rsidR="002F7F19" w:rsidRDefault="002F7F19" w:rsidP="002F7F19">
      <w:pPr>
        <w:pStyle w:val="NormalWeb"/>
        <w:spacing w:before="0" w:beforeAutospacing="0" w:after="0" w:afterAutospacing="0"/>
        <w:ind w:left="-180" w:right="-334"/>
      </w:pPr>
    </w:p>
    <w:p w14:paraId="46A838E7" w14:textId="77777777" w:rsidR="002F7F19" w:rsidRDefault="002F7F19" w:rsidP="002F7F1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E9BDB99" w14:textId="77777777" w:rsidR="002F7F19" w:rsidRPr="00230F35" w:rsidRDefault="002F7F19" w:rsidP="002F7F1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4442B6" w14:textId="77777777" w:rsidR="002F7F19" w:rsidRPr="00230F35" w:rsidRDefault="002F7F19" w:rsidP="002F7F19">
      <w:pPr>
        <w:rPr>
          <w:rFonts w:ascii="Arial" w:hAnsi="Arial" w:cs="Arial"/>
          <w:sz w:val="28"/>
          <w:szCs w:val="28"/>
          <w:lang w:val="cy-GB"/>
        </w:rPr>
      </w:pPr>
    </w:p>
    <w:p w14:paraId="61C040EB" w14:textId="77777777" w:rsidR="002F7F19" w:rsidRDefault="002F7F19" w:rsidP="002F7F19">
      <w:pPr>
        <w:pStyle w:val="Heading3"/>
        <w:jc w:val="center"/>
        <w:rPr>
          <w:lang w:val="cy-GB"/>
        </w:rPr>
      </w:pPr>
      <w:r>
        <w:rPr>
          <w:lang w:val="cy-GB"/>
        </w:rPr>
        <w:t>THIS SHEET MUST BE THE FIRST PAGE OF THE ASSIGNMENT YOU ARE SUBMITTING  (DO NOT SEND AS A SEPARATE FILE)</w:t>
      </w:r>
    </w:p>
    <w:p w14:paraId="27875A81" w14:textId="77777777" w:rsidR="002F7F19" w:rsidRDefault="002F7F19" w:rsidP="002F7F1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7F19" w:rsidRPr="00230F35" w14:paraId="556D78B7" w14:textId="77777777" w:rsidTr="00802737">
        <w:trPr>
          <w:trHeight w:val="614"/>
        </w:trPr>
        <w:tc>
          <w:tcPr>
            <w:tcW w:w="8856" w:type="dxa"/>
            <w:gridSpan w:val="5"/>
          </w:tcPr>
          <w:p w14:paraId="0EA7C642" w14:textId="77777777"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F7F19" w:rsidRPr="00230F35" w14:paraId="5120E9AC" w14:textId="77777777" w:rsidTr="00802737">
        <w:trPr>
          <w:trHeight w:val="718"/>
        </w:trPr>
        <w:tc>
          <w:tcPr>
            <w:tcW w:w="8856" w:type="dxa"/>
            <w:gridSpan w:val="5"/>
          </w:tcPr>
          <w:p w14:paraId="63BCDACC" w14:textId="6F8C5127"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00761181">
              <w:rPr>
                <w:rFonts w:ascii="Arial" w:hAnsi="Arial" w:cs="Arial"/>
                <w:sz w:val="22"/>
                <w:szCs w:val="22"/>
              </w:rPr>
              <w:t>Luke Collin</w:t>
            </w:r>
          </w:p>
          <w:p w14:paraId="5F22A78A" w14:textId="77777777" w:rsidR="00237623" w:rsidRPr="00230F35" w:rsidRDefault="00237623" w:rsidP="00802737">
            <w:pPr>
              <w:pStyle w:val="NormalWeb"/>
              <w:spacing w:before="0" w:beforeAutospacing="0" w:after="0" w:afterAutospacing="0"/>
              <w:ind w:right="34"/>
              <w:rPr>
                <w:rFonts w:ascii="Arial" w:hAnsi="Arial" w:cs="Arial"/>
                <w:sz w:val="22"/>
                <w:szCs w:val="22"/>
              </w:rPr>
            </w:pPr>
          </w:p>
          <w:p w14:paraId="4F823465" w14:textId="2066356F"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761181">
              <w:rPr>
                <w:rFonts w:ascii="Arial" w:hAnsi="Arial" w:cs="Arial"/>
                <w:sz w:val="22"/>
                <w:szCs w:val="22"/>
              </w:rPr>
              <w:t>2307915@student.uwtsd.ac.uk</w:t>
            </w:r>
          </w:p>
        </w:tc>
      </w:tr>
      <w:tr w:rsidR="002F7F19" w:rsidRPr="00230F35" w14:paraId="1D1E8033" w14:textId="77777777" w:rsidTr="00802737">
        <w:trPr>
          <w:trHeight w:val="849"/>
        </w:trPr>
        <w:tc>
          <w:tcPr>
            <w:tcW w:w="4788" w:type="dxa"/>
          </w:tcPr>
          <w:p w14:paraId="76B1434C" w14:textId="234051AA"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761181">
              <w:rPr>
                <w:rFonts w:ascii="Arial" w:hAnsi="Arial" w:cs="Arial"/>
                <w:sz w:val="22"/>
                <w:szCs w:val="22"/>
              </w:rPr>
              <w:t>HPCA7014</w:t>
            </w:r>
          </w:p>
          <w:p w14:paraId="096FB652" w14:textId="77777777" w:rsidR="00237623" w:rsidRPr="00230F35" w:rsidRDefault="00237623" w:rsidP="00802737">
            <w:pPr>
              <w:pStyle w:val="NormalWeb"/>
              <w:spacing w:before="0" w:beforeAutospacing="0" w:after="0" w:afterAutospacing="0"/>
              <w:ind w:right="34"/>
              <w:rPr>
                <w:rFonts w:ascii="Arial" w:hAnsi="Arial" w:cs="Arial"/>
                <w:sz w:val="22"/>
                <w:szCs w:val="22"/>
              </w:rPr>
            </w:pPr>
          </w:p>
          <w:p w14:paraId="1DB21712" w14:textId="4A250F62"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761181">
              <w:rPr>
                <w:rFonts w:ascii="Arial" w:hAnsi="Arial" w:cs="Arial"/>
                <w:sz w:val="22"/>
                <w:szCs w:val="22"/>
              </w:rPr>
              <w:t>Sacred Geography</w:t>
            </w:r>
          </w:p>
          <w:p w14:paraId="542BD89E" w14:textId="77777777" w:rsidR="002F7F19" w:rsidRPr="00230F35" w:rsidRDefault="002F7F19" w:rsidP="00802737">
            <w:pPr>
              <w:pStyle w:val="NormalWeb"/>
              <w:spacing w:before="0" w:beforeAutospacing="0" w:after="0" w:afterAutospacing="0"/>
              <w:ind w:right="34"/>
              <w:rPr>
                <w:rFonts w:ascii="Arial" w:hAnsi="Arial" w:cs="Arial"/>
                <w:sz w:val="22"/>
                <w:szCs w:val="22"/>
              </w:rPr>
            </w:pPr>
          </w:p>
        </w:tc>
        <w:tc>
          <w:tcPr>
            <w:tcW w:w="2266" w:type="dxa"/>
            <w:gridSpan w:val="3"/>
          </w:tcPr>
          <w:p w14:paraId="5489D278" w14:textId="77777777" w:rsidR="00761181"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B4507EC" w14:textId="77777777" w:rsidR="00761181" w:rsidRDefault="00761181" w:rsidP="00802737">
            <w:pPr>
              <w:pStyle w:val="NormalWeb"/>
              <w:spacing w:before="0" w:beforeAutospacing="0" w:after="0" w:afterAutospacing="0"/>
              <w:ind w:right="34"/>
              <w:rPr>
                <w:rFonts w:ascii="Arial" w:hAnsi="Arial" w:cs="Arial"/>
                <w:sz w:val="22"/>
                <w:szCs w:val="22"/>
              </w:rPr>
            </w:pPr>
          </w:p>
          <w:p w14:paraId="3121FF63" w14:textId="31FAFA9B" w:rsidR="002F7F19" w:rsidRPr="00230F35" w:rsidRDefault="002F7F19"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w:t>
            </w:r>
            <w:r w:rsidR="00761181">
              <w:rPr>
                <w:rFonts w:ascii="Arial" w:hAnsi="Arial" w:cs="Arial"/>
                <w:sz w:val="22"/>
                <w:szCs w:val="22"/>
              </w:rPr>
              <w:t>2307915</w:t>
            </w:r>
          </w:p>
        </w:tc>
        <w:tc>
          <w:tcPr>
            <w:tcW w:w="1802" w:type="dxa"/>
          </w:tcPr>
          <w:p w14:paraId="004F5894" w14:textId="77777777"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F05D08C" w14:textId="7944BA4B" w:rsidR="002F7F19" w:rsidRPr="00230F35" w:rsidRDefault="00761181"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2F7F19" w:rsidRPr="00230F35" w14:paraId="52597130" w14:textId="77777777" w:rsidTr="00802737">
        <w:trPr>
          <w:trHeight w:val="1139"/>
        </w:trPr>
        <w:tc>
          <w:tcPr>
            <w:tcW w:w="8856" w:type="dxa"/>
            <w:gridSpan w:val="5"/>
          </w:tcPr>
          <w:p w14:paraId="3628F7A0" w14:textId="242573A0"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p>
          <w:p w14:paraId="5CB07975" w14:textId="77777777" w:rsidR="002F7F19" w:rsidRDefault="002F7F19" w:rsidP="00802737">
            <w:pPr>
              <w:pStyle w:val="NormalWeb"/>
              <w:spacing w:before="0" w:beforeAutospacing="0" w:after="0" w:afterAutospacing="0"/>
              <w:ind w:right="34"/>
              <w:rPr>
                <w:rFonts w:ascii="Arial" w:hAnsi="Arial" w:cs="Arial"/>
                <w:sz w:val="22"/>
                <w:szCs w:val="22"/>
              </w:rPr>
            </w:pPr>
          </w:p>
          <w:p w14:paraId="79307084" w14:textId="3B718DD1"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2A7B8E">
              <w:rPr>
                <w:rFonts w:ascii="Arial" w:hAnsi="Arial" w:cs="Arial"/>
                <w:sz w:val="22"/>
                <w:szCs w:val="22"/>
              </w:rPr>
              <w:t xml:space="preserve"> </w:t>
            </w:r>
          </w:p>
        </w:tc>
      </w:tr>
      <w:tr w:rsidR="002F7F19" w:rsidRPr="00230F35" w14:paraId="6A12B430" w14:textId="77777777" w:rsidTr="00802737">
        <w:trPr>
          <w:trHeight w:val="978"/>
        </w:trPr>
        <w:tc>
          <w:tcPr>
            <w:tcW w:w="8856" w:type="dxa"/>
            <w:gridSpan w:val="5"/>
            <w:tcBorders>
              <w:bottom w:val="single" w:sz="4" w:space="0" w:color="000000"/>
            </w:tcBorders>
          </w:tcPr>
          <w:p w14:paraId="4C581461" w14:textId="4948308F" w:rsidR="002F7F19" w:rsidRPr="00230F35" w:rsidRDefault="002F7F19" w:rsidP="0080273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00523EB4"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523EB4"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237623" w:rsidRPr="00230F35">
              <w:rPr>
                <w:rFonts w:ascii="Arial" w:hAnsi="Arial" w:cs="Arial"/>
              </w:rPr>
              <w:t xml:space="preserve"> </w:t>
            </w:r>
            <w:r w:rsidR="00237623" w:rsidRPr="00230F35">
              <w:rPr>
                <w:rFonts w:ascii="Arial" w:hAnsi="Arial" w:cs="Arial"/>
              </w:rPr>
              <w:fldChar w:fldCharType="begin">
                <w:ffData>
                  <w:name w:val="Check15"/>
                  <w:enabled/>
                  <w:calcOnExit w:val="0"/>
                  <w:checkBox>
                    <w:sizeAuto/>
                    <w:default w:val="0"/>
                  </w:checkBox>
                </w:ffData>
              </w:fldChar>
            </w:r>
            <w:r w:rsidR="00237623"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237623" w:rsidRPr="00230F35">
              <w:rPr>
                <w:rFonts w:ascii="Arial" w:hAnsi="Arial" w:cs="Arial"/>
              </w:rPr>
              <w:fldChar w:fldCharType="end"/>
            </w:r>
            <w:r w:rsidR="00237623" w:rsidRPr="00230F35">
              <w:rPr>
                <w:rFonts w:ascii="Arial" w:hAnsi="Arial" w:cs="Arial"/>
              </w:rPr>
              <w:t xml:space="preserve"> </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523EB4"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523EB4"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4034ED">
              <w:rPr>
                <w:rFonts w:ascii="Arial" w:hAnsi="Arial" w:cs="Arial"/>
              </w:rPr>
              <w:t>x</w:t>
            </w:r>
            <w:r w:rsidR="00523EB4"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523EB4"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523EB4"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523EB4"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F7F19" w:rsidRPr="00230F35" w14:paraId="0A33CEA0" w14:textId="77777777" w:rsidTr="00802737">
        <w:trPr>
          <w:trHeight w:val="978"/>
        </w:trPr>
        <w:tc>
          <w:tcPr>
            <w:tcW w:w="8856" w:type="dxa"/>
            <w:gridSpan w:val="5"/>
            <w:shd w:val="clear" w:color="auto" w:fill="D9D9D9"/>
          </w:tcPr>
          <w:p w14:paraId="5D7D6A06" w14:textId="45D5F5ED" w:rsidR="00237623" w:rsidRPr="00B728EA" w:rsidRDefault="00237623"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6A97854E" w14:textId="06E01474" w:rsidR="002F7F19" w:rsidRPr="00B728EA" w:rsidRDefault="002F7F19"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E1E271"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29FB1344" w14:textId="000F863C" w:rsidR="00237623" w:rsidRPr="00B728EA" w:rsidRDefault="00237623"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68C502C9" w14:textId="4EE0A678" w:rsidR="00237623" w:rsidRPr="00B728EA" w:rsidRDefault="00237623" w:rsidP="00802737">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r w:rsidR="006C7BD4" w:rsidRPr="00B728EA">
              <w:rPr>
                <w:rFonts w:ascii="Arial" w:hAnsi="Arial" w:cs="Arial"/>
                <w:color w:val="000000" w:themeColor="text1"/>
                <w:sz w:val="22"/>
                <w:szCs w:val="22"/>
              </w:rPr>
              <w:t>*</w:t>
            </w:r>
            <w:proofErr w:type="gramEnd"/>
          </w:p>
          <w:p w14:paraId="2EB38A68" w14:textId="77777777" w:rsidR="006C7BD4" w:rsidRPr="00B728EA" w:rsidRDefault="006C7BD4" w:rsidP="00802737">
            <w:pPr>
              <w:pStyle w:val="NormalWeb"/>
              <w:spacing w:before="0" w:beforeAutospacing="0" w:after="0" w:afterAutospacing="0"/>
              <w:ind w:right="34"/>
              <w:rPr>
                <w:rFonts w:ascii="Arial" w:hAnsi="Arial" w:cs="Arial"/>
                <w:color w:val="000000" w:themeColor="text1"/>
                <w:sz w:val="22"/>
                <w:szCs w:val="22"/>
              </w:rPr>
            </w:pPr>
          </w:p>
          <w:p w14:paraId="5A5397DD" w14:textId="560921C0" w:rsidR="006C7BD4" w:rsidRPr="00B728EA" w:rsidRDefault="006C7BD4" w:rsidP="00802737">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1314F64C"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61B8F279" w14:textId="7F898E3E" w:rsidR="00237623" w:rsidRPr="00B728EA" w:rsidRDefault="00237623"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0F3AFB9A"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64D30F25" w14:textId="1AB88BFB" w:rsidR="002F7F19" w:rsidRDefault="002F7F19"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sidR="006C7BD4" w:rsidRPr="00B728EA">
              <w:rPr>
                <w:rFonts w:ascii="Arial" w:hAnsi="Arial" w:cs="Arial"/>
                <w:sz w:val="22"/>
                <w:szCs w:val="22"/>
              </w:rPr>
              <w:t>:</w:t>
            </w:r>
            <w:r w:rsidR="006C7BD4">
              <w:rPr>
                <w:rFonts w:ascii="Arial" w:hAnsi="Arial" w:cs="Arial"/>
                <w:sz w:val="22"/>
                <w:szCs w:val="22"/>
              </w:rPr>
              <w:t xml:space="preserve"> </w:t>
            </w:r>
          </w:p>
          <w:p w14:paraId="5CBE4397" w14:textId="2F5957C0" w:rsidR="002F7F19" w:rsidRPr="00230F35" w:rsidRDefault="002F7F19" w:rsidP="00802737">
            <w:pPr>
              <w:pStyle w:val="NormalWeb"/>
              <w:spacing w:before="0" w:beforeAutospacing="0" w:after="0" w:afterAutospacing="0"/>
              <w:ind w:right="34"/>
              <w:rPr>
                <w:rFonts w:ascii="Arial" w:hAnsi="Arial" w:cs="Arial"/>
                <w:sz w:val="22"/>
                <w:szCs w:val="22"/>
              </w:rPr>
            </w:pPr>
          </w:p>
        </w:tc>
      </w:tr>
      <w:tr w:rsidR="002F7F19" w:rsidRPr="00230F35" w14:paraId="266120C1" w14:textId="77777777" w:rsidTr="00802737">
        <w:trPr>
          <w:trHeight w:val="3972"/>
        </w:trPr>
        <w:tc>
          <w:tcPr>
            <w:tcW w:w="8856" w:type="dxa"/>
            <w:gridSpan w:val="5"/>
          </w:tcPr>
          <w:p w14:paraId="008A90A4" w14:textId="77777777" w:rsidR="002F7F19" w:rsidRDefault="002F7F19" w:rsidP="00802737">
            <w:pPr>
              <w:rPr>
                <w:rFonts w:ascii="Arial" w:hAnsi="Arial"/>
                <w:b/>
              </w:rPr>
            </w:pPr>
          </w:p>
          <w:p w14:paraId="5EDBA61D" w14:textId="77777777" w:rsidR="002F7F19" w:rsidRPr="00116CE6" w:rsidRDefault="002F7F19" w:rsidP="0080273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7F19" w:rsidRPr="00116CE6" w14:paraId="407FA5B8" w14:textId="77777777" w:rsidTr="00802737">
              <w:tc>
                <w:tcPr>
                  <w:tcW w:w="6970" w:type="dxa"/>
                </w:tcPr>
                <w:p w14:paraId="2B808BC4" w14:textId="77777777" w:rsidR="002F7F19" w:rsidRPr="00116CE6" w:rsidRDefault="002F7F19" w:rsidP="00802737">
                  <w:pPr>
                    <w:rPr>
                      <w:rFonts w:ascii="Arial" w:hAnsi="Arial"/>
                      <w:sz w:val="20"/>
                      <w:szCs w:val="20"/>
                    </w:rPr>
                  </w:pPr>
                </w:p>
                <w:p w14:paraId="7D7EAC5A" w14:textId="77777777" w:rsidR="002F7F19" w:rsidRPr="00116CE6" w:rsidRDefault="002F7F19" w:rsidP="0080273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A6E3D7" w14:textId="77777777" w:rsidR="002F7F19" w:rsidRPr="00116CE6" w:rsidRDefault="002F7F19" w:rsidP="00802737">
                  <w:pPr>
                    <w:rPr>
                      <w:rFonts w:ascii="Arial" w:hAnsi="Arial"/>
                      <w:sz w:val="20"/>
                      <w:szCs w:val="20"/>
                    </w:rPr>
                  </w:pPr>
                </w:p>
              </w:tc>
            </w:tr>
            <w:tr w:rsidR="002F7F19" w:rsidRPr="00116CE6" w14:paraId="546197FB" w14:textId="77777777" w:rsidTr="00802737">
              <w:tc>
                <w:tcPr>
                  <w:tcW w:w="6970" w:type="dxa"/>
                </w:tcPr>
                <w:p w14:paraId="7C054BFF" w14:textId="77777777" w:rsidR="002F7F19" w:rsidRPr="00116CE6" w:rsidRDefault="002F7F19" w:rsidP="00802737">
                  <w:pPr>
                    <w:rPr>
                      <w:rFonts w:ascii="Arial" w:hAnsi="Arial"/>
                      <w:sz w:val="20"/>
                      <w:szCs w:val="20"/>
                    </w:rPr>
                  </w:pPr>
                </w:p>
                <w:p w14:paraId="724172C4" w14:textId="77777777" w:rsidR="002F7F19" w:rsidRPr="00116CE6" w:rsidRDefault="002F7F19" w:rsidP="0080273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3DCB03B" w14:textId="77777777" w:rsidR="002F7F19" w:rsidRPr="00116CE6" w:rsidRDefault="002F7F19" w:rsidP="00802737">
                  <w:pPr>
                    <w:rPr>
                      <w:rFonts w:ascii="Arial" w:hAnsi="Arial"/>
                      <w:sz w:val="20"/>
                      <w:szCs w:val="20"/>
                    </w:rPr>
                  </w:pPr>
                </w:p>
              </w:tc>
            </w:tr>
            <w:tr w:rsidR="002F7F19" w:rsidRPr="00116CE6" w14:paraId="71C3D117" w14:textId="77777777" w:rsidTr="00802737">
              <w:tc>
                <w:tcPr>
                  <w:tcW w:w="6970" w:type="dxa"/>
                </w:tcPr>
                <w:p w14:paraId="3F105C23" w14:textId="77777777" w:rsidR="002F7F19" w:rsidRPr="00116CE6" w:rsidRDefault="002F7F19" w:rsidP="00802737">
                  <w:pPr>
                    <w:rPr>
                      <w:rFonts w:ascii="Arial" w:hAnsi="Arial"/>
                      <w:sz w:val="20"/>
                      <w:szCs w:val="20"/>
                    </w:rPr>
                  </w:pPr>
                </w:p>
                <w:p w14:paraId="71AB9064" w14:textId="77777777" w:rsidR="002F7F19" w:rsidRPr="00116CE6" w:rsidRDefault="002F7F19" w:rsidP="0080273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CF38D3" w14:textId="77777777" w:rsidR="002F7F19" w:rsidRPr="00116CE6" w:rsidRDefault="002F7F19" w:rsidP="00802737">
                  <w:pPr>
                    <w:rPr>
                      <w:rFonts w:ascii="Arial" w:hAnsi="Arial"/>
                      <w:sz w:val="20"/>
                      <w:szCs w:val="20"/>
                    </w:rPr>
                  </w:pPr>
                </w:p>
              </w:tc>
            </w:tr>
            <w:tr w:rsidR="002F7F19" w:rsidRPr="00116CE6" w14:paraId="7C57207A" w14:textId="77777777" w:rsidTr="00802737">
              <w:tc>
                <w:tcPr>
                  <w:tcW w:w="6970" w:type="dxa"/>
                </w:tcPr>
                <w:p w14:paraId="0039426A" w14:textId="77777777" w:rsidR="002F7F19" w:rsidRDefault="002F7F19" w:rsidP="00802737">
                  <w:pPr>
                    <w:rPr>
                      <w:rFonts w:ascii="Arial" w:hAnsi="Arial"/>
                      <w:sz w:val="20"/>
                      <w:szCs w:val="20"/>
                    </w:rPr>
                  </w:pPr>
                </w:p>
                <w:p w14:paraId="2FB59514" w14:textId="77777777" w:rsidR="002F7F19" w:rsidRPr="00022345" w:rsidRDefault="002F7F19" w:rsidP="00802737">
                  <w:pPr>
                    <w:rPr>
                      <w:rFonts w:ascii="Arial" w:hAnsi="Arial"/>
                      <w:b/>
                      <w:sz w:val="20"/>
                      <w:szCs w:val="20"/>
                    </w:rPr>
                  </w:pPr>
                  <w:r w:rsidRPr="00022345">
                    <w:rPr>
                      <w:rFonts w:ascii="Arial" w:hAnsi="Arial"/>
                      <w:b/>
                      <w:sz w:val="20"/>
                      <w:szCs w:val="20"/>
                    </w:rPr>
                    <w:t>Final Mark</w:t>
                  </w:r>
                </w:p>
                <w:p w14:paraId="6424FF6D" w14:textId="77777777" w:rsidR="002F7F19" w:rsidRPr="00116CE6" w:rsidRDefault="002F7F19" w:rsidP="00802737">
                  <w:pPr>
                    <w:rPr>
                      <w:rFonts w:ascii="Arial" w:hAnsi="Arial"/>
                      <w:sz w:val="20"/>
                      <w:szCs w:val="20"/>
                    </w:rPr>
                  </w:pPr>
                </w:p>
              </w:tc>
              <w:tc>
                <w:tcPr>
                  <w:tcW w:w="1660" w:type="dxa"/>
                </w:tcPr>
                <w:p w14:paraId="7A67D4AE" w14:textId="77777777" w:rsidR="002F7F19" w:rsidRPr="00116CE6" w:rsidRDefault="002F7F19" w:rsidP="00802737">
                  <w:pPr>
                    <w:rPr>
                      <w:rFonts w:ascii="Arial" w:hAnsi="Arial"/>
                      <w:sz w:val="20"/>
                      <w:szCs w:val="20"/>
                    </w:rPr>
                  </w:pPr>
                </w:p>
              </w:tc>
            </w:tr>
          </w:tbl>
          <w:p w14:paraId="3585DF88" w14:textId="77777777" w:rsidR="002F7F19" w:rsidRDefault="002F7F19" w:rsidP="00802737">
            <w:pPr>
              <w:pStyle w:val="NormalWeb"/>
              <w:spacing w:before="0" w:beforeAutospacing="0" w:after="0" w:afterAutospacing="0"/>
              <w:ind w:left="142" w:right="34"/>
              <w:rPr>
                <w:rFonts w:ascii="Arial" w:hAnsi="Arial" w:cs="Arial"/>
                <w:b/>
                <w:sz w:val="22"/>
                <w:szCs w:val="22"/>
              </w:rPr>
            </w:pPr>
          </w:p>
          <w:p w14:paraId="6BDD3DF1" w14:textId="77777777" w:rsidR="002F7F19" w:rsidRPr="00230F35" w:rsidRDefault="002F7F19" w:rsidP="0080273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19E4914" w14:textId="77777777" w:rsidR="002F7F19" w:rsidRDefault="002F7F19" w:rsidP="00802737">
            <w:pPr>
              <w:pStyle w:val="NormalWeb"/>
              <w:spacing w:before="0" w:beforeAutospacing="0" w:after="0" w:afterAutospacing="0"/>
              <w:rPr>
                <w:rFonts w:ascii="Arial" w:hAnsi="Arial" w:cs="Arial"/>
                <w:b/>
                <w:sz w:val="22"/>
                <w:szCs w:val="22"/>
              </w:rPr>
            </w:pPr>
          </w:p>
          <w:p w14:paraId="506647ED" w14:textId="77777777" w:rsidR="002F7F19" w:rsidRDefault="002F7F19" w:rsidP="00802737">
            <w:pPr>
              <w:pStyle w:val="NormalWeb"/>
              <w:spacing w:before="0" w:beforeAutospacing="0" w:after="0" w:afterAutospacing="0"/>
              <w:rPr>
                <w:rFonts w:ascii="Arial" w:hAnsi="Arial" w:cs="Arial"/>
                <w:b/>
                <w:sz w:val="22"/>
                <w:szCs w:val="22"/>
              </w:rPr>
            </w:pPr>
          </w:p>
          <w:p w14:paraId="7EE229C2" w14:textId="77777777" w:rsidR="002F7F19" w:rsidRDefault="002F7F19" w:rsidP="00802737">
            <w:pPr>
              <w:pStyle w:val="NormalWeb"/>
              <w:spacing w:before="0" w:beforeAutospacing="0" w:after="0" w:afterAutospacing="0"/>
              <w:rPr>
                <w:rFonts w:ascii="Arial" w:hAnsi="Arial" w:cs="Arial"/>
                <w:b/>
                <w:sz w:val="22"/>
                <w:szCs w:val="22"/>
              </w:rPr>
            </w:pPr>
          </w:p>
          <w:p w14:paraId="4568EF70" w14:textId="77777777" w:rsidR="002F7F19" w:rsidRDefault="002F7F19" w:rsidP="00802737">
            <w:pPr>
              <w:pStyle w:val="NormalWeb"/>
              <w:spacing w:before="0" w:beforeAutospacing="0" w:after="0" w:afterAutospacing="0"/>
              <w:rPr>
                <w:rFonts w:ascii="Arial" w:hAnsi="Arial" w:cs="Arial"/>
                <w:b/>
                <w:sz w:val="22"/>
                <w:szCs w:val="22"/>
              </w:rPr>
            </w:pPr>
          </w:p>
          <w:p w14:paraId="65B66E2E" w14:textId="77777777" w:rsidR="002F7F19" w:rsidRDefault="002F7F19" w:rsidP="00802737">
            <w:pPr>
              <w:pStyle w:val="NormalWeb"/>
              <w:spacing w:before="0" w:beforeAutospacing="0" w:after="0" w:afterAutospacing="0"/>
              <w:rPr>
                <w:rFonts w:ascii="Arial" w:hAnsi="Arial" w:cs="Arial"/>
                <w:b/>
                <w:sz w:val="22"/>
                <w:szCs w:val="22"/>
              </w:rPr>
            </w:pPr>
          </w:p>
          <w:p w14:paraId="22ADDA64" w14:textId="77777777" w:rsidR="002F7F19" w:rsidRPr="00230F35" w:rsidRDefault="002F7F19" w:rsidP="0080273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29FF597" w14:textId="77777777" w:rsidR="002F7F19" w:rsidRDefault="002F7F19" w:rsidP="0080273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D9D4B5E" w14:textId="77777777" w:rsidR="002F7F19" w:rsidRPr="00001C3B" w:rsidRDefault="002F7F19" w:rsidP="00802737">
            <w:pPr>
              <w:pStyle w:val="NormalWeb"/>
              <w:rPr>
                <w:rFonts w:ascii="Arial" w:hAnsi="Arial" w:cs="Arial"/>
                <w:sz w:val="22"/>
                <w:szCs w:val="22"/>
              </w:rPr>
            </w:pPr>
          </w:p>
        </w:tc>
      </w:tr>
      <w:tr w:rsidR="002F7F19" w:rsidRPr="00230F35" w14:paraId="651D4499" w14:textId="77777777" w:rsidTr="00802737">
        <w:trPr>
          <w:trHeight w:val="492"/>
        </w:trPr>
        <w:tc>
          <w:tcPr>
            <w:tcW w:w="6768" w:type="dxa"/>
            <w:gridSpan w:val="3"/>
          </w:tcPr>
          <w:p w14:paraId="77326127" w14:textId="77777777" w:rsidR="002F7F19" w:rsidRPr="00230F35" w:rsidRDefault="002F7F19" w:rsidP="0080273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2C61B96" w14:textId="77777777" w:rsidR="002F7F19" w:rsidRPr="00230F35" w:rsidRDefault="002F7F19" w:rsidP="00802737">
            <w:pPr>
              <w:pStyle w:val="NormalWeb"/>
              <w:spacing w:after="0"/>
              <w:ind w:left="142" w:right="34"/>
              <w:rPr>
                <w:rFonts w:ascii="Arial" w:hAnsi="Arial" w:cs="Arial"/>
                <w:sz w:val="22"/>
                <w:szCs w:val="22"/>
              </w:rPr>
            </w:pPr>
            <w:r w:rsidRPr="00230F35">
              <w:rPr>
                <w:rFonts w:ascii="Arial" w:hAnsi="Arial" w:cs="Arial"/>
                <w:sz w:val="22"/>
                <w:szCs w:val="22"/>
              </w:rPr>
              <w:t>Date:</w:t>
            </w:r>
          </w:p>
        </w:tc>
      </w:tr>
      <w:tr w:rsidR="002F7F19" w:rsidRPr="002F467C" w14:paraId="75AB2D94" w14:textId="77777777" w:rsidTr="00802737">
        <w:tc>
          <w:tcPr>
            <w:tcW w:w="8856" w:type="dxa"/>
            <w:gridSpan w:val="5"/>
          </w:tcPr>
          <w:p w14:paraId="2EDD8C22" w14:textId="77777777" w:rsidR="002F7F19" w:rsidRPr="00230F35" w:rsidRDefault="002F7F19" w:rsidP="00802737">
            <w:pPr>
              <w:pStyle w:val="NormalWeb"/>
              <w:spacing w:before="0" w:beforeAutospacing="0" w:after="0" w:afterAutospacing="0"/>
              <w:ind w:right="-334"/>
              <w:rPr>
                <w:rFonts w:ascii="Arial" w:hAnsi="Arial" w:cs="Arial"/>
                <w:bCs/>
                <w:i/>
                <w:sz w:val="22"/>
                <w:szCs w:val="22"/>
              </w:rPr>
            </w:pPr>
          </w:p>
          <w:p w14:paraId="0455B312" w14:textId="77777777" w:rsidR="002F7F19" w:rsidRPr="00230F35" w:rsidRDefault="002F7F19" w:rsidP="0080273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6C36E49" w14:textId="77777777" w:rsidR="002F7F19" w:rsidRPr="00230F35" w:rsidRDefault="002F7F19" w:rsidP="00802737">
            <w:pPr>
              <w:pStyle w:val="NormalWeb"/>
              <w:spacing w:before="0" w:beforeAutospacing="0" w:after="0" w:afterAutospacing="0"/>
              <w:ind w:right="-334"/>
              <w:rPr>
                <w:rFonts w:ascii="Arial" w:hAnsi="Arial" w:cs="Arial"/>
                <w:b/>
                <w:bCs/>
                <w:sz w:val="22"/>
                <w:szCs w:val="22"/>
              </w:rPr>
            </w:pPr>
          </w:p>
          <w:p w14:paraId="726AE1EC"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96A2129"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786D04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19F0F7F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C6616E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038950AC"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5E8852A"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04497C5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1233040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A2E106D" w14:textId="77777777" w:rsidR="002F7F19" w:rsidRDefault="002F7F19" w:rsidP="00802737">
            <w:pPr>
              <w:pStyle w:val="NormalWeb"/>
              <w:spacing w:before="0" w:beforeAutospacing="0" w:after="0" w:afterAutospacing="0"/>
              <w:ind w:right="-334"/>
              <w:rPr>
                <w:rFonts w:ascii="Arial" w:hAnsi="Arial" w:cs="Arial"/>
                <w:bCs/>
                <w:sz w:val="22"/>
                <w:szCs w:val="22"/>
              </w:rPr>
            </w:pPr>
          </w:p>
          <w:p w14:paraId="643912E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7C979BB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F3E5762" w14:textId="77777777" w:rsidR="004034ED" w:rsidRPr="00230F35" w:rsidRDefault="004034ED" w:rsidP="00802737">
            <w:pPr>
              <w:pStyle w:val="NormalWeb"/>
              <w:spacing w:before="0" w:beforeAutospacing="0" w:after="0" w:afterAutospacing="0"/>
              <w:ind w:right="-334"/>
              <w:rPr>
                <w:rFonts w:ascii="Arial" w:hAnsi="Arial" w:cs="Arial"/>
                <w:bCs/>
                <w:sz w:val="22"/>
                <w:szCs w:val="22"/>
              </w:rPr>
            </w:pPr>
          </w:p>
        </w:tc>
      </w:tr>
      <w:tr w:rsidR="002F7F19" w:rsidRPr="002F467C" w14:paraId="3E7E728C" w14:textId="77777777" w:rsidTr="00802737">
        <w:trPr>
          <w:trHeight w:val="720"/>
        </w:trPr>
        <w:tc>
          <w:tcPr>
            <w:tcW w:w="5211" w:type="dxa"/>
            <w:gridSpan w:val="2"/>
          </w:tcPr>
          <w:p w14:paraId="430084F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5F90D4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F7F19" w:rsidRPr="002F467C" w14:paraId="212F0175" w14:textId="77777777" w:rsidTr="00802737">
        <w:trPr>
          <w:trHeight w:val="720"/>
        </w:trPr>
        <w:tc>
          <w:tcPr>
            <w:tcW w:w="8856" w:type="dxa"/>
            <w:gridSpan w:val="5"/>
          </w:tcPr>
          <w:p w14:paraId="13FD28F9" w14:textId="77777777" w:rsidR="002F7F19" w:rsidRPr="00B34964" w:rsidRDefault="002F7F19" w:rsidP="00802737">
            <w:pPr>
              <w:rPr>
                <w:rFonts w:ascii="Arial" w:hAnsi="Arial" w:cs="Arial"/>
                <w:b/>
              </w:rPr>
            </w:pPr>
            <w:r w:rsidRPr="00B34964">
              <w:rPr>
                <w:rFonts w:ascii="Arial" w:hAnsi="Arial" w:cs="Arial"/>
                <w:b/>
              </w:rPr>
              <w:t>External Examiner’s comments (if relevant)</w:t>
            </w:r>
          </w:p>
          <w:p w14:paraId="7219903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9BDFA20"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6831725E"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BFD6AB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3F313BE"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F493B2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76E82C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59B2C89"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3D08585D" w14:textId="77777777" w:rsidR="002F7F19" w:rsidRDefault="002F7F19" w:rsidP="00802737">
            <w:pPr>
              <w:pStyle w:val="NormalWeb"/>
              <w:spacing w:before="0" w:beforeAutospacing="0" w:after="0" w:afterAutospacing="0"/>
              <w:ind w:right="-334"/>
              <w:rPr>
                <w:rFonts w:ascii="Arial" w:hAnsi="Arial" w:cs="Arial"/>
                <w:bCs/>
                <w:sz w:val="22"/>
                <w:szCs w:val="22"/>
              </w:rPr>
            </w:pPr>
          </w:p>
          <w:p w14:paraId="0432C467"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AA5440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tc>
      </w:tr>
      <w:tr w:rsidR="002F7F19" w:rsidRPr="002F467C" w14:paraId="381261AB" w14:textId="77777777" w:rsidTr="00802737">
        <w:trPr>
          <w:trHeight w:val="720"/>
        </w:trPr>
        <w:tc>
          <w:tcPr>
            <w:tcW w:w="5211" w:type="dxa"/>
            <w:gridSpan w:val="2"/>
          </w:tcPr>
          <w:p w14:paraId="23579B3B" w14:textId="77777777" w:rsidR="002F7F19" w:rsidRPr="00230F35" w:rsidRDefault="002F7F19" w:rsidP="00802737">
            <w:pPr>
              <w:rPr>
                <w:rFonts w:ascii="Arial" w:hAnsi="Arial" w:cs="Arial"/>
              </w:rPr>
            </w:pPr>
            <w:r w:rsidRPr="00230F35">
              <w:rPr>
                <w:rFonts w:ascii="Arial" w:hAnsi="Arial" w:cs="Arial"/>
              </w:rPr>
              <w:t>External Examiner’s Signature:</w:t>
            </w:r>
          </w:p>
        </w:tc>
        <w:tc>
          <w:tcPr>
            <w:tcW w:w="3645" w:type="dxa"/>
            <w:gridSpan w:val="3"/>
          </w:tcPr>
          <w:p w14:paraId="72EAE2F9" w14:textId="77777777" w:rsidR="002F7F19" w:rsidRPr="00230F35" w:rsidRDefault="002F7F19" w:rsidP="00802737">
            <w:pPr>
              <w:rPr>
                <w:rFonts w:ascii="Arial" w:hAnsi="Arial" w:cs="Arial"/>
              </w:rPr>
            </w:pPr>
            <w:r w:rsidRPr="00230F35">
              <w:rPr>
                <w:rFonts w:ascii="Arial" w:hAnsi="Arial" w:cs="Arial"/>
              </w:rPr>
              <w:t>Date:</w:t>
            </w:r>
          </w:p>
        </w:tc>
      </w:tr>
    </w:tbl>
    <w:p w14:paraId="3439B6A9" w14:textId="77777777" w:rsidR="002F7F19" w:rsidRDefault="002F7F19"/>
    <w:p w14:paraId="25214D8F" w14:textId="77777777" w:rsidR="002F7F19" w:rsidRDefault="002F7F19"/>
    <w:p w14:paraId="09A92A77" w14:textId="77777777" w:rsidR="002F7F19" w:rsidRDefault="002F7F19"/>
    <w:p w14:paraId="39CEBD98" w14:textId="77777777" w:rsidR="002F7F19" w:rsidRDefault="002F7F19"/>
    <w:p w14:paraId="4B4C4A0F" w14:textId="77777777" w:rsidR="002F7F19" w:rsidRDefault="002F7F19"/>
    <w:p w14:paraId="48C1F31F" w14:textId="77777777" w:rsidR="002F7F19" w:rsidRDefault="002F7F19"/>
    <w:p w14:paraId="5398C5A6" w14:textId="77777777" w:rsidR="002F7F19" w:rsidRDefault="002F7F19"/>
    <w:p w14:paraId="26E365E5" w14:textId="77777777" w:rsidR="002F7F19" w:rsidRDefault="002F7F19"/>
    <w:p w14:paraId="7CC8CDF1" w14:textId="77777777" w:rsidR="002F7F19" w:rsidRDefault="002F7F19"/>
    <w:p w14:paraId="3E9188E4" w14:textId="77777777" w:rsidR="002F7F19" w:rsidRDefault="002F7F19"/>
    <w:p w14:paraId="703D73DC" w14:textId="77777777" w:rsidR="002F7F19" w:rsidRDefault="002F7F19"/>
    <w:p w14:paraId="0092A162" w14:textId="77777777" w:rsidR="002F7F19" w:rsidRDefault="002F7F19"/>
    <w:p w14:paraId="1445D3CB" w14:textId="77777777" w:rsidR="002F7F19" w:rsidRDefault="002F7F19"/>
    <w:p w14:paraId="55DAC626" w14:textId="77777777" w:rsidR="002F7F19" w:rsidRDefault="002F7F19"/>
    <w:p w14:paraId="77A7EEBF" w14:textId="77777777" w:rsidR="004034ED" w:rsidRDefault="004034ED"/>
    <w:p w14:paraId="243E6CB2" w14:textId="77777777" w:rsidR="004034ED" w:rsidRDefault="004034ED"/>
    <w:p w14:paraId="6F6D4D9A" w14:textId="77777777" w:rsidR="004034ED" w:rsidRDefault="004034ED"/>
    <w:p w14:paraId="72DA7792" w14:textId="77777777" w:rsidR="004034ED" w:rsidRDefault="004034ED"/>
    <w:p w14:paraId="38671A0F" w14:textId="77777777" w:rsidR="00761181" w:rsidRDefault="00761181" w:rsidP="00761181">
      <w:pPr>
        <w:jc w:val="center"/>
        <w:rPr>
          <w:rFonts w:ascii="Times New Roman" w:hAnsi="Times New Roman" w:cs="Times New Roman"/>
          <w:color w:val="000000" w:themeColor="text1"/>
          <w:sz w:val="32"/>
          <w:szCs w:val="32"/>
          <w:u w:val="single"/>
        </w:rPr>
      </w:pPr>
    </w:p>
    <w:p w14:paraId="77FFA39E" w14:textId="77777777" w:rsidR="00761181" w:rsidRDefault="00761181" w:rsidP="00761181">
      <w:pPr>
        <w:jc w:val="center"/>
        <w:rPr>
          <w:rFonts w:ascii="Times New Roman" w:hAnsi="Times New Roman" w:cs="Times New Roman"/>
          <w:color w:val="000000" w:themeColor="text1"/>
          <w:sz w:val="32"/>
          <w:szCs w:val="32"/>
          <w:u w:val="single"/>
        </w:rPr>
      </w:pPr>
    </w:p>
    <w:p w14:paraId="34941FCE" w14:textId="665F7B07" w:rsidR="00761181" w:rsidRPr="00761181" w:rsidRDefault="00761181" w:rsidP="00761181">
      <w:pPr>
        <w:jc w:val="center"/>
        <w:rPr>
          <w:rFonts w:ascii="Times New Roman" w:hAnsi="Times New Roman" w:cs="Times New Roman"/>
          <w:color w:val="000000" w:themeColor="text1"/>
          <w:sz w:val="32"/>
          <w:szCs w:val="32"/>
          <w:u w:val="single"/>
        </w:rPr>
      </w:pPr>
      <w:r w:rsidRPr="00761181">
        <w:rPr>
          <w:rFonts w:ascii="Times New Roman" w:hAnsi="Times New Roman" w:cs="Times New Roman"/>
          <w:color w:val="000000" w:themeColor="text1"/>
          <w:sz w:val="32"/>
          <w:szCs w:val="32"/>
          <w:u w:val="single"/>
        </w:rPr>
        <w:t>HPCA7014: Essay One</w:t>
      </w:r>
    </w:p>
    <w:p w14:paraId="3BF4D389" w14:textId="77777777" w:rsidR="00761181" w:rsidRPr="00761181" w:rsidRDefault="00761181" w:rsidP="00761181">
      <w:pPr>
        <w:jc w:val="center"/>
        <w:rPr>
          <w:rFonts w:ascii="Times New Roman" w:hAnsi="Times New Roman" w:cs="Times New Roman"/>
          <w:color w:val="000000" w:themeColor="text1"/>
          <w:sz w:val="32"/>
          <w:szCs w:val="32"/>
          <w:u w:val="single"/>
        </w:rPr>
      </w:pPr>
    </w:p>
    <w:p w14:paraId="3AD5B58A" w14:textId="1E596BF1" w:rsidR="00761181" w:rsidRPr="00761181" w:rsidRDefault="00761181" w:rsidP="00761181">
      <w:pPr>
        <w:jc w:val="center"/>
        <w:rPr>
          <w:rFonts w:ascii="Times New Roman" w:hAnsi="Times New Roman" w:cs="Times New Roman"/>
          <w:color w:val="000000" w:themeColor="text1"/>
          <w:sz w:val="32"/>
          <w:szCs w:val="32"/>
          <w:u w:val="single"/>
        </w:rPr>
      </w:pPr>
      <w:r w:rsidRPr="00761181">
        <w:rPr>
          <w:rFonts w:ascii="Times New Roman" w:hAnsi="Times New Roman" w:cs="Times New Roman"/>
          <w:color w:val="000000" w:themeColor="text1"/>
          <w:sz w:val="32"/>
          <w:szCs w:val="32"/>
          <w:u w:val="single"/>
        </w:rPr>
        <w:t>Luke Collin</w:t>
      </w:r>
    </w:p>
    <w:p w14:paraId="6800EE58" w14:textId="77777777" w:rsidR="00761181" w:rsidRPr="00761181" w:rsidRDefault="00761181" w:rsidP="00761181">
      <w:pPr>
        <w:jc w:val="center"/>
        <w:rPr>
          <w:rFonts w:ascii="Times New Roman" w:hAnsi="Times New Roman" w:cs="Times New Roman"/>
          <w:color w:val="000000" w:themeColor="text1"/>
          <w:sz w:val="32"/>
          <w:szCs w:val="32"/>
          <w:u w:val="single"/>
        </w:rPr>
      </w:pPr>
    </w:p>
    <w:p w14:paraId="608C027C" w14:textId="3DA66C43" w:rsidR="00761181" w:rsidRPr="00761181" w:rsidRDefault="00761181" w:rsidP="00761181">
      <w:pPr>
        <w:jc w:val="center"/>
        <w:rPr>
          <w:rFonts w:ascii="Times New Roman" w:hAnsi="Times New Roman" w:cs="Times New Roman"/>
          <w:color w:val="000000" w:themeColor="text1"/>
          <w:sz w:val="32"/>
          <w:szCs w:val="32"/>
          <w:u w:val="single"/>
        </w:rPr>
      </w:pPr>
      <w:r w:rsidRPr="00761181">
        <w:rPr>
          <w:rFonts w:ascii="Times New Roman" w:hAnsi="Times New Roman" w:cs="Times New Roman"/>
          <w:color w:val="000000" w:themeColor="text1"/>
          <w:sz w:val="32"/>
          <w:szCs w:val="32"/>
          <w:u w:val="single"/>
        </w:rPr>
        <w:t xml:space="preserve"> Compare and critically contrast Mircea Eliade and Emile Durkheim’s views of sacred </w:t>
      </w:r>
      <w:proofErr w:type="gramStart"/>
      <w:r w:rsidRPr="00761181">
        <w:rPr>
          <w:rFonts w:ascii="Times New Roman" w:hAnsi="Times New Roman" w:cs="Times New Roman"/>
          <w:color w:val="000000" w:themeColor="text1"/>
          <w:sz w:val="32"/>
          <w:szCs w:val="32"/>
          <w:u w:val="single"/>
        </w:rPr>
        <w:t>space</w:t>
      </w:r>
      <w:proofErr w:type="gramEnd"/>
    </w:p>
    <w:p w14:paraId="377F218A" w14:textId="77777777" w:rsidR="00761181" w:rsidRPr="00761181" w:rsidRDefault="00761181" w:rsidP="00761181">
      <w:pPr>
        <w:jc w:val="center"/>
        <w:rPr>
          <w:rFonts w:ascii="Times New Roman" w:hAnsi="Times New Roman" w:cs="Times New Roman"/>
          <w:color w:val="000000" w:themeColor="text1"/>
          <w:sz w:val="32"/>
          <w:szCs w:val="32"/>
          <w:u w:val="single"/>
        </w:rPr>
      </w:pPr>
    </w:p>
    <w:p w14:paraId="7C72E351" w14:textId="77777777" w:rsidR="00761181" w:rsidRPr="00761181" w:rsidRDefault="00761181" w:rsidP="00761181">
      <w:pPr>
        <w:jc w:val="center"/>
        <w:rPr>
          <w:rFonts w:ascii="Times New Roman" w:hAnsi="Times New Roman" w:cs="Times New Roman"/>
          <w:color w:val="000000" w:themeColor="text1"/>
          <w:sz w:val="28"/>
          <w:szCs w:val="28"/>
          <w:u w:val="single"/>
        </w:rPr>
      </w:pPr>
    </w:p>
    <w:p w14:paraId="44F07602" w14:textId="77777777" w:rsidR="002F7F19" w:rsidRDefault="002F7F19"/>
    <w:p w14:paraId="57EC16EC" w14:textId="77777777" w:rsidR="002F7F19" w:rsidRDefault="002F7F19"/>
    <w:p w14:paraId="173840AA" w14:textId="77777777" w:rsidR="002F7F19" w:rsidRDefault="002F7F19"/>
    <w:p w14:paraId="641586EF" w14:textId="77777777" w:rsidR="00803AF1" w:rsidRDefault="00803AF1" w:rsidP="00803AF1"/>
    <w:p w14:paraId="752AC80B" w14:textId="77777777" w:rsidR="00761181" w:rsidRDefault="00761181" w:rsidP="00803AF1"/>
    <w:p w14:paraId="65B789F6" w14:textId="77777777" w:rsidR="00761181" w:rsidRDefault="00761181" w:rsidP="00803AF1"/>
    <w:p w14:paraId="7705AFF1" w14:textId="77777777" w:rsidR="00761181" w:rsidRDefault="00761181" w:rsidP="00803AF1"/>
    <w:p w14:paraId="7B18A361" w14:textId="77777777" w:rsidR="00761181" w:rsidRDefault="00761181" w:rsidP="00803AF1"/>
    <w:p w14:paraId="7DB925A7" w14:textId="77777777" w:rsidR="00761181" w:rsidRDefault="00761181" w:rsidP="00803AF1"/>
    <w:p w14:paraId="20746209" w14:textId="77777777" w:rsidR="00761181" w:rsidRDefault="00761181" w:rsidP="00803AF1"/>
    <w:p w14:paraId="0B7BD6EA" w14:textId="77777777" w:rsidR="00761181" w:rsidRDefault="00761181" w:rsidP="00803AF1"/>
    <w:p w14:paraId="2F0F721B" w14:textId="77777777" w:rsidR="00761181" w:rsidRDefault="00761181" w:rsidP="00803AF1"/>
    <w:p w14:paraId="59B40EEF" w14:textId="77777777" w:rsidR="00761181" w:rsidRDefault="00761181" w:rsidP="00803AF1"/>
    <w:p w14:paraId="05463A1B" w14:textId="77777777" w:rsidR="00761181" w:rsidRDefault="00761181" w:rsidP="00803AF1"/>
    <w:p w14:paraId="2D26CA18" w14:textId="77777777" w:rsidR="00761181" w:rsidRDefault="00761181" w:rsidP="00803AF1"/>
    <w:p w14:paraId="29CCEF98" w14:textId="77777777" w:rsidR="00761181" w:rsidRDefault="00761181" w:rsidP="00803AF1"/>
    <w:p w14:paraId="7E4B74EF" w14:textId="77777777" w:rsidR="00761181" w:rsidRDefault="00761181" w:rsidP="00803AF1"/>
    <w:p w14:paraId="3EEB170C" w14:textId="5BDFEF97" w:rsidR="004113F1" w:rsidRDefault="00761181" w:rsidP="00803AF1">
      <w:pPr>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14:paraId="3A693149" w14:textId="77777777" w:rsidR="004113F1" w:rsidRDefault="004113F1" w:rsidP="00803AF1">
      <w:pPr>
        <w:rPr>
          <w:rFonts w:ascii="Times New Roman" w:hAnsi="Times New Roman" w:cs="Times New Roman"/>
          <w:sz w:val="24"/>
          <w:szCs w:val="24"/>
          <w:u w:val="single"/>
        </w:rPr>
      </w:pPr>
    </w:p>
    <w:p w14:paraId="0FCFF96E" w14:textId="227CCA6B" w:rsidR="004113F1" w:rsidRDefault="00D66454" w:rsidP="00EE50CC">
      <w:pPr>
        <w:spacing w:line="360" w:lineRule="auto"/>
        <w:jc w:val="both"/>
        <w:rPr>
          <w:rFonts w:ascii="Times New Roman" w:hAnsi="Times New Roman" w:cs="Times New Roman"/>
          <w:sz w:val="24"/>
          <w:szCs w:val="24"/>
        </w:rPr>
      </w:pPr>
      <w:r w:rsidRPr="00D66454">
        <w:rPr>
          <w:rFonts w:ascii="Times New Roman" w:hAnsi="Times New Roman" w:cs="Times New Roman"/>
          <w:sz w:val="24"/>
          <w:szCs w:val="24"/>
        </w:rPr>
        <w:t xml:space="preserve">In 2003, </w:t>
      </w:r>
      <w:r w:rsidR="0022418F">
        <w:rPr>
          <w:rFonts w:ascii="Times New Roman" w:hAnsi="Times New Roman" w:cs="Times New Roman"/>
          <w:sz w:val="24"/>
          <w:szCs w:val="24"/>
        </w:rPr>
        <w:t xml:space="preserve">Matthew T. </w:t>
      </w:r>
      <w:r w:rsidRPr="00D66454">
        <w:rPr>
          <w:rFonts w:ascii="Times New Roman" w:hAnsi="Times New Roman" w:cs="Times New Roman"/>
          <w:sz w:val="24"/>
          <w:szCs w:val="24"/>
        </w:rPr>
        <w:t>Evans argued that the ‘sacred’ was a key concept in the sociology of religion and an important concept in social theory.</w:t>
      </w:r>
      <w:r>
        <w:rPr>
          <w:rStyle w:val="FootnoteReference"/>
          <w:rFonts w:ascii="Times New Roman" w:hAnsi="Times New Roman" w:cs="Times New Roman"/>
          <w:sz w:val="24"/>
          <w:szCs w:val="24"/>
        </w:rPr>
        <w:footnoteReference w:id="1"/>
      </w:r>
      <w:r w:rsidRPr="00D66454">
        <w:rPr>
          <w:rFonts w:ascii="Times New Roman" w:hAnsi="Times New Roman" w:cs="Times New Roman"/>
          <w:sz w:val="24"/>
          <w:szCs w:val="24"/>
        </w:rPr>
        <w:t xml:space="preserve"> </w:t>
      </w:r>
      <w:r w:rsidR="007405E1">
        <w:rPr>
          <w:rFonts w:ascii="Times New Roman" w:hAnsi="Times New Roman" w:cs="Times New Roman"/>
          <w:sz w:val="24"/>
          <w:szCs w:val="24"/>
        </w:rPr>
        <w:t>According to Seidlitz et al, the word ‘sacred’ refers to the divine or supernatural.</w:t>
      </w:r>
      <w:r w:rsidR="007405E1">
        <w:rPr>
          <w:rStyle w:val="FootnoteReference"/>
          <w:rFonts w:ascii="Times New Roman" w:hAnsi="Times New Roman" w:cs="Times New Roman"/>
          <w:sz w:val="24"/>
          <w:szCs w:val="24"/>
        </w:rPr>
        <w:footnoteReference w:id="2"/>
      </w:r>
      <w:r w:rsidR="007405E1">
        <w:rPr>
          <w:rFonts w:ascii="Times New Roman" w:hAnsi="Times New Roman" w:cs="Times New Roman"/>
          <w:sz w:val="24"/>
          <w:szCs w:val="24"/>
        </w:rPr>
        <w:t xml:space="preserve"> </w:t>
      </w:r>
      <w:r>
        <w:rPr>
          <w:rFonts w:ascii="Times New Roman" w:hAnsi="Times New Roman" w:cs="Times New Roman"/>
          <w:sz w:val="24"/>
          <w:szCs w:val="24"/>
        </w:rPr>
        <w:t>However, w</w:t>
      </w:r>
      <w:r w:rsidR="00703F04">
        <w:rPr>
          <w:rFonts w:ascii="Times New Roman" w:hAnsi="Times New Roman" w:cs="Times New Roman"/>
          <w:sz w:val="24"/>
          <w:szCs w:val="24"/>
        </w:rPr>
        <w:t>hat is sacredness and h</w:t>
      </w:r>
      <w:r w:rsidR="00EE50CC">
        <w:rPr>
          <w:rFonts w:ascii="Times New Roman" w:hAnsi="Times New Roman" w:cs="Times New Roman"/>
          <w:sz w:val="24"/>
          <w:szCs w:val="24"/>
        </w:rPr>
        <w:t xml:space="preserve">ow sacred spaces are created and defined </w:t>
      </w:r>
      <w:r w:rsidR="004113F1">
        <w:rPr>
          <w:rFonts w:ascii="Times New Roman" w:hAnsi="Times New Roman" w:cs="Times New Roman"/>
          <w:sz w:val="24"/>
          <w:szCs w:val="24"/>
        </w:rPr>
        <w:t xml:space="preserve">are questions that scholars have </w:t>
      </w:r>
      <w:r w:rsidR="006B7946">
        <w:rPr>
          <w:rFonts w:ascii="Times New Roman" w:hAnsi="Times New Roman" w:cs="Times New Roman"/>
          <w:sz w:val="24"/>
          <w:szCs w:val="24"/>
        </w:rPr>
        <w:t xml:space="preserve">debated </w:t>
      </w:r>
      <w:r w:rsidR="004113F1">
        <w:rPr>
          <w:rFonts w:ascii="Times New Roman" w:hAnsi="Times New Roman" w:cs="Times New Roman"/>
          <w:sz w:val="24"/>
          <w:szCs w:val="24"/>
        </w:rPr>
        <w:t>for some time</w:t>
      </w:r>
      <w:r w:rsidR="006B7946">
        <w:rPr>
          <w:rFonts w:ascii="Times New Roman" w:hAnsi="Times New Roman" w:cs="Times New Roman"/>
          <w:sz w:val="24"/>
          <w:szCs w:val="24"/>
        </w:rPr>
        <w:t xml:space="preserve"> without reaching a consensus</w:t>
      </w:r>
      <w:r w:rsidR="004113F1">
        <w:rPr>
          <w:rFonts w:ascii="Times New Roman" w:hAnsi="Times New Roman" w:cs="Times New Roman"/>
          <w:sz w:val="24"/>
          <w:szCs w:val="24"/>
        </w:rPr>
        <w:t>.</w:t>
      </w:r>
      <w:r w:rsidR="006B7946">
        <w:rPr>
          <w:rStyle w:val="FootnoteReference"/>
          <w:rFonts w:ascii="Times New Roman" w:hAnsi="Times New Roman" w:cs="Times New Roman"/>
          <w:sz w:val="24"/>
          <w:szCs w:val="24"/>
        </w:rPr>
        <w:footnoteReference w:id="3"/>
      </w:r>
      <w:r w:rsidR="004113F1">
        <w:rPr>
          <w:rFonts w:ascii="Times New Roman" w:hAnsi="Times New Roman" w:cs="Times New Roman"/>
          <w:sz w:val="24"/>
          <w:szCs w:val="24"/>
        </w:rPr>
        <w:t xml:space="preserve"> </w:t>
      </w:r>
      <w:r w:rsidR="0022418F">
        <w:rPr>
          <w:rFonts w:ascii="Times New Roman" w:hAnsi="Times New Roman" w:cs="Times New Roman"/>
          <w:sz w:val="24"/>
          <w:szCs w:val="24"/>
        </w:rPr>
        <w:t xml:space="preserve">The word ‘sacred’ has its roots in the </w:t>
      </w:r>
      <w:r w:rsidR="00877794">
        <w:rPr>
          <w:rFonts w:ascii="Times New Roman" w:hAnsi="Times New Roman" w:cs="Times New Roman"/>
          <w:sz w:val="24"/>
          <w:szCs w:val="24"/>
        </w:rPr>
        <w:t>Latin</w:t>
      </w:r>
      <w:r w:rsidR="0022418F">
        <w:rPr>
          <w:rFonts w:ascii="Times New Roman" w:hAnsi="Times New Roman" w:cs="Times New Roman"/>
          <w:sz w:val="24"/>
          <w:szCs w:val="24"/>
        </w:rPr>
        <w:t xml:space="preserve"> word ‘</w:t>
      </w:r>
      <w:proofErr w:type="spellStart"/>
      <w:r w:rsidR="0022418F">
        <w:rPr>
          <w:rFonts w:ascii="Times New Roman" w:hAnsi="Times New Roman" w:cs="Times New Roman"/>
          <w:sz w:val="24"/>
          <w:szCs w:val="24"/>
        </w:rPr>
        <w:t>sacer</w:t>
      </w:r>
      <w:proofErr w:type="spellEnd"/>
      <w:r w:rsidR="0022418F">
        <w:rPr>
          <w:rFonts w:ascii="Times New Roman" w:hAnsi="Times New Roman" w:cs="Times New Roman"/>
          <w:sz w:val="24"/>
          <w:szCs w:val="24"/>
        </w:rPr>
        <w:t>’ which meant to restrict or set apart from something.</w:t>
      </w:r>
      <w:r w:rsidR="0022418F">
        <w:rPr>
          <w:rStyle w:val="FootnoteReference"/>
          <w:rFonts w:ascii="Times New Roman" w:hAnsi="Times New Roman" w:cs="Times New Roman"/>
          <w:sz w:val="24"/>
          <w:szCs w:val="24"/>
        </w:rPr>
        <w:footnoteReference w:id="4"/>
      </w:r>
      <w:r w:rsidR="0022418F">
        <w:rPr>
          <w:rFonts w:ascii="Times New Roman" w:hAnsi="Times New Roman" w:cs="Times New Roman"/>
          <w:sz w:val="24"/>
          <w:szCs w:val="24"/>
        </w:rPr>
        <w:t xml:space="preserve"> By following this meaning, it can be understood </w:t>
      </w:r>
      <w:r w:rsidR="00877794">
        <w:rPr>
          <w:rFonts w:ascii="Times New Roman" w:hAnsi="Times New Roman" w:cs="Times New Roman"/>
          <w:sz w:val="24"/>
          <w:szCs w:val="24"/>
        </w:rPr>
        <w:t xml:space="preserve">that </w:t>
      </w:r>
      <w:r w:rsidR="0022418F">
        <w:rPr>
          <w:rFonts w:ascii="Times New Roman" w:hAnsi="Times New Roman" w:cs="Times New Roman"/>
          <w:sz w:val="24"/>
          <w:szCs w:val="24"/>
        </w:rPr>
        <w:t xml:space="preserve">the sacred and a sacred space is set apart from </w:t>
      </w:r>
      <w:r w:rsidR="0022418F" w:rsidRPr="00EC55F9">
        <w:rPr>
          <w:rFonts w:ascii="Times New Roman" w:hAnsi="Times New Roman" w:cs="Times New Roman"/>
          <w:sz w:val="24"/>
          <w:szCs w:val="24"/>
        </w:rPr>
        <w:t xml:space="preserve">other </w:t>
      </w:r>
      <w:r w:rsidR="00EC55F9">
        <w:rPr>
          <w:rFonts w:ascii="Times New Roman" w:hAnsi="Times New Roman" w:cs="Times New Roman"/>
          <w:sz w:val="24"/>
          <w:szCs w:val="24"/>
        </w:rPr>
        <w:t>occurrences</w:t>
      </w:r>
      <w:r w:rsidR="00B15EA3">
        <w:rPr>
          <w:rFonts w:ascii="Times New Roman" w:hAnsi="Times New Roman" w:cs="Times New Roman"/>
          <w:sz w:val="24"/>
          <w:szCs w:val="24"/>
        </w:rPr>
        <w:t xml:space="preserve"> and </w:t>
      </w:r>
      <w:r w:rsidR="0022418F">
        <w:rPr>
          <w:rFonts w:ascii="Times New Roman" w:hAnsi="Times New Roman" w:cs="Times New Roman"/>
          <w:sz w:val="24"/>
          <w:szCs w:val="24"/>
        </w:rPr>
        <w:t xml:space="preserve">spaces. </w:t>
      </w:r>
      <w:r w:rsidR="00401CF3">
        <w:rPr>
          <w:rFonts w:ascii="Times New Roman" w:hAnsi="Times New Roman" w:cs="Times New Roman"/>
          <w:sz w:val="24"/>
          <w:szCs w:val="24"/>
        </w:rPr>
        <w:t>In 2008, a report by Celia Gunn and Anthony Thorley provided a definition of a sacred place stating that it is located “in the landscape, occasionally over or under water, which is especially revered by a people, culture or cultural group as a focus for spiritual belief and practice or likely religious observance”.</w:t>
      </w:r>
      <w:r w:rsidR="00401CF3">
        <w:rPr>
          <w:rStyle w:val="FootnoteReference"/>
          <w:rFonts w:ascii="Times New Roman" w:hAnsi="Times New Roman" w:cs="Times New Roman"/>
          <w:sz w:val="24"/>
          <w:szCs w:val="24"/>
        </w:rPr>
        <w:footnoteReference w:id="5"/>
      </w:r>
      <w:r w:rsidR="00401CF3">
        <w:rPr>
          <w:rFonts w:ascii="Times New Roman" w:hAnsi="Times New Roman" w:cs="Times New Roman"/>
          <w:sz w:val="24"/>
          <w:szCs w:val="24"/>
        </w:rPr>
        <w:t xml:space="preserve"> </w:t>
      </w:r>
    </w:p>
    <w:p w14:paraId="6B98E301" w14:textId="41E0CA89" w:rsidR="00F513D9" w:rsidRDefault="00DD543E" w:rsidP="004113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2024, Bernadette Brady explains that there are two dominant approaches to understanding </w:t>
      </w:r>
      <w:r w:rsidR="008C5040">
        <w:rPr>
          <w:rFonts w:ascii="Times New Roman" w:hAnsi="Times New Roman" w:cs="Times New Roman"/>
          <w:sz w:val="24"/>
          <w:szCs w:val="24"/>
        </w:rPr>
        <w:t>‘</w:t>
      </w:r>
      <w:r>
        <w:rPr>
          <w:rFonts w:ascii="Times New Roman" w:hAnsi="Times New Roman" w:cs="Times New Roman"/>
          <w:sz w:val="24"/>
          <w:szCs w:val="24"/>
        </w:rPr>
        <w:t>sacred</w:t>
      </w:r>
      <w:r w:rsidR="008C5040">
        <w:rPr>
          <w:rFonts w:ascii="Times New Roman" w:hAnsi="Times New Roman" w:cs="Times New Roman"/>
          <w:sz w:val="24"/>
          <w:szCs w:val="24"/>
        </w:rPr>
        <w:t>ness</w:t>
      </w:r>
      <w:r>
        <w:rPr>
          <w:rFonts w:ascii="Times New Roman" w:hAnsi="Times New Roman" w:cs="Times New Roman"/>
          <w:sz w:val="24"/>
          <w:szCs w:val="24"/>
        </w:rPr>
        <w:t>’ in academia.</w:t>
      </w:r>
      <w:r w:rsidR="00503E96">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The first being that there is a sociological perspective, created by Emile Durkheim (1858-1917), which suggests that sacred</w:t>
      </w:r>
      <w:r w:rsidR="008C5040">
        <w:rPr>
          <w:rFonts w:ascii="Times New Roman" w:hAnsi="Times New Roman" w:cs="Times New Roman"/>
          <w:sz w:val="24"/>
          <w:szCs w:val="24"/>
        </w:rPr>
        <w:t>ness</w:t>
      </w:r>
      <w:r>
        <w:rPr>
          <w:rFonts w:ascii="Times New Roman" w:hAnsi="Times New Roman" w:cs="Times New Roman"/>
          <w:sz w:val="24"/>
          <w:szCs w:val="24"/>
        </w:rPr>
        <w:t xml:space="preserve"> is a social construct. The second</w:t>
      </w:r>
      <w:r w:rsidR="00417F7D">
        <w:rPr>
          <w:rFonts w:ascii="Times New Roman" w:hAnsi="Times New Roman" w:cs="Times New Roman"/>
          <w:sz w:val="24"/>
          <w:szCs w:val="24"/>
        </w:rPr>
        <w:t xml:space="preserve"> being an ontological perspective</w:t>
      </w:r>
      <w:r>
        <w:rPr>
          <w:rFonts w:ascii="Times New Roman" w:hAnsi="Times New Roman" w:cs="Times New Roman"/>
          <w:sz w:val="24"/>
          <w:szCs w:val="24"/>
        </w:rPr>
        <w:t xml:space="preserve"> from Mircea Eliade (1907-1986)</w:t>
      </w:r>
      <w:r w:rsidR="00417F7D">
        <w:rPr>
          <w:rFonts w:ascii="Times New Roman" w:hAnsi="Times New Roman" w:cs="Times New Roman"/>
          <w:sz w:val="24"/>
          <w:szCs w:val="24"/>
        </w:rPr>
        <w:t>. This</w:t>
      </w:r>
      <w:r w:rsidR="0016312A">
        <w:rPr>
          <w:rFonts w:ascii="Times New Roman" w:hAnsi="Times New Roman" w:cs="Times New Roman"/>
          <w:sz w:val="24"/>
          <w:szCs w:val="24"/>
        </w:rPr>
        <w:t xml:space="preserve"> establishes that the divine is responsible for t</w:t>
      </w:r>
      <w:r w:rsidR="00503E96">
        <w:rPr>
          <w:rFonts w:ascii="Times New Roman" w:hAnsi="Times New Roman" w:cs="Times New Roman"/>
          <w:sz w:val="24"/>
          <w:szCs w:val="24"/>
        </w:rPr>
        <w:t>h</w:t>
      </w:r>
      <w:r w:rsidR="0016312A">
        <w:rPr>
          <w:rFonts w:ascii="Times New Roman" w:hAnsi="Times New Roman" w:cs="Times New Roman"/>
          <w:sz w:val="24"/>
          <w:szCs w:val="24"/>
        </w:rPr>
        <w:t>e creation of a sacred place.</w:t>
      </w:r>
      <w:r w:rsidR="009D12DD">
        <w:rPr>
          <w:rStyle w:val="FootnoteReference"/>
          <w:rFonts w:ascii="Times New Roman" w:hAnsi="Times New Roman" w:cs="Times New Roman"/>
          <w:sz w:val="24"/>
          <w:szCs w:val="24"/>
        </w:rPr>
        <w:footnoteReference w:id="7"/>
      </w:r>
      <w:r w:rsidR="0016312A">
        <w:rPr>
          <w:rFonts w:ascii="Times New Roman" w:hAnsi="Times New Roman" w:cs="Times New Roman"/>
          <w:sz w:val="24"/>
          <w:szCs w:val="24"/>
        </w:rPr>
        <w:t xml:space="preserve"> </w:t>
      </w:r>
      <w:r w:rsidR="004B39E9">
        <w:rPr>
          <w:rFonts w:ascii="Times New Roman" w:hAnsi="Times New Roman" w:cs="Times New Roman"/>
          <w:sz w:val="24"/>
          <w:szCs w:val="24"/>
        </w:rPr>
        <w:t>This essay will investigate the</w:t>
      </w:r>
      <w:r w:rsidR="0016312A">
        <w:rPr>
          <w:rFonts w:ascii="Times New Roman" w:hAnsi="Times New Roman" w:cs="Times New Roman"/>
          <w:sz w:val="24"/>
          <w:szCs w:val="24"/>
        </w:rPr>
        <w:t>se</w:t>
      </w:r>
      <w:r w:rsidR="004B39E9">
        <w:rPr>
          <w:rFonts w:ascii="Times New Roman" w:hAnsi="Times New Roman" w:cs="Times New Roman"/>
          <w:sz w:val="24"/>
          <w:szCs w:val="24"/>
        </w:rPr>
        <w:t xml:space="preserve"> differing opinions on sacred space </w:t>
      </w:r>
      <w:r w:rsidR="0016312A">
        <w:rPr>
          <w:rFonts w:ascii="Times New Roman" w:hAnsi="Times New Roman" w:cs="Times New Roman"/>
          <w:sz w:val="24"/>
          <w:szCs w:val="24"/>
        </w:rPr>
        <w:t xml:space="preserve">and </w:t>
      </w:r>
      <w:r w:rsidR="004B39E9">
        <w:rPr>
          <w:rFonts w:ascii="Times New Roman" w:hAnsi="Times New Roman" w:cs="Times New Roman"/>
          <w:sz w:val="24"/>
          <w:szCs w:val="24"/>
        </w:rPr>
        <w:t>to achieve this, their individual perspectives will be detailed and analyzed</w:t>
      </w:r>
      <w:r w:rsidR="0016312A">
        <w:rPr>
          <w:rFonts w:ascii="Times New Roman" w:hAnsi="Times New Roman" w:cs="Times New Roman"/>
          <w:sz w:val="24"/>
          <w:szCs w:val="24"/>
        </w:rPr>
        <w:t xml:space="preserve">. This will be proceeded by </w:t>
      </w:r>
      <w:r w:rsidR="004B39E9">
        <w:rPr>
          <w:rFonts w:ascii="Times New Roman" w:hAnsi="Times New Roman" w:cs="Times New Roman"/>
          <w:sz w:val="24"/>
          <w:szCs w:val="24"/>
        </w:rPr>
        <w:t xml:space="preserve">a discussion in which their ideas will be </w:t>
      </w:r>
      <w:proofErr w:type="gramStart"/>
      <w:r w:rsidR="004B39E9">
        <w:rPr>
          <w:rFonts w:ascii="Times New Roman" w:hAnsi="Times New Roman" w:cs="Times New Roman"/>
          <w:sz w:val="24"/>
          <w:szCs w:val="24"/>
        </w:rPr>
        <w:t>compared and contrasted</w:t>
      </w:r>
      <w:proofErr w:type="gramEnd"/>
      <w:r w:rsidR="004B39E9">
        <w:rPr>
          <w:rFonts w:ascii="Times New Roman" w:hAnsi="Times New Roman" w:cs="Times New Roman"/>
          <w:sz w:val="24"/>
          <w:szCs w:val="24"/>
        </w:rPr>
        <w:t xml:space="preserve"> alongside the work of other </w:t>
      </w:r>
      <w:r w:rsidR="003B01DA">
        <w:rPr>
          <w:rFonts w:ascii="Times New Roman" w:hAnsi="Times New Roman" w:cs="Times New Roman"/>
          <w:sz w:val="24"/>
          <w:szCs w:val="24"/>
        </w:rPr>
        <w:t>scholars</w:t>
      </w:r>
      <w:r w:rsidR="004B39E9">
        <w:rPr>
          <w:rFonts w:ascii="Times New Roman" w:hAnsi="Times New Roman" w:cs="Times New Roman"/>
          <w:sz w:val="24"/>
          <w:szCs w:val="24"/>
        </w:rPr>
        <w:t xml:space="preserve">. This will be done </w:t>
      </w:r>
      <w:proofErr w:type="gramStart"/>
      <w:r w:rsidR="004B39E9">
        <w:rPr>
          <w:rFonts w:ascii="Times New Roman" w:hAnsi="Times New Roman" w:cs="Times New Roman"/>
          <w:sz w:val="24"/>
          <w:szCs w:val="24"/>
        </w:rPr>
        <w:t>in order to</w:t>
      </w:r>
      <w:proofErr w:type="gramEnd"/>
      <w:r w:rsidR="004B39E9">
        <w:rPr>
          <w:rFonts w:ascii="Times New Roman" w:hAnsi="Times New Roman" w:cs="Times New Roman"/>
          <w:sz w:val="24"/>
          <w:szCs w:val="24"/>
        </w:rPr>
        <w:t xml:space="preserve"> establish a larger view on what sacred space is and how it </w:t>
      </w:r>
      <w:r w:rsidR="0016312A">
        <w:rPr>
          <w:rFonts w:ascii="Times New Roman" w:hAnsi="Times New Roman" w:cs="Times New Roman"/>
          <w:sz w:val="24"/>
          <w:szCs w:val="24"/>
        </w:rPr>
        <w:t xml:space="preserve">can </w:t>
      </w:r>
      <w:r w:rsidR="004B39E9">
        <w:rPr>
          <w:rFonts w:ascii="Times New Roman" w:hAnsi="Times New Roman" w:cs="Times New Roman"/>
          <w:sz w:val="24"/>
          <w:szCs w:val="24"/>
        </w:rPr>
        <w:t>be defined.</w:t>
      </w:r>
    </w:p>
    <w:p w14:paraId="76FBB334" w14:textId="77777777" w:rsidR="00933201" w:rsidRDefault="00933201" w:rsidP="004113F1">
      <w:pPr>
        <w:spacing w:line="360" w:lineRule="auto"/>
        <w:jc w:val="both"/>
        <w:rPr>
          <w:rFonts w:ascii="Times New Roman" w:hAnsi="Times New Roman" w:cs="Times New Roman"/>
          <w:sz w:val="24"/>
          <w:szCs w:val="24"/>
        </w:rPr>
      </w:pPr>
    </w:p>
    <w:p w14:paraId="5726DDA3" w14:textId="626AD7D0" w:rsidR="00F513D9" w:rsidRDefault="00F513D9" w:rsidP="004113F1">
      <w:pPr>
        <w:spacing w:line="360" w:lineRule="auto"/>
        <w:jc w:val="both"/>
        <w:rPr>
          <w:rFonts w:ascii="Times New Roman" w:hAnsi="Times New Roman" w:cs="Times New Roman"/>
          <w:sz w:val="24"/>
          <w:szCs w:val="24"/>
          <w:u w:val="single"/>
        </w:rPr>
      </w:pPr>
      <w:r w:rsidRPr="00F513D9">
        <w:rPr>
          <w:rFonts w:ascii="Times New Roman" w:hAnsi="Times New Roman" w:cs="Times New Roman"/>
          <w:sz w:val="24"/>
          <w:szCs w:val="24"/>
          <w:u w:val="single"/>
        </w:rPr>
        <w:t>Emile Durkheim</w:t>
      </w:r>
    </w:p>
    <w:p w14:paraId="05C126CF" w14:textId="68CB7CC0" w:rsidR="00F364AD" w:rsidRDefault="00407F5E" w:rsidP="004113F1">
      <w:pPr>
        <w:spacing w:line="360" w:lineRule="auto"/>
        <w:jc w:val="both"/>
        <w:rPr>
          <w:rFonts w:ascii="Times New Roman" w:hAnsi="Times New Roman" w:cs="Times New Roman"/>
          <w:sz w:val="24"/>
          <w:szCs w:val="24"/>
        </w:rPr>
      </w:pPr>
      <w:r w:rsidRPr="00407F5E">
        <w:rPr>
          <w:rFonts w:ascii="Times New Roman" w:hAnsi="Times New Roman" w:cs="Times New Roman"/>
          <w:sz w:val="24"/>
          <w:szCs w:val="24"/>
        </w:rPr>
        <w:t>David Emile Durkh</w:t>
      </w:r>
      <w:r>
        <w:rPr>
          <w:rFonts w:ascii="Times New Roman" w:hAnsi="Times New Roman" w:cs="Times New Roman"/>
          <w:sz w:val="24"/>
          <w:szCs w:val="24"/>
        </w:rPr>
        <w:t>ei</w:t>
      </w:r>
      <w:r w:rsidRPr="00407F5E">
        <w:rPr>
          <w:rFonts w:ascii="Times New Roman" w:hAnsi="Times New Roman" w:cs="Times New Roman"/>
          <w:sz w:val="24"/>
          <w:szCs w:val="24"/>
        </w:rPr>
        <w:t xml:space="preserve">m </w:t>
      </w:r>
      <w:r>
        <w:rPr>
          <w:rFonts w:ascii="Times New Roman" w:hAnsi="Times New Roman" w:cs="Times New Roman"/>
          <w:sz w:val="24"/>
          <w:szCs w:val="24"/>
        </w:rPr>
        <w:t xml:space="preserve">(1858-1917) was a French sociologist who grew up within </w:t>
      </w:r>
      <w:r w:rsidR="00984C7E">
        <w:rPr>
          <w:rFonts w:ascii="Times New Roman" w:hAnsi="Times New Roman" w:cs="Times New Roman"/>
          <w:sz w:val="24"/>
          <w:szCs w:val="24"/>
        </w:rPr>
        <w:t xml:space="preserve">a </w:t>
      </w:r>
      <w:r>
        <w:rPr>
          <w:rFonts w:ascii="Times New Roman" w:hAnsi="Times New Roman" w:cs="Times New Roman"/>
          <w:sz w:val="24"/>
          <w:szCs w:val="24"/>
        </w:rPr>
        <w:t>Jewish fa</w:t>
      </w:r>
      <w:r w:rsidR="00984C7E">
        <w:rPr>
          <w:rFonts w:ascii="Times New Roman" w:hAnsi="Times New Roman" w:cs="Times New Roman"/>
          <w:sz w:val="24"/>
          <w:szCs w:val="24"/>
        </w:rPr>
        <w:t>mily</w:t>
      </w:r>
      <w:r>
        <w:rPr>
          <w:rFonts w:ascii="Times New Roman" w:hAnsi="Times New Roman" w:cs="Times New Roman"/>
          <w:sz w:val="24"/>
          <w:szCs w:val="24"/>
        </w:rPr>
        <w:t xml:space="preserve">. </w:t>
      </w:r>
      <w:proofErr w:type="spellStart"/>
      <w:r w:rsidR="00984C7E">
        <w:rPr>
          <w:rFonts w:ascii="Times New Roman" w:hAnsi="Times New Roman" w:cs="Times New Roman"/>
          <w:sz w:val="24"/>
          <w:szCs w:val="24"/>
        </w:rPr>
        <w:t>Durkhiem</w:t>
      </w:r>
      <w:proofErr w:type="spellEnd"/>
      <w:r w:rsidR="00984C7E">
        <w:rPr>
          <w:rFonts w:ascii="Times New Roman" w:hAnsi="Times New Roman" w:cs="Times New Roman"/>
          <w:sz w:val="24"/>
          <w:szCs w:val="24"/>
        </w:rPr>
        <w:t xml:space="preserve"> initially studied Philosophy at the Ecole </w:t>
      </w:r>
      <w:proofErr w:type="spellStart"/>
      <w:r w:rsidR="00984C7E">
        <w:rPr>
          <w:rFonts w:ascii="Times New Roman" w:hAnsi="Times New Roman" w:cs="Times New Roman"/>
          <w:sz w:val="24"/>
          <w:szCs w:val="24"/>
        </w:rPr>
        <w:t>Normale</w:t>
      </w:r>
      <w:proofErr w:type="spellEnd"/>
      <w:r w:rsidR="00984C7E">
        <w:rPr>
          <w:rFonts w:ascii="Times New Roman" w:hAnsi="Times New Roman" w:cs="Times New Roman"/>
          <w:sz w:val="24"/>
          <w:szCs w:val="24"/>
        </w:rPr>
        <w:t xml:space="preserve"> </w:t>
      </w:r>
      <w:proofErr w:type="spellStart"/>
      <w:r w:rsidR="00984C7E">
        <w:rPr>
          <w:rFonts w:ascii="Times New Roman" w:hAnsi="Times New Roman" w:cs="Times New Roman"/>
          <w:sz w:val="24"/>
          <w:szCs w:val="24"/>
        </w:rPr>
        <w:t>Superieure</w:t>
      </w:r>
      <w:proofErr w:type="spellEnd"/>
      <w:r w:rsidR="00984C7E">
        <w:rPr>
          <w:rFonts w:ascii="Times New Roman" w:hAnsi="Times New Roman" w:cs="Times New Roman"/>
          <w:sz w:val="24"/>
          <w:szCs w:val="24"/>
        </w:rPr>
        <w:t xml:space="preserve"> in Paris but became interested in Sociology. He would later hold the first chair of Sociology in France at the University of Paris</w:t>
      </w:r>
      <w:r w:rsidR="00C9470D">
        <w:rPr>
          <w:rFonts w:ascii="Times New Roman" w:hAnsi="Times New Roman" w:cs="Times New Roman"/>
          <w:sz w:val="24"/>
          <w:szCs w:val="24"/>
        </w:rPr>
        <w:t>.</w:t>
      </w:r>
      <w:r w:rsidR="00051D6A">
        <w:rPr>
          <w:rStyle w:val="FootnoteReference"/>
          <w:rFonts w:ascii="Times New Roman" w:hAnsi="Times New Roman" w:cs="Times New Roman"/>
          <w:sz w:val="24"/>
          <w:szCs w:val="24"/>
        </w:rPr>
        <w:footnoteReference w:id="8"/>
      </w:r>
      <w:r w:rsidR="00984C7E">
        <w:rPr>
          <w:rFonts w:ascii="Times New Roman" w:hAnsi="Times New Roman" w:cs="Times New Roman"/>
          <w:sz w:val="24"/>
          <w:szCs w:val="24"/>
        </w:rPr>
        <w:t xml:space="preserve"> </w:t>
      </w:r>
      <w:r>
        <w:rPr>
          <w:rFonts w:ascii="Times New Roman" w:hAnsi="Times New Roman" w:cs="Times New Roman"/>
          <w:sz w:val="24"/>
          <w:szCs w:val="24"/>
        </w:rPr>
        <w:t>H</w:t>
      </w:r>
      <w:r w:rsidR="00984C7E">
        <w:rPr>
          <w:rFonts w:ascii="Times New Roman" w:hAnsi="Times New Roman" w:cs="Times New Roman"/>
          <w:sz w:val="24"/>
          <w:szCs w:val="24"/>
        </w:rPr>
        <w:t>is</w:t>
      </w:r>
      <w:r>
        <w:rPr>
          <w:rFonts w:ascii="Times New Roman" w:hAnsi="Times New Roman" w:cs="Times New Roman"/>
          <w:sz w:val="24"/>
          <w:szCs w:val="24"/>
        </w:rPr>
        <w:t xml:space="preserve"> major works include </w:t>
      </w:r>
      <w:r>
        <w:rPr>
          <w:rFonts w:ascii="Times New Roman" w:hAnsi="Times New Roman" w:cs="Times New Roman"/>
          <w:i/>
          <w:iCs/>
          <w:sz w:val="24"/>
          <w:szCs w:val="24"/>
        </w:rPr>
        <w:t>The Division of Labor in Society</w:t>
      </w:r>
      <w:r w:rsidR="00067237">
        <w:rPr>
          <w:rFonts w:ascii="Times New Roman" w:hAnsi="Times New Roman" w:cs="Times New Roman"/>
          <w:i/>
          <w:iCs/>
          <w:sz w:val="24"/>
          <w:szCs w:val="24"/>
        </w:rPr>
        <w:t xml:space="preserve"> </w:t>
      </w:r>
      <w:r w:rsidR="00067237">
        <w:rPr>
          <w:rFonts w:ascii="Times New Roman" w:hAnsi="Times New Roman" w:cs="Times New Roman"/>
          <w:sz w:val="24"/>
          <w:szCs w:val="24"/>
        </w:rPr>
        <w:t>(1893)</w:t>
      </w:r>
      <w:r>
        <w:rPr>
          <w:rFonts w:ascii="Times New Roman" w:hAnsi="Times New Roman" w:cs="Times New Roman"/>
          <w:i/>
          <w:iCs/>
          <w:sz w:val="24"/>
          <w:szCs w:val="24"/>
        </w:rPr>
        <w:t>, Suicide</w:t>
      </w:r>
      <w:r w:rsidR="00067237">
        <w:rPr>
          <w:rFonts w:ascii="Times New Roman" w:hAnsi="Times New Roman" w:cs="Times New Roman"/>
          <w:i/>
          <w:iCs/>
          <w:sz w:val="24"/>
          <w:szCs w:val="24"/>
        </w:rPr>
        <w:t xml:space="preserve"> </w:t>
      </w:r>
      <w:r w:rsidR="00067237">
        <w:rPr>
          <w:rFonts w:ascii="Times New Roman" w:hAnsi="Times New Roman" w:cs="Times New Roman"/>
          <w:sz w:val="24"/>
          <w:szCs w:val="24"/>
        </w:rPr>
        <w:t>(1897)</w:t>
      </w:r>
      <w:r>
        <w:rPr>
          <w:rFonts w:ascii="Times New Roman" w:hAnsi="Times New Roman" w:cs="Times New Roman"/>
          <w:i/>
          <w:iCs/>
          <w:sz w:val="24"/>
          <w:szCs w:val="24"/>
        </w:rPr>
        <w:t xml:space="preserve"> </w:t>
      </w:r>
      <w:r>
        <w:rPr>
          <w:rFonts w:ascii="Times New Roman" w:hAnsi="Times New Roman" w:cs="Times New Roman"/>
          <w:sz w:val="24"/>
          <w:szCs w:val="24"/>
        </w:rPr>
        <w:t xml:space="preserve">and </w:t>
      </w:r>
      <w:r>
        <w:rPr>
          <w:rFonts w:ascii="Times New Roman" w:hAnsi="Times New Roman" w:cs="Times New Roman"/>
          <w:i/>
          <w:iCs/>
          <w:sz w:val="24"/>
          <w:szCs w:val="24"/>
        </w:rPr>
        <w:t>The Elementary forms of Religious Life</w:t>
      </w:r>
      <w:r w:rsidR="0076018F">
        <w:rPr>
          <w:rFonts w:ascii="Times New Roman" w:hAnsi="Times New Roman" w:cs="Times New Roman"/>
          <w:i/>
          <w:iCs/>
          <w:sz w:val="24"/>
          <w:szCs w:val="24"/>
        </w:rPr>
        <w:t xml:space="preserve"> </w:t>
      </w:r>
      <w:r w:rsidR="0076018F">
        <w:rPr>
          <w:rFonts w:ascii="Times New Roman" w:hAnsi="Times New Roman" w:cs="Times New Roman"/>
          <w:sz w:val="24"/>
          <w:szCs w:val="24"/>
        </w:rPr>
        <w:t>(1912)</w:t>
      </w:r>
      <w:r>
        <w:rPr>
          <w:rFonts w:ascii="Times New Roman" w:hAnsi="Times New Roman" w:cs="Times New Roman"/>
          <w:sz w:val="24"/>
          <w:szCs w:val="24"/>
        </w:rPr>
        <w:t xml:space="preserve">. </w:t>
      </w:r>
      <w:r w:rsidR="00984C7E">
        <w:rPr>
          <w:rFonts w:ascii="Times New Roman" w:hAnsi="Times New Roman" w:cs="Times New Roman"/>
          <w:sz w:val="24"/>
          <w:szCs w:val="24"/>
        </w:rPr>
        <w:t>One of the major aims of his works was to construct the science of society</w:t>
      </w:r>
      <w:r w:rsidR="00AA0605">
        <w:rPr>
          <w:rStyle w:val="FootnoteReference"/>
          <w:rFonts w:ascii="Times New Roman" w:hAnsi="Times New Roman" w:cs="Times New Roman"/>
          <w:sz w:val="24"/>
          <w:szCs w:val="24"/>
        </w:rPr>
        <w:footnoteReference w:id="9"/>
      </w:r>
      <w:r w:rsidR="00984C7E">
        <w:rPr>
          <w:rFonts w:ascii="Times New Roman" w:hAnsi="Times New Roman" w:cs="Times New Roman"/>
          <w:sz w:val="24"/>
          <w:szCs w:val="24"/>
        </w:rPr>
        <w:t xml:space="preserve"> and in his book </w:t>
      </w:r>
      <w:r w:rsidR="00984C7E">
        <w:rPr>
          <w:rFonts w:ascii="Times New Roman" w:hAnsi="Times New Roman" w:cs="Times New Roman"/>
          <w:i/>
          <w:iCs/>
          <w:sz w:val="24"/>
          <w:szCs w:val="24"/>
        </w:rPr>
        <w:t>The Elementary forms of Religious Life</w:t>
      </w:r>
      <w:r w:rsidR="00AA7F52">
        <w:rPr>
          <w:rFonts w:ascii="Times New Roman" w:hAnsi="Times New Roman" w:cs="Times New Roman"/>
          <w:i/>
          <w:iCs/>
          <w:sz w:val="24"/>
          <w:szCs w:val="24"/>
        </w:rPr>
        <w:t xml:space="preserve"> </w:t>
      </w:r>
      <w:r w:rsidR="00AA7F52">
        <w:rPr>
          <w:rFonts w:ascii="Times New Roman" w:hAnsi="Times New Roman" w:cs="Times New Roman"/>
          <w:sz w:val="24"/>
          <w:szCs w:val="24"/>
        </w:rPr>
        <w:t>(1912)</w:t>
      </w:r>
      <w:r w:rsidR="00984C7E">
        <w:rPr>
          <w:rFonts w:ascii="Times New Roman" w:hAnsi="Times New Roman" w:cs="Times New Roman"/>
          <w:i/>
          <w:iCs/>
          <w:sz w:val="24"/>
          <w:szCs w:val="24"/>
        </w:rPr>
        <w:t xml:space="preserve">, </w:t>
      </w:r>
      <w:r w:rsidR="00984C7E">
        <w:rPr>
          <w:rFonts w:ascii="Times New Roman" w:hAnsi="Times New Roman" w:cs="Times New Roman"/>
          <w:sz w:val="24"/>
          <w:szCs w:val="24"/>
        </w:rPr>
        <w:t xml:space="preserve">is where he is concerned about religion and sacred space. </w:t>
      </w:r>
    </w:p>
    <w:p w14:paraId="6FF6420B" w14:textId="707136D1" w:rsidR="00F364AD" w:rsidRPr="00407F5E" w:rsidRDefault="00F364AD" w:rsidP="004113F1">
      <w:pPr>
        <w:spacing w:line="360" w:lineRule="auto"/>
        <w:jc w:val="both"/>
        <w:rPr>
          <w:rFonts w:ascii="Times New Roman" w:hAnsi="Times New Roman" w:cs="Times New Roman"/>
          <w:sz w:val="24"/>
          <w:szCs w:val="24"/>
        </w:rPr>
      </w:pPr>
      <w:r>
        <w:rPr>
          <w:rFonts w:ascii="Times New Roman" w:hAnsi="Times New Roman" w:cs="Times New Roman"/>
          <w:sz w:val="24"/>
          <w:szCs w:val="24"/>
        </w:rPr>
        <w:t>For Durkh</w:t>
      </w:r>
      <w:r w:rsidR="00D759EE">
        <w:rPr>
          <w:rFonts w:ascii="Times New Roman" w:hAnsi="Times New Roman" w:cs="Times New Roman"/>
          <w:sz w:val="24"/>
          <w:szCs w:val="24"/>
        </w:rPr>
        <w:t>ei</w:t>
      </w:r>
      <w:r>
        <w:rPr>
          <w:rFonts w:ascii="Times New Roman" w:hAnsi="Times New Roman" w:cs="Times New Roman"/>
          <w:sz w:val="24"/>
          <w:szCs w:val="24"/>
        </w:rPr>
        <w:t xml:space="preserve">m, </w:t>
      </w:r>
      <w:r w:rsidR="00D759EE">
        <w:rPr>
          <w:rFonts w:ascii="Times New Roman" w:hAnsi="Times New Roman" w:cs="Times New Roman"/>
          <w:sz w:val="24"/>
          <w:szCs w:val="24"/>
        </w:rPr>
        <w:t xml:space="preserve">the creation of a </w:t>
      </w:r>
      <w:r>
        <w:rPr>
          <w:rFonts w:ascii="Times New Roman" w:hAnsi="Times New Roman" w:cs="Times New Roman"/>
          <w:sz w:val="24"/>
          <w:szCs w:val="24"/>
        </w:rPr>
        <w:t>sacred space</w:t>
      </w:r>
      <w:r w:rsidR="00D759EE">
        <w:rPr>
          <w:rFonts w:ascii="Times New Roman" w:hAnsi="Times New Roman" w:cs="Times New Roman"/>
          <w:sz w:val="24"/>
          <w:szCs w:val="24"/>
        </w:rPr>
        <w:t xml:space="preserve"> </w:t>
      </w:r>
      <w:r w:rsidR="00141948">
        <w:rPr>
          <w:rFonts w:ascii="Times New Roman" w:hAnsi="Times New Roman" w:cs="Times New Roman"/>
          <w:sz w:val="24"/>
          <w:szCs w:val="24"/>
        </w:rPr>
        <w:t xml:space="preserve">was </w:t>
      </w:r>
      <w:r w:rsidR="00D759EE">
        <w:rPr>
          <w:rFonts w:ascii="Times New Roman" w:hAnsi="Times New Roman" w:cs="Times New Roman"/>
          <w:sz w:val="24"/>
          <w:szCs w:val="24"/>
        </w:rPr>
        <w:t xml:space="preserve">entirely </w:t>
      </w:r>
      <w:r w:rsidR="00141948">
        <w:rPr>
          <w:rFonts w:ascii="Times New Roman" w:hAnsi="Times New Roman" w:cs="Times New Roman"/>
          <w:sz w:val="24"/>
          <w:szCs w:val="24"/>
        </w:rPr>
        <w:t>a human construct</w:t>
      </w:r>
      <w:r w:rsidR="00B21659">
        <w:rPr>
          <w:rFonts w:ascii="Times New Roman" w:hAnsi="Times New Roman" w:cs="Times New Roman"/>
          <w:sz w:val="24"/>
          <w:szCs w:val="24"/>
        </w:rPr>
        <w:t xml:space="preserve"> and that there is nothing that is inherently sacred</w:t>
      </w:r>
      <w:r w:rsidR="00D759EE">
        <w:rPr>
          <w:rFonts w:ascii="Times New Roman" w:hAnsi="Times New Roman" w:cs="Times New Roman"/>
          <w:sz w:val="24"/>
          <w:szCs w:val="24"/>
        </w:rPr>
        <w:t>.</w:t>
      </w:r>
      <w:r w:rsidR="00B21659">
        <w:rPr>
          <w:rStyle w:val="FootnoteReference"/>
          <w:rFonts w:ascii="Times New Roman" w:hAnsi="Times New Roman" w:cs="Times New Roman"/>
          <w:sz w:val="24"/>
          <w:szCs w:val="24"/>
        </w:rPr>
        <w:footnoteReference w:id="10"/>
      </w:r>
      <w:r w:rsidR="00D759EE">
        <w:rPr>
          <w:rFonts w:ascii="Times New Roman" w:hAnsi="Times New Roman" w:cs="Times New Roman"/>
          <w:sz w:val="24"/>
          <w:szCs w:val="24"/>
        </w:rPr>
        <w:t xml:space="preserve"> He believed</w:t>
      </w:r>
      <w:r w:rsidR="00141948">
        <w:rPr>
          <w:rFonts w:ascii="Times New Roman" w:hAnsi="Times New Roman" w:cs="Times New Roman"/>
          <w:sz w:val="24"/>
          <w:szCs w:val="24"/>
        </w:rPr>
        <w:t xml:space="preserve"> that </w:t>
      </w:r>
      <w:r w:rsidR="00475670">
        <w:rPr>
          <w:rFonts w:ascii="Times New Roman" w:hAnsi="Times New Roman" w:cs="Times New Roman"/>
          <w:sz w:val="24"/>
          <w:szCs w:val="24"/>
        </w:rPr>
        <w:t xml:space="preserve">social customs </w:t>
      </w:r>
      <w:r w:rsidR="00CF02C9">
        <w:rPr>
          <w:rFonts w:ascii="Times New Roman" w:hAnsi="Times New Roman" w:cs="Times New Roman"/>
          <w:sz w:val="24"/>
          <w:szCs w:val="24"/>
        </w:rPr>
        <w:t xml:space="preserve">accounted for experiences of sacredness that are often described by people who attend certain places or sites. Durkheim wrote </w:t>
      </w:r>
      <w:r w:rsidR="007A7E7F">
        <w:rPr>
          <w:rFonts w:ascii="Times New Roman" w:hAnsi="Times New Roman" w:cs="Times New Roman"/>
          <w:sz w:val="24"/>
          <w:szCs w:val="24"/>
        </w:rPr>
        <w:t>“Society is the soul of religion”</w:t>
      </w:r>
      <w:r w:rsidR="007A7E7F">
        <w:rPr>
          <w:rStyle w:val="FootnoteReference"/>
          <w:rFonts w:ascii="Times New Roman" w:hAnsi="Times New Roman" w:cs="Times New Roman"/>
          <w:sz w:val="24"/>
          <w:szCs w:val="24"/>
        </w:rPr>
        <w:footnoteReference w:id="11"/>
      </w:r>
      <w:r w:rsidR="007A7E7F">
        <w:rPr>
          <w:rFonts w:ascii="Times New Roman" w:hAnsi="Times New Roman" w:cs="Times New Roman"/>
          <w:sz w:val="24"/>
          <w:szCs w:val="24"/>
        </w:rPr>
        <w:t xml:space="preserve"> and </w:t>
      </w:r>
      <w:r w:rsidR="00CF02C9">
        <w:rPr>
          <w:rFonts w:ascii="Times New Roman" w:hAnsi="Times New Roman" w:cs="Times New Roman"/>
          <w:sz w:val="24"/>
          <w:szCs w:val="24"/>
        </w:rPr>
        <w:t>“society in general…undoubtedly has all that is required to arouse the sensation of the divine”.</w:t>
      </w:r>
      <w:r w:rsidR="00CF02C9">
        <w:rPr>
          <w:rStyle w:val="FootnoteReference"/>
          <w:rFonts w:ascii="Times New Roman" w:hAnsi="Times New Roman" w:cs="Times New Roman"/>
          <w:sz w:val="24"/>
          <w:szCs w:val="24"/>
        </w:rPr>
        <w:footnoteReference w:id="12"/>
      </w:r>
      <w:r w:rsidR="00CF02C9">
        <w:rPr>
          <w:rFonts w:ascii="Times New Roman" w:hAnsi="Times New Roman" w:cs="Times New Roman"/>
          <w:sz w:val="24"/>
          <w:szCs w:val="24"/>
        </w:rPr>
        <w:t xml:space="preserve"> This suggests that </w:t>
      </w:r>
      <w:r w:rsidR="00141948">
        <w:rPr>
          <w:rFonts w:ascii="Times New Roman" w:hAnsi="Times New Roman" w:cs="Times New Roman"/>
          <w:sz w:val="24"/>
          <w:szCs w:val="24"/>
        </w:rPr>
        <w:t>sacredness c</w:t>
      </w:r>
      <w:r w:rsidR="0012061A">
        <w:rPr>
          <w:rFonts w:ascii="Times New Roman" w:hAnsi="Times New Roman" w:cs="Times New Roman"/>
          <w:sz w:val="24"/>
          <w:szCs w:val="24"/>
        </w:rPr>
        <w:t>a</w:t>
      </w:r>
      <w:r w:rsidR="00141948">
        <w:rPr>
          <w:rFonts w:ascii="Times New Roman" w:hAnsi="Times New Roman" w:cs="Times New Roman"/>
          <w:sz w:val="24"/>
          <w:szCs w:val="24"/>
        </w:rPr>
        <w:t>me from the mind</w:t>
      </w:r>
      <w:r w:rsidR="00AB4A20">
        <w:rPr>
          <w:rFonts w:ascii="Times New Roman" w:hAnsi="Times New Roman" w:cs="Times New Roman"/>
          <w:sz w:val="24"/>
          <w:szCs w:val="24"/>
        </w:rPr>
        <w:t xml:space="preserve"> when a society sets apart certain spaces or objects from the ordinary</w:t>
      </w:r>
      <w:r w:rsidR="00AC773B">
        <w:rPr>
          <w:rStyle w:val="FootnoteReference"/>
          <w:rFonts w:ascii="Times New Roman" w:hAnsi="Times New Roman" w:cs="Times New Roman"/>
          <w:sz w:val="24"/>
          <w:szCs w:val="24"/>
        </w:rPr>
        <w:footnoteReference w:id="13"/>
      </w:r>
      <w:r w:rsidR="00AB4A20">
        <w:rPr>
          <w:rFonts w:ascii="Times New Roman" w:hAnsi="Times New Roman" w:cs="Times New Roman"/>
          <w:sz w:val="24"/>
          <w:szCs w:val="24"/>
        </w:rPr>
        <w:t>. Durkheim hypothesized that religion contained this dichotomy. What is often known as the ordinary, Durkheim coined this the ‘profane’</w:t>
      </w:r>
      <w:r w:rsidR="00B75C1D">
        <w:rPr>
          <w:rStyle w:val="FootnoteReference"/>
          <w:rFonts w:ascii="Times New Roman" w:hAnsi="Times New Roman" w:cs="Times New Roman"/>
          <w:sz w:val="24"/>
          <w:szCs w:val="24"/>
        </w:rPr>
        <w:footnoteReference w:id="14"/>
      </w:r>
      <w:r w:rsidR="00B75C1D">
        <w:rPr>
          <w:rFonts w:ascii="Times New Roman" w:hAnsi="Times New Roman" w:cs="Times New Roman"/>
          <w:sz w:val="24"/>
          <w:szCs w:val="24"/>
        </w:rPr>
        <w:t>.</w:t>
      </w:r>
      <w:r w:rsidR="00AB4A20">
        <w:rPr>
          <w:rFonts w:ascii="Times New Roman" w:hAnsi="Times New Roman" w:cs="Times New Roman"/>
          <w:sz w:val="24"/>
          <w:szCs w:val="24"/>
        </w:rPr>
        <w:t xml:space="preserve"> He believed that through acts like ritual, that sacredness can be maintained.</w:t>
      </w:r>
      <w:r w:rsidR="00C9470D">
        <w:rPr>
          <w:rStyle w:val="FootnoteReference"/>
          <w:rFonts w:ascii="Times New Roman" w:hAnsi="Times New Roman" w:cs="Times New Roman"/>
          <w:sz w:val="24"/>
          <w:szCs w:val="24"/>
        </w:rPr>
        <w:footnoteReference w:id="15"/>
      </w:r>
    </w:p>
    <w:p w14:paraId="172F137D" w14:textId="77777777" w:rsidR="00761181" w:rsidRDefault="00761181" w:rsidP="00803AF1">
      <w:pPr>
        <w:rPr>
          <w:rFonts w:ascii="Times New Roman" w:hAnsi="Times New Roman" w:cs="Times New Roman"/>
          <w:sz w:val="24"/>
          <w:szCs w:val="24"/>
        </w:rPr>
      </w:pPr>
    </w:p>
    <w:p w14:paraId="61DB2C01" w14:textId="77777777" w:rsidR="0039239E" w:rsidRDefault="0039239E" w:rsidP="00803AF1"/>
    <w:p w14:paraId="36A4D1CB" w14:textId="77777777" w:rsidR="0045367D" w:rsidRDefault="0045367D" w:rsidP="00803AF1"/>
    <w:p w14:paraId="54FF0BBD" w14:textId="77777777" w:rsidR="0045367D" w:rsidRDefault="0045367D" w:rsidP="00803AF1">
      <w:pPr>
        <w:rPr>
          <w:rFonts w:ascii="Times New Roman" w:hAnsi="Times New Roman" w:cs="Times New Roman"/>
          <w:sz w:val="24"/>
          <w:szCs w:val="24"/>
        </w:rPr>
      </w:pPr>
    </w:p>
    <w:p w14:paraId="67484E8F" w14:textId="2DA8B8AB" w:rsidR="004E7DCA" w:rsidRDefault="004E7DCA" w:rsidP="00803AF1">
      <w:pPr>
        <w:rPr>
          <w:rFonts w:ascii="Times New Roman" w:hAnsi="Times New Roman" w:cs="Times New Roman"/>
          <w:sz w:val="24"/>
          <w:szCs w:val="24"/>
          <w:u w:val="single"/>
        </w:rPr>
      </w:pPr>
      <w:r>
        <w:rPr>
          <w:rFonts w:ascii="Times New Roman" w:hAnsi="Times New Roman" w:cs="Times New Roman"/>
          <w:sz w:val="24"/>
          <w:szCs w:val="24"/>
          <w:u w:val="single"/>
        </w:rPr>
        <w:lastRenderedPageBreak/>
        <w:t>Mircea Eliade</w:t>
      </w:r>
    </w:p>
    <w:p w14:paraId="72AD9774" w14:textId="77777777" w:rsidR="004E7DCA" w:rsidRDefault="004E7DCA" w:rsidP="0039239E">
      <w:pPr>
        <w:jc w:val="both"/>
        <w:rPr>
          <w:rFonts w:ascii="Times New Roman" w:hAnsi="Times New Roman" w:cs="Times New Roman"/>
          <w:sz w:val="24"/>
          <w:szCs w:val="24"/>
          <w:u w:val="single"/>
        </w:rPr>
      </w:pPr>
    </w:p>
    <w:p w14:paraId="503518D6" w14:textId="1F2341C3" w:rsidR="007B4B78" w:rsidRDefault="000E704F" w:rsidP="0039239E">
      <w:pPr>
        <w:spacing w:line="360" w:lineRule="auto"/>
        <w:jc w:val="both"/>
        <w:rPr>
          <w:rFonts w:ascii="Times New Roman" w:hAnsi="Times New Roman" w:cs="Times New Roman"/>
          <w:sz w:val="24"/>
          <w:szCs w:val="24"/>
        </w:rPr>
      </w:pPr>
      <w:r>
        <w:rPr>
          <w:rFonts w:ascii="Times New Roman" w:hAnsi="Times New Roman" w:cs="Times New Roman"/>
          <w:sz w:val="24"/>
          <w:szCs w:val="24"/>
        </w:rPr>
        <w:t>Mircea Eliade (1907-</w:t>
      </w:r>
      <w:r w:rsidR="007A6F5C">
        <w:rPr>
          <w:rFonts w:ascii="Times New Roman" w:hAnsi="Times New Roman" w:cs="Times New Roman"/>
          <w:sz w:val="24"/>
          <w:szCs w:val="24"/>
        </w:rPr>
        <w:t>1986</w:t>
      </w:r>
      <w:r>
        <w:rPr>
          <w:rFonts w:ascii="Times New Roman" w:hAnsi="Times New Roman" w:cs="Times New Roman"/>
          <w:sz w:val="24"/>
          <w:szCs w:val="24"/>
        </w:rPr>
        <w:t>) was a Romanian professor of religious studies</w:t>
      </w:r>
      <w:r w:rsidR="00694D26">
        <w:rPr>
          <w:rFonts w:ascii="Times New Roman" w:hAnsi="Times New Roman" w:cs="Times New Roman"/>
          <w:sz w:val="24"/>
          <w:szCs w:val="24"/>
        </w:rPr>
        <w:t xml:space="preserve">. After graduating the University of Bucharest, he travelled to India to attend the University of Calcutta to study </w:t>
      </w:r>
      <w:r w:rsidR="00FF28AC">
        <w:rPr>
          <w:rFonts w:ascii="Times New Roman" w:hAnsi="Times New Roman" w:cs="Times New Roman"/>
          <w:sz w:val="24"/>
          <w:szCs w:val="24"/>
        </w:rPr>
        <w:t xml:space="preserve">Sanskrit </w:t>
      </w:r>
      <w:r w:rsidR="00694D26">
        <w:rPr>
          <w:rFonts w:ascii="Times New Roman" w:hAnsi="Times New Roman" w:cs="Times New Roman"/>
          <w:sz w:val="24"/>
          <w:szCs w:val="24"/>
        </w:rPr>
        <w:t>between the years of 1928 to1932</w:t>
      </w:r>
      <w:r w:rsidR="00FF28AC">
        <w:rPr>
          <w:rFonts w:ascii="Times New Roman" w:hAnsi="Times New Roman" w:cs="Times New Roman"/>
          <w:sz w:val="24"/>
          <w:szCs w:val="24"/>
        </w:rPr>
        <w:t>.</w:t>
      </w:r>
      <w:r w:rsidR="001D7B9D">
        <w:rPr>
          <w:rStyle w:val="FootnoteReference"/>
          <w:rFonts w:ascii="Times New Roman" w:hAnsi="Times New Roman" w:cs="Times New Roman"/>
          <w:sz w:val="24"/>
          <w:szCs w:val="24"/>
        </w:rPr>
        <w:footnoteReference w:id="16"/>
      </w:r>
      <w:r w:rsidR="00694D26">
        <w:rPr>
          <w:rFonts w:ascii="Times New Roman" w:hAnsi="Times New Roman" w:cs="Times New Roman"/>
          <w:sz w:val="24"/>
          <w:szCs w:val="24"/>
        </w:rPr>
        <w:t xml:space="preserve"> Eliade was a well-travelled individual whom at the end of his life, was the Sewell L. Avery Distinguished Service Professor Emeritus at the University of Chicago</w:t>
      </w:r>
      <w:r w:rsidR="0039239E">
        <w:rPr>
          <w:rFonts w:ascii="Times New Roman" w:hAnsi="Times New Roman" w:cs="Times New Roman"/>
          <w:sz w:val="24"/>
          <w:szCs w:val="24"/>
        </w:rPr>
        <w:t>.</w:t>
      </w:r>
      <w:r w:rsidR="0039239E">
        <w:rPr>
          <w:rStyle w:val="FootnoteReference"/>
          <w:rFonts w:ascii="Times New Roman" w:hAnsi="Times New Roman" w:cs="Times New Roman"/>
          <w:sz w:val="24"/>
          <w:szCs w:val="24"/>
        </w:rPr>
        <w:footnoteReference w:id="17"/>
      </w:r>
      <w:r w:rsidR="00694D26">
        <w:rPr>
          <w:rFonts w:ascii="Times New Roman" w:hAnsi="Times New Roman" w:cs="Times New Roman"/>
          <w:sz w:val="24"/>
          <w:szCs w:val="24"/>
        </w:rPr>
        <w:t xml:space="preserve"> Eliade </w:t>
      </w:r>
      <w:r w:rsidR="0039239E">
        <w:rPr>
          <w:rFonts w:ascii="Times New Roman" w:hAnsi="Times New Roman" w:cs="Times New Roman"/>
          <w:sz w:val="24"/>
          <w:szCs w:val="24"/>
        </w:rPr>
        <w:t>wrote many books and articles including</w:t>
      </w:r>
      <w:r w:rsidR="004B4CC9">
        <w:rPr>
          <w:rFonts w:ascii="Times New Roman" w:hAnsi="Times New Roman" w:cs="Times New Roman"/>
          <w:sz w:val="24"/>
          <w:szCs w:val="24"/>
        </w:rPr>
        <w:t xml:space="preserve"> </w:t>
      </w:r>
      <w:r w:rsidR="004B4CC9">
        <w:rPr>
          <w:rFonts w:ascii="Times New Roman" w:hAnsi="Times New Roman" w:cs="Times New Roman"/>
          <w:i/>
          <w:iCs/>
          <w:sz w:val="24"/>
          <w:szCs w:val="24"/>
        </w:rPr>
        <w:t xml:space="preserve">The Sacred and the Profane </w:t>
      </w:r>
      <w:r w:rsidR="004B4CC9">
        <w:rPr>
          <w:rFonts w:ascii="Times New Roman" w:hAnsi="Times New Roman" w:cs="Times New Roman"/>
          <w:sz w:val="24"/>
          <w:szCs w:val="24"/>
        </w:rPr>
        <w:t xml:space="preserve">(1957), </w:t>
      </w:r>
      <w:r w:rsidR="001D7B9D">
        <w:rPr>
          <w:rFonts w:ascii="Times New Roman" w:hAnsi="Times New Roman" w:cs="Times New Roman"/>
          <w:i/>
          <w:iCs/>
          <w:sz w:val="24"/>
          <w:szCs w:val="24"/>
        </w:rPr>
        <w:t xml:space="preserve">The Myth of the Eternal Return </w:t>
      </w:r>
      <w:r w:rsidR="001D7B9D">
        <w:rPr>
          <w:rFonts w:ascii="Times New Roman" w:hAnsi="Times New Roman" w:cs="Times New Roman"/>
          <w:sz w:val="24"/>
          <w:szCs w:val="24"/>
        </w:rPr>
        <w:t xml:space="preserve">(1958) and </w:t>
      </w:r>
      <w:r w:rsidR="00935407">
        <w:rPr>
          <w:rFonts w:ascii="Times New Roman" w:hAnsi="Times New Roman" w:cs="Times New Roman"/>
          <w:i/>
          <w:iCs/>
          <w:sz w:val="24"/>
          <w:szCs w:val="24"/>
        </w:rPr>
        <w:t xml:space="preserve">Yoga: Immortality and Freedom </w:t>
      </w:r>
      <w:r w:rsidR="00935407">
        <w:rPr>
          <w:rFonts w:ascii="Times New Roman" w:hAnsi="Times New Roman" w:cs="Times New Roman"/>
          <w:sz w:val="24"/>
          <w:szCs w:val="24"/>
        </w:rPr>
        <w:t>(1958).</w:t>
      </w:r>
      <w:r w:rsidR="0039239E">
        <w:rPr>
          <w:rFonts w:ascii="Times New Roman" w:hAnsi="Times New Roman" w:cs="Times New Roman"/>
          <w:sz w:val="24"/>
          <w:szCs w:val="24"/>
        </w:rPr>
        <w:t xml:space="preserve"> He also established the </w:t>
      </w:r>
      <w:r w:rsidR="0039239E">
        <w:rPr>
          <w:rFonts w:ascii="Times New Roman" w:hAnsi="Times New Roman" w:cs="Times New Roman"/>
          <w:i/>
          <w:iCs/>
          <w:sz w:val="24"/>
          <w:szCs w:val="24"/>
        </w:rPr>
        <w:t xml:space="preserve">History of Religions </w:t>
      </w:r>
      <w:r w:rsidR="0039239E">
        <w:rPr>
          <w:rFonts w:ascii="Times New Roman" w:hAnsi="Times New Roman" w:cs="Times New Roman"/>
          <w:sz w:val="24"/>
          <w:szCs w:val="24"/>
        </w:rPr>
        <w:t>periodicals in 1961.</w:t>
      </w:r>
      <w:r w:rsidR="0039239E">
        <w:rPr>
          <w:rStyle w:val="FootnoteReference"/>
          <w:rFonts w:ascii="Times New Roman" w:hAnsi="Times New Roman" w:cs="Times New Roman"/>
          <w:sz w:val="24"/>
          <w:szCs w:val="24"/>
        </w:rPr>
        <w:footnoteReference w:id="18"/>
      </w:r>
    </w:p>
    <w:p w14:paraId="2966094B" w14:textId="719808EC" w:rsidR="00475670" w:rsidRDefault="00F97DF4" w:rsidP="003923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Eliade, </w:t>
      </w:r>
      <w:r w:rsidR="00DC6066">
        <w:rPr>
          <w:rFonts w:ascii="Times New Roman" w:hAnsi="Times New Roman" w:cs="Times New Roman"/>
          <w:sz w:val="24"/>
          <w:szCs w:val="24"/>
        </w:rPr>
        <w:t xml:space="preserve">a sacred space is established by an irruption of the sacred that results in a </w:t>
      </w:r>
      <w:r w:rsidR="00A33A43">
        <w:rPr>
          <w:rFonts w:ascii="Times New Roman" w:hAnsi="Times New Roman" w:cs="Times New Roman"/>
          <w:sz w:val="24"/>
          <w:szCs w:val="24"/>
        </w:rPr>
        <w:t>location</w:t>
      </w:r>
      <w:r w:rsidR="00DC6066">
        <w:rPr>
          <w:rFonts w:ascii="Times New Roman" w:hAnsi="Times New Roman" w:cs="Times New Roman"/>
          <w:sz w:val="24"/>
          <w:szCs w:val="24"/>
        </w:rPr>
        <w:t xml:space="preserve"> becoming detached from everything else</w:t>
      </w:r>
      <w:r w:rsidR="002635A1">
        <w:rPr>
          <w:rFonts w:ascii="Times New Roman" w:hAnsi="Times New Roman" w:cs="Times New Roman"/>
          <w:sz w:val="24"/>
          <w:szCs w:val="24"/>
        </w:rPr>
        <w:t>.</w:t>
      </w:r>
      <w:r w:rsidR="008A7EE1">
        <w:rPr>
          <w:rStyle w:val="FootnoteReference"/>
          <w:rFonts w:ascii="Times New Roman" w:hAnsi="Times New Roman" w:cs="Times New Roman"/>
          <w:sz w:val="24"/>
          <w:szCs w:val="24"/>
        </w:rPr>
        <w:footnoteReference w:id="19"/>
      </w:r>
      <w:r w:rsidR="00DC6066">
        <w:rPr>
          <w:rFonts w:ascii="Times New Roman" w:hAnsi="Times New Roman" w:cs="Times New Roman"/>
          <w:sz w:val="24"/>
          <w:szCs w:val="24"/>
        </w:rPr>
        <w:t xml:space="preserve"> He called this </w:t>
      </w:r>
      <w:r w:rsidR="008A7EE1">
        <w:rPr>
          <w:rFonts w:ascii="Times New Roman" w:hAnsi="Times New Roman" w:cs="Times New Roman"/>
          <w:sz w:val="24"/>
          <w:szCs w:val="24"/>
        </w:rPr>
        <w:t xml:space="preserve">irruption </w:t>
      </w:r>
      <w:r w:rsidR="00DC6066">
        <w:rPr>
          <w:rFonts w:ascii="Times New Roman" w:hAnsi="Times New Roman" w:cs="Times New Roman"/>
          <w:sz w:val="24"/>
          <w:szCs w:val="24"/>
        </w:rPr>
        <w:t>a ‘</w:t>
      </w:r>
      <w:proofErr w:type="spellStart"/>
      <w:r w:rsidR="00DC6066">
        <w:rPr>
          <w:rFonts w:ascii="Times New Roman" w:hAnsi="Times New Roman" w:cs="Times New Roman"/>
          <w:sz w:val="24"/>
          <w:szCs w:val="24"/>
        </w:rPr>
        <w:t>hierophany</w:t>
      </w:r>
      <w:proofErr w:type="spellEnd"/>
      <w:r w:rsidR="008A7EE1">
        <w:rPr>
          <w:rFonts w:ascii="Times New Roman" w:hAnsi="Times New Roman" w:cs="Times New Roman"/>
          <w:sz w:val="24"/>
          <w:szCs w:val="24"/>
        </w:rPr>
        <w:t>’ which essentially is when the divine reveals itself to an individual or group</w:t>
      </w:r>
      <w:r w:rsidR="0030726B">
        <w:rPr>
          <w:rFonts w:ascii="Times New Roman" w:hAnsi="Times New Roman" w:cs="Times New Roman"/>
          <w:sz w:val="24"/>
          <w:szCs w:val="24"/>
        </w:rPr>
        <w:t>.</w:t>
      </w:r>
      <w:r w:rsidR="0030726B">
        <w:rPr>
          <w:rStyle w:val="FootnoteReference"/>
          <w:rFonts w:ascii="Times New Roman" w:hAnsi="Times New Roman" w:cs="Times New Roman"/>
          <w:sz w:val="24"/>
          <w:szCs w:val="24"/>
        </w:rPr>
        <w:footnoteReference w:id="20"/>
      </w:r>
      <w:r w:rsidR="00B4338F">
        <w:rPr>
          <w:rFonts w:ascii="Times New Roman" w:hAnsi="Times New Roman" w:cs="Times New Roman"/>
          <w:sz w:val="24"/>
          <w:szCs w:val="24"/>
        </w:rPr>
        <w:t xml:space="preserve"> </w:t>
      </w:r>
      <w:r w:rsidR="00B815FB">
        <w:rPr>
          <w:rFonts w:ascii="Times New Roman" w:hAnsi="Times New Roman" w:cs="Times New Roman"/>
          <w:sz w:val="24"/>
          <w:szCs w:val="24"/>
        </w:rPr>
        <w:t xml:space="preserve">He </w:t>
      </w:r>
      <w:r w:rsidR="002E1DB4">
        <w:rPr>
          <w:rFonts w:ascii="Times New Roman" w:hAnsi="Times New Roman" w:cs="Times New Roman"/>
          <w:sz w:val="24"/>
          <w:szCs w:val="24"/>
        </w:rPr>
        <w:t>was of the opinion that</w:t>
      </w:r>
      <w:r w:rsidR="00B815FB">
        <w:rPr>
          <w:rFonts w:ascii="Times New Roman" w:hAnsi="Times New Roman" w:cs="Times New Roman"/>
          <w:sz w:val="24"/>
          <w:szCs w:val="24"/>
        </w:rPr>
        <w:t xml:space="preserve"> such </w:t>
      </w:r>
      <w:proofErr w:type="spellStart"/>
      <w:r w:rsidR="00B815FB">
        <w:rPr>
          <w:rFonts w:ascii="Times New Roman" w:hAnsi="Times New Roman" w:cs="Times New Roman"/>
          <w:sz w:val="24"/>
          <w:szCs w:val="24"/>
        </w:rPr>
        <w:t>h</w:t>
      </w:r>
      <w:r w:rsidR="004A5BD4">
        <w:rPr>
          <w:rFonts w:ascii="Times New Roman" w:hAnsi="Times New Roman" w:cs="Times New Roman"/>
          <w:sz w:val="24"/>
          <w:szCs w:val="24"/>
        </w:rPr>
        <w:t>ie</w:t>
      </w:r>
      <w:r w:rsidR="00B815FB">
        <w:rPr>
          <w:rFonts w:ascii="Times New Roman" w:hAnsi="Times New Roman" w:cs="Times New Roman"/>
          <w:sz w:val="24"/>
          <w:szCs w:val="24"/>
        </w:rPr>
        <w:t>rophany</w:t>
      </w:r>
      <w:proofErr w:type="spellEnd"/>
      <w:r w:rsidR="00B815FB">
        <w:rPr>
          <w:rFonts w:ascii="Times New Roman" w:hAnsi="Times New Roman" w:cs="Times New Roman"/>
          <w:sz w:val="24"/>
          <w:szCs w:val="24"/>
        </w:rPr>
        <w:t xml:space="preserve"> occurred when the earth was involved in some form of communication with heaven above</w:t>
      </w:r>
      <w:r w:rsidR="002E1DB4">
        <w:rPr>
          <w:rFonts w:ascii="Times New Roman" w:hAnsi="Times New Roman" w:cs="Times New Roman"/>
          <w:sz w:val="24"/>
          <w:szCs w:val="24"/>
        </w:rPr>
        <w:t>,</w:t>
      </w:r>
      <w:r w:rsidR="00B815FB">
        <w:rPr>
          <w:rFonts w:ascii="Times New Roman" w:hAnsi="Times New Roman" w:cs="Times New Roman"/>
          <w:sz w:val="24"/>
          <w:szCs w:val="24"/>
        </w:rPr>
        <w:t xml:space="preserve"> or the underworld below.</w:t>
      </w:r>
      <w:r w:rsidR="00B815FB">
        <w:rPr>
          <w:rStyle w:val="FootnoteReference"/>
          <w:rFonts w:ascii="Times New Roman" w:hAnsi="Times New Roman" w:cs="Times New Roman"/>
          <w:sz w:val="24"/>
          <w:szCs w:val="24"/>
        </w:rPr>
        <w:footnoteReference w:id="21"/>
      </w:r>
      <w:r w:rsidR="00B815FB">
        <w:rPr>
          <w:rFonts w:ascii="Times New Roman" w:hAnsi="Times New Roman" w:cs="Times New Roman"/>
          <w:sz w:val="24"/>
          <w:szCs w:val="24"/>
        </w:rPr>
        <w:t xml:space="preserve"> </w:t>
      </w:r>
      <w:r w:rsidR="00B4338F" w:rsidRPr="00B815FB">
        <w:rPr>
          <w:rFonts w:ascii="Times New Roman" w:hAnsi="Times New Roman" w:cs="Times New Roman"/>
          <w:sz w:val="24"/>
          <w:szCs w:val="24"/>
        </w:rPr>
        <w:t>To Eliade</w:t>
      </w:r>
      <w:r w:rsidR="00A33A43" w:rsidRPr="00B815FB">
        <w:rPr>
          <w:rFonts w:ascii="Times New Roman" w:hAnsi="Times New Roman" w:cs="Times New Roman"/>
          <w:sz w:val="24"/>
          <w:szCs w:val="24"/>
        </w:rPr>
        <w:t>,</w:t>
      </w:r>
      <w:r w:rsidR="00B4338F" w:rsidRPr="00B815FB">
        <w:rPr>
          <w:rFonts w:ascii="Times New Roman" w:hAnsi="Times New Roman" w:cs="Times New Roman"/>
          <w:sz w:val="24"/>
          <w:szCs w:val="24"/>
        </w:rPr>
        <w:t xml:space="preserve"> the sacred contains all reality and value, and other things acquire ‘reality’ only to the extent that they participate in the sacred</w:t>
      </w:r>
      <w:r w:rsidR="00B815FB">
        <w:rPr>
          <w:rFonts w:ascii="Times New Roman" w:hAnsi="Times New Roman" w:cs="Times New Roman"/>
          <w:sz w:val="24"/>
          <w:szCs w:val="24"/>
        </w:rPr>
        <w:t>.</w:t>
      </w:r>
      <w:r w:rsidR="00B4338F" w:rsidRPr="00B815FB">
        <w:rPr>
          <w:rStyle w:val="FootnoteReference"/>
          <w:rFonts w:ascii="Times New Roman" w:hAnsi="Times New Roman" w:cs="Times New Roman"/>
          <w:sz w:val="24"/>
          <w:szCs w:val="24"/>
        </w:rPr>
        <w:footnoteReference w:id="22"/>
      </w:r>
      <w:r w:rsidR="00B4338F">
        <w:rPr>
          <w:rFonts w:ascii="Times New Roman" w:hAnsi="Times New Roman" w:cs="Times New Roman"/>
          <w:sz w:val="24"/>
          <w:szCs w:val="24"/>
        </w:rPr>
        <w:t xml:space="preserve"> </w:t>
      </w:r>
      <w:r w:rsidR="00AB0A62">
        <w:rPr>
          <w:rFonts w:ascii="Times New Roman" w:hAnsi="Times New Roman" w:cs="Times New Roman"/>
          <w:sz w:val="24"/>
          <w:szCs w:val="24"/>
        </w:rPr>
        <w:t xml:space="preserve">The </w:t>
      </w:r>
      <w:r w:rsidR="002E1DB4">
        <w:rPr>
          <w:rFonts w:ascii="Times New Roman" w:hAnsi="Times New Roman" w:cs="Times New Roman"/>
          <w:sz w:val="24"/>
          <w:szCs w:val="24"/>
        </w:rPr>
        <w:t>‘</w:t>
      </w:r>
      <w:r w:rsidR="00AB0A62">
        <w:rPr>
          <w:rFonts w:ascii="Times New Roman" w:hAnsi="Times New Roman" w:cs="Times New Roman"/>
          <w:sz w:val="24"/>
          <w:szCs w:val="24"/>
        </w:rPr>
        <w:t>profane</w:t>
      </w:r>
      <w:r w:rsidR="002E1DB4">
        <w:rPr>
          <w:rFonts w:ascii="Times New Roman" w:hAnsi="Times New Roman" w:cs="Times New Roman"/>
          <w:sz w:val="24"/>
          <w:szCs w:val="24"/>
        </w:rPr>
        <w:t>’</w:t>
      </w:r>
      <w:r w:rsidR="00AB0A62">
        <w:rPr>
          <w:rFonts w:ascii="Times New Roman" w:hAnsi="Times New Roman" w:cs="Times New Roman"/>
          <w:sz w:val="24"/>
          <w:szCs w:val="24"/>
        </w:rPr>
        <w:t xml:space="preserve">, which is </w:t>
      </w:r>
      <w:r w:rsidR="002E1DB4" w:rsidRPr="002E1DB4">
        <w:rPr>
          <w:rFonts w:ascii="Times New Roman" w:hAnsi="Times New Roman" w:cs="Times New Roman"/>
          <w:sz w:val="24"/>
          <w:szCs w:val="24"/>
        </w:rPr>
        <w:t>a term used to describe anything</w:t>
      </w:r>
      <w:r w:rsidR="00AB0A62" w:rsidRPr="002E1DB4">
        <w:rPr>
          <w:rFonts w:ascii="Times New Roman" w:hAnsi="Times New Roman" w:cs="Times New Roman"/>
          <w:sz w:val="24"/>
          <w:szCs w:val="24"/>
        </w:rPr>
        <w:t xml:space="preserve"> that is not sacred</w:t>
      </w:r>
      <w:r w:rsidR="002E1DB4" w:rsidRPr="002E1DB4">
        <w:rPr>
          <w:rFonts w:ascii="Times New Roman" w:hAnsi="Times New Roman" w:cs="Times New Roman"/>
          <w:sz w:val="24"/>
          <w:szCs w:val="24"/>
        </w:rPr>
        <w:t>,</w:t>
      </w:r>
      <w:r w:rsidR="00AB0A62">
        <w:rPr>
          <w:rFonts w:ascii="Times New Roman" w:hAnsi="Times New Roman" w:cs="Times New Roman"/>
          <w:sz w:val="24"/>
          <w:szCs w:val="24"/>
        </w:rPr>
        <w:t xml:space="preserve"> was believed by Eliade to be homogenou</w:t>
      </w:r>
      <w:r w:rsidR="008E1456">
        <w:rPr>
          <w:rFonts w:ascii="Times New Roman" w:hAnsi="Times New Roman" w:cs="Times New Roman"/>
          <w:sz w:val="24"/>
          <w:szCs w:val="24"/>
        </w:rPr>
        <w:t>s, making</w:t>
      </w:r>
      <w:r w:rsidR="00AB0A62">
        <w:rPr>
          <w:rFonts w:ascii="Times New Roman" w:hAnsi="Times New Roman" w:cs="Times New Roman"/>
          <w:sz w:val="24"/>
          <w:szCs w:val="24"/>
        </w:rPr>
        <w:t xml:space="preserve"> the </w:t>
      </w:r>
      <w:proofErr w:type="spellStart"/>
      <w:r w:rsidR="00AB0A62">
        <w:rPr>
          <w:rFonts w:ascii="Times New Roman" w:hAnsi="Times New Roman" w:cs="Times New Roman"/>
          <w:sz w:val="24"/>
          <w:szCs w:val="24"/>
        </w:rPr>
        <w:t>h</w:t>
      </w:r>
      <w:r w:rsidR="004A5BD4">
        <w:rPr>
          <w:rFonts w:ascii="Times New Roman" w:hAnsi="Times New Roman" w:cs="Times New Roman"/>
          <w:sz w:val="24"/>
          <w:szCs w:val="24"/>
        </w:rPr>
        <w:t>ie</w:t>
      </w:r>
      <w:r w:rsidR="003D457F">
        <w:rPr>
          <w:rFonts w:ascii="Times New Roman" w:hAnsi="Times New Roman" w:cs="Times New Roman"/>
          <w:sz w:val="24"/>
          <w:szCs w:val="24"/>
        </w:rPr>
        <w:t>ro</w:t>
      </w:r>
      <w:r w:rsidR="00AB0A62">
        <w:rPr>
          <w:rFonts w:ascii="Times New Roman" w:hAnsi="Times New Roman" w:cs="Times New Roman"/>
          <w:sz w:val="24"/>
          <w:szCs w:val="24"/>
        </w:rPr>
        <w:t>phany</w:t>
      </w:r>
      <w:proofErr w:type="spellEnd"/>
      <w:r w:rsidR="00AB0A62">
        <w:rPr>
          <w:rFonts w:ascii="Times New Roman" w:hAnsi="Times New Roman" w:cs="Times New Roman"/>
          <w:sz w:val="24"/>
          <w:szCs w:val="24"/>
        </w:rPr>
        <w:t xml:space="preserve"> stand out.</w:t>
      </w:r>
      <w:r w:rsidR="00AB0A62">
        <w:rPr>
          <w:rStyle w:val="FootnoteReference"/>
          <w:rFonts w:ascii="Times New Roman" w:hAnsi="Times New Roman" w:cs="Times New Roman"/>
          <w:sz w:val="24"/>
          <w:szCs w:val="24"/>
        </w:rPr>
        <w:footnoteReference w:id="23"/>
      </w:r>
      <w:r w:rsidR="007F12D1">
        <w:rPr>
          <w:rFonts w:ascii="Times New Roman" w:hAnsi="Times New Roman" w:cs="Times New Roman"/>
          <w:sz w:val="24"/>
          <w:szCs w:val="24"/>
        </w:rPr>
        <w:t xml:space="preserve"> He did not only have views on the religious sense of sacred and the profane but also how sacred space may play a role in an individual’s life through the means of specific events. He called this ‘crypto-religious behavior’ and he suggest that events such as a man's first love or birthplace creates a sense of sacredness</w:t>
      </w:r>
      <w:r w:rsidR="007F12D1">
        <w:rPr>
          <w:rStyle w:val="FootnoteReference"/>
          <w:rFonts w:ascii="Times New Roman" w:hAnsi="Times New Roman" w:cs="Times New Roman"/>
          <w:sz w:val="24"/>
          <w:szCs w:val="24"/>
        </w:rPr>
        <w:footnoteReference w:id="24"/>
      </w:r>
      <w:r w:rsidR="007F12D1">
        <w:rPr>
          <w:rFonts w:ascii="Times New Roman" w:hAnsi="Times New Roman" w:cs="Times New Roman"/>
          <w:sz w:val="24"/>
          <w:szCs w:val="24"/>
        </w:rPr>
        <w:t xml:space="preserve">, something separate from the ordinary or profane.  </w:t>
      </w:r>
    </w:p>
    <w:p w14:paraId="742D2747" w14:textId="77777777" w:rsidR="006131C8" w:rsidRPr="0039239E" w:rsidRDefault="006131C8" w:rsidP="0039239E">
      <w:pPr>
        <w:spacing w:line="360" w:lineRule="auto"/>
        <w:jc w:val="both"/>
        <w:rPr>
          <w:rFonts w:ascii="Times New Roman" w:hAnsi="Times New Roman" w:cs="Times New Roman"/>
          <w:sz w:val="24"/>
          <w:szCs w:val="24"/>
        </w:rPr>
      </w:pPr>
    </w:p>
    <w:p w14:paraId="57107CAF" w14:textId="45A937E9" w:rsidR="00FF28AC" w:rsidRDefault="00FF28AC" w:rsidP="00803AF1">
      <w:pPr>
        <w:rPr>
          <w:rFonts w:ascii="Times New Roman" w:hAnsi="Times New Roman" w:cs="Times New Roman"/>
          <w:sz w:val="24"/>
          <w:szCs w:val="24"/>
          <w:u w:val="single"/>
        </w:rPr>
      </w:pPr>
      <w:r>
        <w:rPr>
          <w:rFonts w:ascii="Times New Roman" w:hAnsi="Times New Roman" w:cs="Times New Roman"/>
          <w:sz w:val="24"/>
          <w:szCs w:val="24"/>
          <w:u w:val="single"/>
        </w:rPr>
        <w:lastRenderedPageBreak/>
        <w:t>Discussion</w:t>
      </w:r>
    </w:p>
    <w:p w14:paraId="3A53B1DE" w14:textId="77777777" w:rsidR="00752E43" w:rsidRDefault="00752E43" w:rsidP="00803AF1">
      <w:pPr>
        <w:rPr>
          <w:rFonts w:ascii="Times New Roman" w:hAnsi="Times New Roman" w:cs="Times New Roman"/>
          <w:sz w:val="24"/>
          <w:szCs w:val="24"/>
          <w:u w:val="single"/>
        </w:rPr>
      </w:pPr>
    </w:p>
    <w:p w14:paraId="042A9E83" w14:textId="5535514F" w:rsidR="00745EBC" w:rsidRDefault="00752E43" w:rsidP="00AF424A">
      <w:pPr>
        <w:spacing w:line="360" w:lineRule="auto"/>
        <w:jc w:val="both"/>
        <w:rPr>
          <w:rFonts w:ascii="Times New Roman" w:hAnsi="Times New Roman" w:cs="Times New Roman"/>
          <w:sz w:val="24"/>
          <w:szCs w:val="24"/>
        </w:rPr>
      </w:pPr>
      <w:r w:rsidRPr="00752E43">
        <w:rPr>
          <w:rFonts w:ascii="Times New Roman" w:hAnsi="Times New Roman" w:cs="Times New Roman"/>
          <w:sz w:val="24"/>
          <w:szCs w:val="24"/>
        </w:rPr>
        <w:t xml:space="preserve">From the </w:t>
      </w:r>
      <w:r>
        <w:rPr>
          <w:rFonts w:ascii="Times New Roman" w:hAnsi="Times New Roman" w:cs="Times New Roman"/>
          <w:sz w:val="24"/>
          <w:szCs w:val="24"/>
        </w:rPr>
        <w:t xml:space="preserve">information above, it is evident that both Emile Durkheim and Mircea Eliade have entirely different views on the sacred and how something can become sacred. </w:t>
      </w:r>
      <w:r w:rsidR="00AF424A">
        <w:rPr>
          <w:rFonts w:ascii="Times New Roman" w:hAnsi="Times New Roman" w:cs="Times New Roman"/>
          <w:sz w:val="24"/>
          <w:szCs w:val="24"/>
        </w:rPr>
        <w:t>The first difference to discuss is their view on how something can become sacred. For Emile Durkheim, his view is human-centric in the fact that sacredness is a manmade construct stemming from the mind</w:t>
      </w:r>
      <w:r w:rsidR="002E1DB4">
        <w:rPr>
          <w:rFonts w:ascii="Times New Roman" w:hAnsi="Times New Roman" w:cs="Times New Roman"/>
          <w:sz w:val="24"/>
          <w:szCs w:val="24"/>
        </w:rPr>
        <w:t>.</w:t>
      </w:r>
      <w:r w:rsidR="002E1DB4">
        <w:rPr>
          <w:rStyle w:val="FootnoteReference"/>
          <w:rFonts w:ascii="Times New Roman" w:hAnsi="Times New Roman" w:cs="Times New Roman"/>
          <w:sz w:val="24"/>
          <w:szCs w:val="24"/>
        </w:rPr>
        <w:footnoteReference w:id="25"/>
      </w:r>
      <w:r w:rsidR="002E1DB4">
        <w:rPr>
          <w:rFonts w:ascii="Times New Roman" w:hAnsi="Times New Roman" w:cs="Times New Roman"/>
          <w:sz w:val="24"/>
          <w:szCs w:val="24"/>
        </w:rPr>
        <w:t xml:space="preserve"> </w:t>
      </w:r>
      <w:r w:rsidR="00AF424A">
        <w:rPr>
          <w:rFonts w:ascii="Times New Roman" w:hAnsi="Times New Roman" w:cs="Times New Roman"/>
          <w:sz w:val="24"/>
          <w:szCs w:val="24"/>
        </w:rPr>
        <w:t xml:space="preserve">This perspective is relatable in the sense that people will naturally place value onto objects or a </w:t>
      </w:r>
      <w:r w:rsidR="009561A8">
        <w:rPr>
          <w:rFonts w:ascii="Times New Roman" w:hAnsi="Times New Roman" w:cs="Times New Roman"/>
          <w:sz w:val="24"/>
          <w:szCs w:val="24"/>
        </w:rPr>
        <w:t>specific place</w:t>
      </w:r>
      <w:r w:rsidR="00AF424A">
        <w:rPr>
          <w:rFonts w:ascii="Times New Roman" w:hAnsi="Times New Roman" w:cs="Times New Roman"/>
          <w:sz w:val="24"/>
          <w:szCs w:val="24"/>
        </w:rPr>
        <w:t xml:space="preserve"> due to social conditioning or their own personal beliefs. For example, in </w:t>
      </w:r>
      <w:r w:rsidR="009561A8">
        <w:rPr>
          <w:rFonts w:ascii="Times New Roman" w:hAnsi="Times New Roman" w:cs="Times New Roman"/>
          <w:sz w:val="24"/>
          <w:szCs w:val="24"/>
        </w:rPr>
        <w:t xml:space="preserve">the </w:t>
      </w:r>
      <w:r w:rsidR="00AF424A">
        <w:rPr>
          <w:rFonts w:ascii="Times New Roman" w:hAnsi="Times New Roman" w:cs="Times New Roman"/>
          <w:sz w:val="24"/>
          <w:szCs w:val="24"/>
        </w:rPr>
        <w:t>New Age spiritual</w:t>
      </w:r>
      <w:r w:rsidR="009561A8">
        <w:rPr>
          <w:rFonts w:ascii="Times New Roman" w:hAnsi="Times New Roman" w:cs="Times New Roman"/>
          <w:sz w:val="24"/>
          <w:szCs w:val="24"/>
        </w:rPr>
        <w:t xml:space="preserve"> community</w:t>
      </w:r>
      <w:r w:rsidR="00AF424A">
        <w:rPr>
          <w:rFonts w:ascii="Times New Roman" w:hAnsi="Times New Roman" w:cs="Times New Roman"/>
          <w:sz w:val="24"/>
          <w:szCs w:val="24"/>
        </w:rPr>
        <w:t xml:space="preserve">, one can find </w:t>
      </w:r>
      <w:r w:rsidR="009561A8">
        <w:rPr>
          <w:rFonts w:ascii="Times New Roman" w:hAnsi="Times New Roman" w:cs="Times New Roman"/>
          <w:sz w:val="24"/>
          <w:szCs w:val="24"/>
        </w:rPr>
        <w:t>endless</w:t>
      </w:r>
      <w:r w:rsidR="00AF424A">
        <w:rPr>
          <w:rFonts w:ascii="Times New Roman" w:hAnsi="Times New Roman" w:cs="Times New Roman"/>
          <w:sz w:val="24"/>
          <w:szCs w:val="24"/>
        </w:rPr>
        <w:t xml:space="preserve"> online articles on how a ‘witch’ </w:t>
      </w:r>
      <w:r w:rsidR="006131C8">
        <w:rPr>
          <w:rFonts w:ascii="Times New Roman" w:hAnsi="Times New Roman" w:cs="Times New Roman"/>
          <w:sz w:val="24"/>
          <w:szCs w:val="24"/>
        </w:rPr>
        <w:t xml:space="preserve">or ‘pagan’ </w:t>
      </w:r>
      <w:r w:rsidR="00AF424A">
        <w:rPr>
          <w:rFonts w:ascii="Times New Roman" w:hAnsi="Times New Roman" w:cs="Times New Roman"/>
          <w:sz w:val="24"/>
          <w:szCs w:val="24"/>
        </w:rPr>
        <w:t xml:space="preserve">can establish </w:t>
      </w:r>
      <w:r w:rsidR="009561A8">
        <w:rPr>
          <w:rFonts w:ascii="Times New Roman" w:hAnsi="Times New Roman" w:cs="Times New Roman"/>
          <w:sz w:val="24"/>
          <w:szCs w:val="24"/>
        </w:rPr>
        <w:t>their</w:t>
      </w:r>
      <w:r w:rsidR="00AF424A">
        <w:rPr>
          <w:rFonts w:ascii="Times New Roman" w:hAnsi="Times New Roman" w:cs="Times New Roman"/>
          <w:sz w:val="24"/>
          <w:szCs w:val="24"/>
        </w:rPr>
        <w:t xml:space="preserve"> own </w:t>
      </w:r>
      <w:r w:rsidR="00F62423">
        <w:rPr>
          <w:rFonts w:ascii="Times New Roman" w:hAnsi="Times New Roman" w:cs="Times New Roman"/>
          <w:sz w:val="24"/>
          <w:szCs w:val="24"/>
        </w:rPr>
        <w:t>alter</w:t>
      </w:r>
      <w:r w:rsidR="00AF424A">
        <w:rPr>
          <w:rFonts w:ascii="Times New Roman" w:hAnsi="Times New Roman" w:cs="Times New Roman"/>
          <w:sz w:val="24"/>
          <w:szCs w:val="24"/>
        </w:rPr>
        <w:t>.</w:t>
      </w:r>
      <w:r w:rsidR="006131C8">
        <w:rPr>
          <w:rStyle w:val="FootnoteReference"/>
          <w:rFonts w:ascii="Times New Roman" w:hAnsi="Times New Roman" w:cs="Times New Roman"/>
          <w:sz w:val="24"/>
          <w:szCs w:val="24"/>
        </w:rPr>
        <w:footnoteReference w:id="26"/>
      </w:r>
      <w:r w:rsidR="00AF424A">
        <w:rPr>
          <w:rFonts w:ascii="Times New Roman" w:hAnsi="Times New Roman" w:cs="Times New Roman"/>
          <w:sz w:val="24"/>
          <w:szCs w:val="24"/>
        </w:rPr>
        <w:t xml:space="preserve"> </w:t>
      </w:r>
      <w:r w:rsidR="009561A8">
        <w:rPr>
          <w:rFonts w:ascii="Times New Roman" w:hAnsi="Times New Roman" w:cs="Times New Roman"/>
          <w:sz w:val="24"/>
          <w:szCs w:val="24"/>
        </w:rPr>
        <w:t xml:space="preserve">This would result in the individual creating </w:t>
      </w:r>
      <w:r w:rsidR="00862108">
        <w:rPr>
          <w:rFonts w:ascii="Times New Roman" w:hAnsi="Times New Roman" w:cs="Times New Roman"/>
          <w:sz w:val="24"/>
          <w:szCs w:val="24"/>
        </w:rPr>
        <w:t xml:space="preserve">and projecting </w:t>
      </w:r>
      <w:r w:rsidR="009561A8">
        <w:rPr>
          <w:rFonts w:ascii="Times New Roman" w:hAnsi="Times New Roman" w:cs="Times New Roman"/>
          <w:sz w:val="24"/>
          <w:szCs w:val="24"/>
        </w:rPr>
        <w:t xml:space="preserve">a sense of sacredness onto the location in which an alter is established as well as the performance of rituals. This is </w:t>
      </w:r>
      <w:r w:rsidR="00254CB0">
        <w:rPr>
          <w:rFonts w:ascii="Times New Roman" w:hAnsi="Times New Roman" w:cs="Times New Roman"/>
          <w:sz w:val="24"/>
          <w:szCs w:val="24"/>
        </w:rPr>
        <w:t>very Durkheimian in the fact that a sacred space is created in the mind and performed rituals re</w:t>
      </w:r>
      <w:r w:rsidR="00090258">
        <w:rPr>
          <w:rFonts w:ascii="Times New Roman" w:hAnsi="Times New Roman" w:cs="Times New Roman"/>
          <w:sz w:val="24"/>
          <w:szCs w:val="24"/>
        </w:rPr>
        <w:t>affirm</w:t>
      </w:r>
      <w:r w:rsidR="00254CB0">
        <w:rPr>
          <w:rFonts w:ascii="Times New Roman" w:hAnsi="Times New Roman" w:cs="Times New Roman"/>
          <w:sz w:val="24"/>
          <w:szCs w:val="24"/>
        </w:rPr>
        <w:t xml:space="preserve"> the perceived sacredness</w:t>
      </w:r>
      <w:r w:rsidR="00F62423">
        <w:rPr>
          <w:rFonts w:ascii="Times New Roman" w:hAnsi="Times New Roman" w:cs="Times New Roman"/>
          <w:sz w:val="24"/>
          <w:szCs w:val="24"/>
        </w:rPr>
        <w:t>.</w:t>
      </w:r>
      <w:r w:rsidR="00F62423">
        <w:rPr>
          <w:rStyle w:val="FootnoteReference"/>
          <w:rFonts w:ascii="Times New Roman" w:hAnsi="Times New Roman" w:cs="Times New Roman"/>
          <w:sz w:val="24"/>
          <w:szCs w:val="24"/>
        </w:rPr>
        <w:footnoteReference w:id="27"/>
      </w:r>
      <w:r w:rsidR="00F62423">
        <w:rPr>
          <w:rFonts w:ascii="Times New Roman" w:hAnsi="Times New Roman" w:cs="Times New Roman"/>
          <w:sz w:val="24"/>
          <w:szCs w:val="24"/>
        </w:rPr>
        <w:t xml:space="preserve"> </w:t>
      </w:r>
      <w:r w:rsidR="003C298D">
        <w:rPr>
          <w:rFonts w:ascii="Times New Roman" w:hAnsi="Times New Roman" w:cs="Times New Roman"/>
          <w:sz w:val="24"/>
          <w:szCs w:val="24"/>
        </w:rPr>
        <w:t>This opinion is also shared by Rose who believes that a sacred space is “produced through human practice”.</w:t>
      </w:r>
      <w:r w:rsidR="003C298D">
        <w:rPr>
          <w:rStyle w:val="FootnoteReference"/>
          <w:rFonts w:ascii="Times New Roman" w:hAnsi="Times New Roman" w:cs="Times New Roman"/>
          <w:sz w:val="24"/>
          <w:szCs w:val="24"/>
        </w:rPr>
        <w:footnoteReference w:id="28"/>
      </w:r>
      <w:r w:rsidR="003C298D">
        <w:rPr>
          <w:rFonts w:ascii="Times New Roman" w:hAnsi="Times New Roman" w:cs="Times New Roman"/>
          <w:sz w:val="24"/>
          <w:szCs w:val="24"/>
        </w:rPr>
        <w:t xml:space="preserve"> </w:t>
      </w:r>
      <w:r w:rsidR="00254CB0">
        <w:rPr>
          <w:rFonts w:ascii="Times New Roman" w:hAnsi="Times New Roman" w:cs="Times New Roman"/>
          <w:sz w:val="24"/>
          <w:szCs w:val="24"/>
        </w:rPr>
        <w:t xml:space="preserve">On the other </w:t>
      </w:r>
      <w:r w:rsidR="005151DD">
        <w:rPr>
          <w:rFonts w:ascii="Times New Roman" w:hAnsi="Times New Roman" w:cs="Times New Roman"/>
          <w:sz w:val="24"/>
          <w:szCs w:val="24"/>
        </w:rPr>
        <w:t>hand,</w:t>
      </w:r>
      <w:r w:rsidR="00254CB0">
        <w:rPr>
          <w:rFonts w:ascii="Times New Roman" w:hAnsi="Times New Roman" w:cs="Times New Roman"/>
          <w:sz w:val="24"/>
          <w:szCs w:val="24"/>
        </w:rPr>
        <w:t xml:space="preserve"> however, Eliade would argue that a sacred space is only established when a </w:t>
      </w:r>
      <w:proofErr w:type="spellStart"/>
      <w:r w:rsidR="00254CB0">
        <w:rPr>
          <w:rFonts w:ascii="Times New Roman" w:hAnsi="Times New Roman" w:cs="Times New Roman"/>
          <w:sz w:val="24"/>
          <w:szCs w:val="24"/>
        </w:rPr>
        <w:t>h</w:t>
      </w:r>
      <w:r w:rsidR="004A5BD4">
        <w:rPr>
          <w:rFonts w:ascii="Times New Roman" w:hAnsi="Times New Roman" w:cs="Times New Roman"/>
          <w:sz w:val="24"/>
          <w:szCs w:val="24"/>
        </w:rPr>
        <w:t>ie</w:t>
      </w:r>
      <w:r w:rsidR="00254CB0">
        <w:rPr>
          <w:rFonts w:ascii="Times New Roman" w:hAnsi="Times New Roman" w:cs="Times New Roman"/>
          <w:sz w:val="24"/>
          <w:szCs w:val="24"/>
        </w:rPr>
        <w:t>rophany</w:t>
      </w:r>
      <w:proofErr w:type="spellEnd"/>
      <w:r w:rsidR="00254CB0">
        <w:rPr>
          <w:rFonts w:ascii="Times New Roman" w:hAnsi="Times New Roman" w:cs="Times New Roman"/>
          <w:sz w:val="24"/>
          <w:szCs w:val="24"/>
        </w:rPr>
        <w:t xml:space="preserve"> occurs, setting it apart from the ordinary or profane.</w:t>
      </w:r>
      <w:r w:rsidR="00F62423">
        <w:rPr>
          <w:rFonts w:ascii="Times New Roman" w:hAnsi="Times New Roman" w:cs="Times New Roman"/>
          <w:sz w:val="24"/>
          <w:szCs w:val="24"/>
        </w:rPr>
        <w:t xml:space="preserve"> Due to the nature of creating an altar, Eliade’s theory would not apply here as such </w:t>
      </w:r>
      <w:proofErr w:type="spellStart"/>
      <w:r w:rsidR="00F62423">
        <w:rPr>
          <w:rFonts w:ascii="Times New Roman" w:hAnsi="Times New Roman" w:cs="Times New Roman"/>
          <w:sz w:val="24"/>
          <w:szCs w:val="24"/>
        </w:rPr>
        <w:t>h</w:t>
      </w:r>
      <w:r w:rsidR="004A5BD4">
        <w:rPr>
          <w:rFonts w:ascii="Times New Roman" w:hAnsi="Times New Roman" w:cs="Times New Roman"/>
          <w:sz w:val="24"/>
          <w:szCs w:val="24"/>
        </w:rPr>
        <w:t>ie</w:t>
      </w:r>
      <w:r w:rsidR="00F62423">
        <w:rPr>
          <w:rFonts w:ascii="Times New Roman" w:hAnsi="Times New Roman" w:cs="Times New Roman"/>
          <w:sz w:val="24"/>
          <w:szCs w:val="24"/>
        </w:rPr>
        <w:t>ropanies</w:t>
      </w:r>
      <w:proofErr w:type="spellEnd"/>
      <w:r w:rsidR="00F62423">
        <w:rPr>
          <w:rFonts w:ascii="Times New Roman" w:hAnsi="Times New Roman" w:cs="Times New Roman"/>
          <w:sz w:val="24"/>
          <w:szCs w:val="24"/>
        </w:rPr>
        <w:t xml:space="preserve"> are not occurring. </w:t>
      </w:r>
    </w:p>
    <w:p w14:paraId="3641BB08" w14:textId="4043A75F" w:rsidR="00254CB0" w:rsidRDefault="00745EBC" w:rsidP="00AF424A">
      <w:pPr>
        <w:spacing w:line="360" w:lineRule="auto"/>
        <w:jc w:val="both"/>
        <w:rPr>
          <w:rFonts w:ascii="Times New Roman" w:hAnsi="Times New Roman" w:cs="Times New Roman"/>
          <w:sz w:val="24"/>
          <w:szCs w:val="24"/>
        </w:rPr>
      </w:pPr>
      <w:r w:rsidRPr="009C0484">
        <w:rPr>
          <w:rFonts w:ascii="Times New Roman" w:hAnsi="Times New Roman" w:cs="Times New Roman"/>
          <w:sz w:val="24"/>
          <w:szCs w:val="24"/>
        </w:rPr>
        <w:t>With both scholars having very different opinions, it would be interesting to know if religion or personal beliefs may have influenced their thoughts and ideas.</w:t>
      </w:r>
      <w:r>
        <w:rPr>
          <w:rFonts w:ascii="Times New Roman" w:hAnsi="Times New Roman" w:cs="Times New Roman"/>
          <w:sz w:val="24"/>
          <w:szCs w:val="24"/>
        </w:rPr>
        <w:t xml:space="preserve"> </w:t>
      </w:r>
      <w:r w:rsidR="00254CB0">
        <w:rPr>
          <w:rFonts w:ascii="Times New Roman" w:hAnsi="Times New Roman" w:cs="Times New Roman"/>
          <w:sz w:val="24"/>
          <w:szCs w:val="24"/>
        </w:rPr>
        <w:t xml:space="preserve">There </w:t>
      </w:r>
      <w:r w:rsidR="007A6C04">
        <w:rPr>
          <w:rFonts w:ascii="Times New Roman" w:hAnsi="Times New Roman" w:cs="Times New Roman"/>
          <w:sz w:val="24"/>
          <w:szCs w:val="24"/>
        </w:rPr>
        <w:t>appears to be</w:t>
      </w:r>
      <w:r w:rsidR="00254CB0">
        <w:rPr>
          <w:rFonts w:ascii="Times New Roman" w:hAnsi="Times New Roman" w:cs="Times New Roman"/>
          <w:sz w:val="24"/>
          <w:szCs w:val="24"/>
        </w:rPr>
        <w:t xml:space="preserve"> a sense of </w:t>
      </w:r>
      <w:r w:rsidR="007A6C04">
        <w:rPr>
          <w:rFonts w:ascii="Times New Roman" w:hAnsi="Times New Roman" w:cs="Times New Roman"/>
          <w:sz w:val="24"/>
          <w:szCs w:val="24"/>
        </w:rPr>
        <w:t>religious</w:t>
      </w:r>
      <w:r w:rsidR="00254CB0">
        <w:rPr>
          <w:rFonts w:ascii="Times New Roman" w:hAnsi="Times New Roman" w:cs="Times New Roman"/>
          <w:sz w:val="24"/>
          <w:szCs w:val="24"/>
        </w:rPr>
        <w:t xml:space="preserve"> belief within Eliade </w:t>
      </w:r>
      <w:r w:rsidR="005151DD">
        <w:rPr>
          <w:rFonts w:ascii="Times New Roman" w:hAnsi="Times New Roman" w:cs="Times New Roman"/>
          <w:sz w:val="24"/>
          <w:szCs w:val="24"/>
        </w:rPr>
        <w:t xml:space="preserve">unlike that of </w:t>
      </w:r>
      <w:proofErr w:type="spellStart"/>
      <w:r w:rsidR="005151DD">
        <w:rPr>
          <w:rFonts w:ascii="Times New Roman" w:hAnsi="Times New Roman" w:cs="Times New Roman"/>
          <w:sz w:val="24"/>
          <w:szCs w:val="24"/>
        </w:rPr>
        <w:t>Durkhiem</w:t>
      </w:r>
      <w:proofErr w:type="spellEnd"/>
      <w:r w:rsidR="005151DD">
        <w:rPr>
          <w:rFonts w:ascii="Times New Roman" w:hAnsi="Times New Roman" w:cs="Times New Roman"/>
          <w:sz w:val="24"/>
          <w:szCs w:val="24"/>
        </w:rPr>
        <w:t xml:space="preserve">. Eliade has a firm belief in the divine to cause such </w:t>
      </w:r>
      <w:proofErr w:type="spellStart"/>
      <w:r w:rsidR="005151DD">
        <w:rPr>
          <w:rFonts w:ascii="Times New Roman" w:hAnsi="Times New Roman" w:cs="Times New Roman"/>
          <w:sz w:val="24"/>
          <w:szCs w:val="24"/>
        </w:rPr>
        <w:t>h</w:t>
      </w:r>
      <w:r w:rsidR="004A5BD4">
        <w:rPr>
          <w:rFonts w:ascii="Times New Roman" w:hAnsi="Times New Roman" w:cs="Times New Roman"/>
          <w:sz w:val="24"/>
          <w:szCs w:val="24"/>
        </w:rPr>
        <w:t>ie</w:t>
      </w:r>
      <w:r w:rsidR="005151DD">
        <w:rPr>
          <w:rFonts w:ascii="Times New Roman" w:hAnsi="Times New Roman" w:cs="Times New Roman"/>
          <w:sz w:val="24"/>
          <w:szCs w:val="24"/>
        </w:rPr>
        <w:t>rophanies</w:t>
      </w:r>
      <w:proofErr w:type="spellEnd"/>
      <w:r w:rsidR="005151DD">
        <w:rPr>
          <w:rFonts w:ascii="Times New Roman" w:hAnsi="Times New Roman" w:cs="Times New Roman"/>
          <w:sz w:val="24"/>
          <w:szCs w:val="24"/>
        </w:rPr>
        <w:t xml:space="preserve"> in the first place and he certainly believes in heaven and hell</w:t>
      </w:r>
      <w:r w:rsidR="005151DD">
        <w:rPr>
          <w:rStyle w:val="FootnoteReference"/>
          <w:rFonts w:ascii="Times New Roman" w:hAnsi="Times New Roman" w:cs="Times New Roman"/>
          <w:sz w:val="24"/>
          <w:szCs w:val="24"/>
        </w:rPr>
        <w:footnoteReference w:id="29"/>
      </w:r>
      <w:r w:rsidR="005151DD">
        <w:rPr>
          <w:rFonts w:ascii="Times New Roman" w:hAnsi="Times New Roman" w:cs="Times New Roman"/>
          <w:sz w:val="24"/>
          <w:szCs w:val="24"/>
        </w:rPr>
        <w:t>. This is likely due to his upbringing in Orthodox Christianity in Romania</w:t>
      </w:r>
      <w:r w:rsidR="003B37C1">
        <w:rPr>
          <w:rStyle w:val="FootnoteReference"/>
          <w:rFonts w:ascii="Times New Roman" w:hAnsi="Times New Roman" w:cs="Times New Roman"/>
          <w:sz w:val="24"/>
          <w:szCs w:val="24"/>
        </w:rPr>
        <w:footnoteReference w:id="30"/>
      </w:r>
      <w:r w:rsidR="005151DD">
        <w:rPr>
          <w:rFonts w:ascii="Times New Roman" w:hAnsi="Times New Roman" w:cs="Times New Roman"/>
          <w:sz w:val="24"/>
          <w:szCs w:val="24"/>
        </w:rPr>
        <w:t xml:space="preserve"> and the influence of eastern </w:t>
      </w:r>
      <w:r w:rsidR="005151DD">
        <w:rPr>
          <w:rFonts w:ascii="Times New Roman" w:hAnsi="Times New Roman" w:cs="Times New Roman"/>
          <w:sz w:val="24"/>
          <w:szCs w:val="24"/>
        </w:rPr>
        <w:lastRenderedPageBreak/>
        <w:t>religions from his travels to India in the late 1920’s and early 1930’s.</w:t>
      </w:r>
      <w:r w:rsidR="005151DD">
        <w:rPr>
          <w:rStyle w:val="FootnoteReference"/>
          <w:rFonts w:ascii="Times New Roman" w:hAnsi="Times New Roman" w:cs="Times New Roman"/>
          <w:sz w:val="24"/>
          <w:szCs w:val="24"/>
        </w:rPr>
        <w:footnoteReference w:id="31"/>
      </w:r>
      <w:r w:rsidR="005151DD">
        <w:rPr>
          <w:rFonts w:ascii="Times New Roman" w:hAnsi="Times New Roman" w:cs="Times New Roman"/>
          <w:sz w:val="24"/>
          <w:szCs w:val="24"/>
        </w:rPr>
        <w:t xml:space="preserve"> </w:t>
      </w:r>
      <w:r w:rsidR="009C0484">
        <w:rPr>
          <w:rFonts w:ascii="Times New Roman" w:hAnsi="Times New Roman" w:cs="Times New Roman"/>
          <w:sz w:val="24"/>
          <w:szCs w:val="24"/>
        </w:rPr>
        <w:t>The influence that the Romanian Orthodox church had on Eliade’s work before his travels to India was discussed by Bryan Rennie in 2010.</w:t>
      </w:r>
      <w:r w:rsidR="009C0484">
        <w:rPr>
          <w:rStyle w:val="FootnoteReference"/>
          <w:rFonts w:ascii="Times New Roman" w:hAnsi="Times New Roman" w:cs="Times New Roman"/>
          <w:sz w:val="24"/>
          <w:szCs w:val="24"/>
        </w:rPr>
        <w:footnoteReference w:id="32"/>
      </w:r>
      <w:r w:rsidR="009C0484">
        <w:rPr>
          <w:rFonts w:ascii="Times New Roman" w:hAnsi="Times New Roman" w:cs="Times New Roman"/>
          <w:sz w:val="24"/>
          <w:szCs w:val="24"/>
        </w:rPr>
        <w:t xml:space="preserve"> </w:t>
      </w:r>
      <w:r w:rsidR="003B37C1">
        <w:rPr>
          <w:rFonts w:ascii="Times New Roman" w:hAnsi="Times New Roman" w:cs="Times New Roman"/>
          <w:sz w:val="24"/>
          <w:szCs w:val="24"/>
        </w:rPr>
        <w:t>It could be argued that there is some</w:t>
      </w:r>
      <w:r w:rsidR="00B33000">
        <w:rPr>
          <w:rFonts w:ascii="Times New Roman" w:hAnsi="Times New Roman" w:cs="Times New Roman"/>
          <w:sz w:val="24"/>
          <w:szCs w:val="24"/>
        </w:rPr>
        <w:t xml:space="preserve"> eviden</w:t>
      </w:r>
      <w:r w:rsidR="003B37C1">
        <w:rPr>
          <w:rFonts w:ascii="Times New Roman" w:hAnsi="Times New Roman" w:cs="Times New Roman"/>
          <w:sz w:val="24"/>
          <w:szCs w:val="24"/>
        </w:rPr>
        <w:t>ce</w:t>
      </w:r>
      <w:r w:rsidR="00B33000">
        <w:rPr>
          <w:rFonts w:ascii="Times New Roman" w:hAnsi="Times New Roman" w:cs="Times New Roman"/>
          <w:sz w:val="24"/>
          <w:szCs w:val="24"/>
        </w:rPr>
        <w:t xml:space="preserve"> that eastern religion did influence his work as he wrote an entire book on yoga</w:t>
      </w:r>
      <w:r w:rsidR="00E5468E" w:rsidRPr="00E5468E">
        <w:rPr>
          <w:rFonts w:ascii="Times New Roman" w:hAnsi="Times New Roman" w:cs="Times New Roman"/>
          <w:sz w:val="24"/>
          <w:szCs w:val="24"/>
        </w:rPr>
        <w:t xml:space="preserve"> </w:t>
      </w:r>
      <w:r w:rsidR="00E5468E">
        <w:rPr>
          <w:rFonts w:ascii="Times New Roman" w:hAnsi="Times New Roman" w:cs="Times New Roman"/>
          <w:sz w:val="24"/>
          <w:szCs w:val="24"/>
        </w:rPr>
        <w:t>and discussed the idea of immortality within it.</w:t>
      </w:r>
      <w:r w:rsidR="00B33000">
        <w:rPr>
          <w:rStyle w:val="FootnoteReference"/>
          <w:rFonts w:ascii="Times New Roman" w:hAnsi="Times New Roman" w:cs="Times New Roman"/>
          <w:sz w:val="24"/>
          <w:szCs w:val="24"/>
        </w:rPr>
        <w:footnoteReference w:id="33"/>
      </w:r>
      <w:r w:rsidR="00B33000">
        <w:rPr>
          <w:rFonts w:ascii="Times New Roman" w:hAnsi="Times New Roman" w:cs="Times New Roman"/>
          <w:sz w:val="24"/>
          <w:szCs w:val="24"/>
        </w:rPr>
        <w:t xml:space="preserve"> </w:t>
      </w:r>
      <w:r w:rsidR="00E5468E">
        <w:rPr>
          <w:rFonts w:ascii="Times New Roman" w:hAnsi="Times New Roman" w:cs="Times New Roman"/>
          <w:sz w:val="24"/>
          <w:szCs w:val="24"/>
        </w:rPr>
        <w:t xml:space="preserve">These </w:t>
      </w:r>
      <w:r w:rsidR="00B33000">
        <w:rPr>
          <w:rFonts w:ascii="Times New Roman" w:hAnsi="Times New Roman" w:cs="Times New Roman"/>
          <w:sz w:val="24"/>
          <w:szCs w:val="24"/>
        </w:rPr>
        <w:t xml:space="preserve">such </w:t>
      </w:r>
      <w:r w:rsidR="00E5468E">
        <w:rPr>
          <w:rFonts w:ascii="Times New Roman" w:hAnsi="Times New Roman" w:cs="Times New Roman"/>
          <w:sz w:val="24"/>
          <w:szCs w:val="24"/>
        </w:rPr>
        <w:t xml:space="preserve">actions and </w:t>
      </w:r>
      <w:r w:rsidR="00B33000">
        <w:rPr>
          <w:rFonts w:ascii="Times New Roman" w:hAnsi="Times New Roman" w:cs="Times New Roman"/>
          <w:sz w:val="24"/>
          <w:szCs w:val="24"/>
        </w:rPr>
        <w:t xml:space="preserve">beliefs are </w:t>
      </w:r>
      <w:r w:rsidR="00E5468E">
        <w:rPr>
          <w:rFonts w:ascii="Times New Roman" w:hAnsi="Times New Roman" w:cs="Times New Roman"/>
          <w:sz w:val="24"/>
          <w:szCs w:val="24"/>
        </w:rPr>
        <w:t xml:space="preserve">commonly </w:t>
      </w:r>
      <w:r w:rsidR="00B33000">
        <w:rPr>
          <w:rFonts w:ascii="Times New Roman" w:hAnsi="Times New Roman" w:cs="Times New Roman"/>
          <w:sz w:val="24"/>
          <w:szCs w:val="24"/>
        </w:rPr>
        <w:t xml:space="preserve">attributed to </w:t>
      </w:r>
      <w:r w:rsidR="00E5468E">
        <w:rPr>
          <w:rFonts w:ascii="Times New Roman" w:hAnsi="Times New Roman" w:cs="Times New Roman"/>
          <w:sz w:val="24"/>
          <w:szCs w:val="24"/>
        </w:rPr>
        <w:t xml:space="preserve">Hinduism, a religion that was </w:t>
      </w:r>
      <w:r w:rsidR="0081314A">
        <w:rPr>
          <w:rFonts w:ascii="Times New Roman" w:hAnsi="Times New Roman" w:cs="Times New Roman"/>
          <w:sz w:val="24"/>
          <w:szCs w:val="24"/>
        </w:rPr>
        <w:t>as</w:t>
      </w:r>
      <w:r w:rsidR="00E5468E">
        <w:rPr>
          <w:rFonts w:ascii="Times New Roman" w:hAnsi="Times New Roman" w:cs="Times New Roman"/>
          <w:sz w:val="24"/>
          <w:szCs w:val="24"/>
        </w:rPr>
        <w:t xml:space="preserve"> prominent in Indian during the time of his travels</w:t>
      </w:r>
      <w:r w:rsidR="00090258">
        <w:rPr>
          <w:rFonts w:ascii="Times New Roman" w:hAnsi="Times New Roman" w:cs="Times New Roman"/>
          <w:sz w:val="24"/>
          <w:szCs w:val="24"/>
        </w:rPr>
        <w:t>,</w:t>
      </w:r>
      <w:r w:rsidR="00E5468E">
        <w:rPr>
          <w:rFonts w:ascii="Times New Roman" w:hAnsi="Times New Roman" w:cs="Times New Roman"/>
          <w:sz w:val="24"/>
          <w:szCs w:val="24"/>
        </w:rPr>
        <w:t xml:space="preserve"> as it is today</w:t>
      </w:r>
      <w:r w:rsidR="006C2744">
        <w:rPr>
          <w:rFonts w:ascii="Times New Roman" w:hAnsi="Times New Roman" w:cs="Times New Roman"/>
          <w:sz w:val="24"/>
          <w:szCs w:val="24"/>
        </w:rPr>
        <w:t>.</w:t>
      </w:r>
      <w:r w:rsidR="006C2744">
        <w:rPr>
          <w:rStyle w:val="FootnoteReference"/>
          <w:rFonts w:ascii="Times New Roman" w:hAnsi="Times New Roman" w:cs="Times New Roman"/>
          <w:sz w:val="24"/>
          <w:szCs w:val="24"/>
        </w:rPr>
        <w:footnoteReference w:id="34"/>
      </w:r>
      <w:r w:rsidR="006C2744">
        <w:rPr>
          <w:rFonts w:ascii="Times New Roman" w:hAnsi="Times New Roman" w:cs="Times New Roman"/>
          <w:sz w:val="24"/>
          <w:szCs w:val="24"/>
        </w:rPr>
        <w:t xml:space="preserve"> </w:t>
      </w:r>
      <w:r w:rsidR="005151DD">
        <w:rPr>
          <w:rFonts w:ascii="Times New Roman" w:hAnsi="Times New Roman" w:cs="Times New Roman"/>
          <w:sz w:val="24"/>
          <w:szCs w:val="24"/>
        </w:rPr>
        <w:t>For Durkheim, it is highly possible that</w:t>
      </w:r>
      <w:r w:rsidR="002D2259">
        <w:rPr>
          <w:rFonts w:ascii="Times New Roman" w:hAnsi="Times New Roman" w:cs="Times New Roman"/>
          <w:sz w:val="24"/>
          <w:szCs w:val="24"/>
        </w:rPr>
        <w:t xml:space="preserve"> the pressure he faced in his youth to become a </w:t>
      </w:r>
      <w:r w:rsidR="002D2259" w:rsidRPr="006131C8">
        <w:rPr>
          <w:rFonts w:ascii="Times New Roman" w:hAnsi="Times New Roman" w:cs="Times New Roman"/>
          <w:sz w:val="24"/>
          <w:szCs w:val="24"/>
        </w:rPr>
        <w:t>r</w:t>
      </w:r>
      <w:r w:rsidR="002D2259">
        <w:rPr>
          <w:rFonts w:ascii="Times New Roman" w:hAnsi="Times New Roman" w:cs="Times New Roman"/>
          <w:sz w:val="24"/>
          <w:szCs w:val="24"/>
        </w:rPr>
        <w:t>abbi,</w:t>
      </w:r>
      <w:r w:rsidR="005151DD">
        <w:rPr>
          <w:rFonts w:ascii="Times New Roman" w:hAnsi="Times New Roman" w:cs="Times New Roman"/>
          <w:sz w:val="24"/>
          <w:szCs w:val="24"/>
        </w:rPr>
        <w:t xml:space="preserve"> </w:t>
      </w:r>
      <w:r w:rsidR="002D2259">
        <w:rPr>
          <w:rFonts w:ascii="Times New Roman" w:hAnsi="Times New Roman" w:cs="Times New Roman"/>
          <w:sz w:val="24"/>
          <w:szCs w:val="24"/>
        </w:rPr>
        <w:t xml:space="preserve">following the </w:t>
      </w:r>
      <w:r w:rsidR="0081314A">
        <w:rPr>
          <w:rFonts w:ascii="Times New Roman" w:hAnsi="Times New Roman" w:cs="Times New Roman"/>
          <w:sz w:val="24"/>
          <w:szCs w:val="24"/>
        </w:rPr>
        <w:t>family’s</w:t>
      </w:r>
      <w:r w:rsidR="005151DD">
        <w:rPr>
          <w:rFonts w:ascii="Times New Roman" w:hAnsi="Times New Roman" w:cs="Times New Roman"/>
          <w:sz w:val="24"/>
          <w:szCs w:val="24"/>
        </w:rPr>
        <w:t xml:space="preserve"> long linage of rabbis</w:t>
      </w:r>
      <w:r w:rsidR="00090258">
        <w:rPr>
          <w:rFonts w:ascii="Times New Roman" w:hAnsi="Times New Roman" w:cs="Times New Roman"/>
          <w:sz w:val="24"/>
          <w:szCs w:val="24"/>
        </w:rPr>
        <w:t>,</w:t>
      </w:r>
      <w:r w:rsidR="002D2259">
        <w:rPr>
          <w:rFonts w:ascii="Times New Roman" w:hAnsi="Times New Roman" w:cs="Times New Roman"/>
          <w:sz w:val="24"/>
          <w:szCs w:val="24"/>
        </w:rPr>
        <w:t xml:space="preserve"> </w:t>
      </w:r>
      <w:r w:rsidR="002D2259">
        <w:rPr>
          <w:rFonts w:ascii="Times New Roman" w:hAnsi="Times New Roman" w:cs="Times New Roman"/>
          <w:sz w:val="24"/>
          <w:szCs w:val="24"/>
        </w:rPr>
        <w:t>may have influenced his opinions on the sacred.</w:t>
      </w:r>
      <w:r w:rsidR="002E2E02">
        <w:rPr>
          <w:rStyle w:val="FootnoteReference"/>
          <w:rFonts w:ascii="Times New Roman" w:hAnsi="Times New Roman" w:cs="Times New Roman"/>
          <w:sz w:val="24"/>
          <w:szCs w:val="24"/>
        </w:rPr>
        <w:footnoteReference w:id="35"/>
      </w:r>
      <w:r w:rsidR="005151DD">
        <w:rPr>
          <w:rFonts w:ascii="Times New Roman" w:hAnsi="Times New Roman" w:cs="Times New Roman"/>
          <w:sz w:val="24"/>
          <w:szCs w:val="24"/>
        </w:rPr>
        <w:t xml:space="preserve"> </w:t>
      </w:r>
      <w:r w:rsidR="0081314A">
        <w:rPr>
          <w:rFonts w:ascii="Times New Roman" w:hAnsi="Times New Roman" w:cs="Times New Roman"/>
          <w:sz w:val="24"/>
          <w:szCs w:val="24"/>
        </w:rPr>
        <w:t xml:space="preserve">It does offer questions on whether or not that such pressure from his family could have made him a skeptic. Durkheim’s skepticism was debated by Stephen </w:t>
      </w:r>
      <w:proofErr w:type="spellStart"/>
      <w:r w:rsidR="0081314A">
        <w:rPr>
          <w:rFonts w:ascii="Times New Roman" w:hAnsi="Times New Roman" w:cs="Times New Roman"/>
          <w:sz w:val="24"/>
          <w:szCs w:val="24"/>
        </w:rPr>
        <w:t>Lukes</w:t>
      </w:r>
      <w:proofErr w:type="spellEnd"/>
      <w:r w:rsidR="0081314A">
        <w:rPr>
          <w:rFonts w:ascii="Times New Roman" w:hAnsi="Times New Roman" w:cs="Times New Roman"/>
          <w:sz w:val="24"/>
          <w:szCs w:val="24"/>
        </w:rPr>
        <w:t xml:space="preserve"> in his article </w:t>
      </w:r>
      <w:r w:rsidR="0081314A">
        <w:rPr>
          <w:rFonts w:ascii="Times New Roman" w:hAnsi="Times New Roman" w:cs="Times New Roman"/>
          <w:i/>
          <w:iCs/>
          <w:sz w:val="24"/>
          <w:szCs w:val="24"/>
        </w:rPr>
        <w:t xml:space="preserve">Is Durkheim’s understanding of religion compatible with </w:t>
      </w:r>
      <w:proofErr w:type="gramStart"/>
      <w:r w:rsidR="00A16943">
        <w:rPr>
          <w:rFonts w:ascii="Times New Roman" w:hAnsi="Times New Roman" w:cs="Times New Roman"/>
          <w:i/>
          <w:iCs/>
          <w:sz w:val="24"/>
          <w:szCs w:val="24"/>
        </w:rPr>
        <w:t>believing?</w:t>
      </w:r>
      <w:proofErr w:type="gramEnd"/>
      <w:r w:rsidR="00A16943">
        <w:rPr>
          <w:rFonts w:ascii="Times New Roman" w:hAnsi="Times New Roman" w:cs="Times New Roman"/>
          <w:i/>
          <w:iCs/>
          <w:sz w:val="24"/>
          <w:szCs w:val="24"/>
        </w:rPr>
        <w:t xml:space="preserve"> </w:t>
      </w:r>
      <w:r w:rsidR="0081314A">
        <w:rPr>
          <w:rFonts w:ascii="Times New Roman" w:hAnsi="Times New Roman" w:cs="Times New Roman"/>
          <w:sz w:val="24"/>
          <w:szCs w:val="24"/>
        </w:rPr>
        <w:t>However, no definitive answer was reached</w:t>
      </w:r>
      <w:r w:rsidR="009635E9">
        <w:rPr>
          <w:rFonts w:ascii="Times New Roman" w:hAnsi="Times New Roman" w:cs="Times New Roman"/>
          <w:sz w:val="24"/>
          <w:szCs w:val="24"/>
        </w:rPr>
        <w:t>.</w:t>
      </w:r>
      <w:r w:rsidR="0081314A">
        <w:rPr>
          <w:rStyle w:val="FootnoteReference"/>
          <w:rFonts w:ascii="Times New Roman" w:hAnsi="Times New Roman" w:cs="Times New Roman"/>
          <w:sz w:val="24"/>
          <w:szCs w:val="24"/>
        </w:rPr>
        <w:footnoteReference w:id="36"/>
      </w:r>
      <w:r w:rsidR="00A16943">
        <w:rPr>
          <w:rFonts w:ascii="Times New Roman" w:hAnsi="Times New Roman" w:cs="Times New Roman"/>
          <w:sz w:val="24"/>
          <w:szCs w:val="24"/>
        </w:rPr>
        <w:t xml:space="preserve"> </w:t>
      </w:r>
    </w:p>
    <w:p w14:paraId="17444ABE" w14:textId="71EFDC71" w:rsidR="006B2391" w:rsidRDefault="006B2391" w:rsidP="00AF424A">
      <w:pPr>
        <w:spacing w:line="360" w:lineRule="auto"/>
        <w:jc w:val="both"/>
        <w:rPr>
          <w:rFonts w:ascii="Times New Roman" w:hAnsi="Times New Roman" w:cs="Times New Roman"/>
          <w:sz w:val="24"/>
          <w:szCs w:val="24"/>
        </w:rPr>
      </w:pPr>
      <w:r w:rsidRPr="006131C8">
        <w:rPr>
          <w:rFonts w:ascii="Times New Roman" w:hAnsi="Times New Roman" w:cs="Times New Roman"/>
          <w:sz w:val="24"/>
          <w:szCs w:val="24"/>
        </w:rPr>
        <w:t xml:space="preserve">Another difference between the two academics </w:t>
      </w:r>
      <w:r w:rsidR="00F21028">
        <w:rPr>
          <w:rFonts w:ascii="Times New Roman" w:hAnsi="Times New Roman" w:cs="Times New Roman"/>
          <w:sz w:val="24"/>
          <w:szCs w:val="24"/>
        </w:rPr>
        <w:t>regards to</w:t>
      </w:r>
      <w:r w:rsidR="00AE5C05">
        <w:rPr>
          <w:rFonts w:ascii="Times New Roman" w:hAnsi="Times New Roman" w:cs="Times New Roman"/>
          <w:sz w:val="24"/>
          <w:szCs w:val="24"/>
        </w:rPr>
        <w:t xml:space="preserve"> their </w:t>
      </w:r>
      <w:r w:rsidR="00F21028">
        <w:rPr>
          <w:rFonts w:ascii="Times New Roman" w:hAnsi="Times New Roman" w:cs="Times New Roman"/>
          <w:sz w:val="24"/>
          <w:szCs w:val="24"/>
        </w:rPr>
        <w:t xml:space="preserve">chosen </w:t>
      </w:r>
      <w:r w:rsidR="00AE5C05">
        <w:rPr>
          <w:rFonts w:ascii="Times New Roman" w:hAnsi="Times New Roman" w:cs="Times New Roman"/>
          <w:sz w:val="24"/>
          <w:szCs w:val="24"/>
        </w:rPr>
        <w:t>specialism</w:t>
      </w:r>
      <w:r w:rsidR="00F21028">
        <w:rPr>
          <w:rFonts w:ascii="Times New Roman" w:hAnsi="Times New Roman" w:cs="Times New Roman"/>
          <w:sz w:val="24"/>
          <w:szCs w:val="24"/>
        </w:rPr>
        <w:t>s.</w:t>
      </w:r>
      <w:r w:rsidRPr="006131C8">
        <w:rPr>
          <w:rFonts w:ascii="Times New Roman" w:hAnsi="Times New Roman" w:cs="Times New Roman"/>
          <w:sz w:val="24"/>
          <w:szCs w:val="24"/>
        </w:rPr>
        <w:t xml:space="preserve"> Durkheim is a sociologist</w:t>
      </w:r>
      <w:r w:rsidR="00AE5C05">
        <w:rPr>
          <w:rFonts w:ascii="Times New Roman" w:hAnsi="Times New Roman" w:cs="Times New Roman"/>
          <w:sz w:val="24"/>
          <w:szCs w:val="24"/>
        </w:rPr>
        <w:t>, a natural critic of all elements of society and</w:t>
      </w:r>
      <w:r w:rsidRPr="006131C8">
        <w:rPr>
          <w:rFonts w:ascii="Times New Roman" w:hAnsi="Times New Roman" w:cs="Times New Roman"/>
          <w:sz w:val="24"/>
          <w:szCs w:val="24"/>
        </w:rPr>
        <w:t xml:space="preserve"> does not solely focus on religion unlike that of Eliade. </w:t>
      </w:r>
      <w:r w:rsidR="00AE5C05">
        <w:rPr>
          <w:rFonts w:ascii="Times New Roman" w:hAnsi="Times New Roman" w:cs="Times New Roman"/>
          <w:sz w:val="24"/>
          <w:szCs w:val="24"/>
        </w:rPr>
        <w:t>Eliade</w:t>
      </w:r>
      <w:r w:rsidR="00F21028">
        <w:rPr>
          <w:rFonts w:ascii="Times New Roman" w:hAnsi="Times New Roman" w:cs="Times New Roman"/>
          <w:sz w:val="24"/>
          <w:szCs w:val="24"/>
        </w:rPr>
        <w:t>, on the other hand,</w:t>
      </w:r>
      <w:r w:rsidR="00AE5C05">
        <w:rPr>
          <w:rFonts w:ascii="Times New Roman" w:hAnsi="Times New Roman" w:cs="Times New Roman"/>
          <w:sz w:val="24"/>
          <w:szCs w:val="24"/>
        </w:rPr>
        <w:t xml:space="preserve"> was a teacher of religious studies and made this subject his life’s work. If the topic of concern was their religious knowledge alone, then it</w:t>
      </w:r>
      <w:r w:rsidRPr="006131C8">
        <w:rPr>
          <w:rFonts w:ascii="Times New Roman" w:hAnsi="Times New Roman" w:cs="Times New Roman"/>
          <w:sz w:val="24"/>
          <w:szCs w:val="24"/>
        </w:rPr>
        <w:t xml:space="preserve"> could be argued that Eliade </w:t>
      </w:r>
      <w:r w:rsidR="00A63B06" w:rsidRPr="006131C8">
        <w:rPr>
          <w:rFonts w:ascii="Times New Roman" w:hAnsi="Times New Roman" w:cs="Times New Roman"/>
          <w:sz w:val="24"/>
          <w:szCs w:val="24"/>
        </w:rPr>
        <w:t xml:space="preserve">has had more experience with religion such as eastern </w:t>
      </w:r>
      <w:r w:rsidR="006131C8">
        <w:rPr>
          <w:rFonts w:ascii="Times New Roman" w:hAnsi="Times New Roman" w:cs="Times New Roman"/>
          <w:sz w:val="24"/>
          <w:szCs w:val="24"/>
        </w:rPr>
        <w:t xml:space="preserve">Christian </w:t>
      </w:r>
      <w:r w:rsidR="00A63B06" w:rsidRPr="006131C8">
        <w:rPr>
          <w:rFonts w:ascii="Times New Roman" w:hAnsi="Times New Roman" w:cs="Times New Roman"/>
          <w:sz w:val="24"/>
          <w:szCs w:val="24"/>
        </w:rPr>
        <w:t>orthodox</w:t>
      </w:r>
      <w:r w:rsidR="006131C8">
        <w:rPr>
          <w:rFonts w:ascii="Times New Roman" w:hAnsi="Times New Roman" w:cs="Times New Roman"/>
          <w:sz w:val="24"/>
          <w:szCs w:val="24"/>
        </w:rPr>
        <w:t>y</w:t>
      </w:r>
      <w:r w:rsidR="006131C8">
        <w:rPr>
          <w:rStyle w:val="FootnoteReference"/>
          <w:rFonts w:ascii="Times New Roman" w:hAnsi="Times New Roman" w:cs="Times New Roman"/>
          <w:sz w:val="24"/>
          <w:szCs w:val="24"/>
        </w:rPr>
        <w:footnoteReference w:id="37"/>
      </w:r>
      <w:r w:rsidR="00A63B06" w:rsidRPr="006131C8">
        <w:rPr>
          <w:rFonts w:ascii="Times New Roman" w:hAnsi="Times New Roman" w:cs="Times New Roman"/>
          <w:sz w:val="24"/>
          <w:szCs w:val="24"/>
        </w:rPr>
        <w:t xml:space="preserve"> and the religions of India.</w:t>
      </w:r>
      <w:r w:rsidR="000A6EDE">
        <w:rPr>
          <w:rStyle w:val="FootnoteReference"/>
          <w:rFonts w:ascii="Times New Roman" w:hAnsi="Times New Roman" w:cs="Times New Roman"/>
          <w:sz w:val="24"/>
          <w:szCs w:val="24"/>
        </w:rPr>
        <w:footnoteReference w:id="38"/>
      </w:r>
    </w:p>
    <w:p w14:paraId="4C7017F6" w14:textId="073AEDB4" w:rsidR="00040B22" w:rsidRDefault="007C0F1C" w:rsidP="00AF42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significant similarity between the work of Durkheim and Eliade is the terminology that they both used. Durkheim used the words ‘sacred’ and ‘profane’ </w:t>
      </w:r>
      <w:r w:rsidR="00A56543">
        <w:rPr>
          <w:rFonts w:ascii="Times New Roman" w:hAnsi="Times New Roman" w:cs="Times New Roman"/>
          <w:sz w:val="24"/>
          <w:szCs w:val="24"/>
        </w:rPr>
        <w:t xml:space="preserve">in his work and these terms were </w:t>
      </w:r>
      <w:r w:rsidR="00A56543">
        <w:rPr>
          <w:rFonts w:ascii="Times New Roman" w:hAnsi="Times New Roman" w:cs="Times New Roman"/>
          <w:sz w:val="24"/>
          <w:szCs w:val="24"/>
        </w:rPr>
        <w:lastRenderedPageBreak/>
        <w:t>repeated by Eliade. There is no evidence to</w:t>
      </w:r>
      <w:r w:rsidR="00745EBC">
        <w:rPr>
          <w:rFonts w:ascii="Times New Roman" w:hAnsi="Times New Roman" w:cs="Times New Roman"/>
          <w:sz w:val="24"/>
          <w:szCs w:val="24"/>
        </w:rPr>
        <w:t xml:space="preserve"> be found in the works of Eliade referring to </w:t>
      </w:r>
      <w:r w:rsidR="008118CC">
        <w:rPr>
          <w:rFonts w:ascii="Times New Roman" w:hAnsi="Times New Roman" w:cs="Times New Roman"/>
          <w:sz w:val="24"/>
          <w:szCs w:val="24"/>
        </w:rPr>
        <w:t>Durkheim</w:t>
      </w:r>
      <w:r w:rsidR="00745EBC">
        <w:rPr>
          <w:rFonts w:ascii="Times New Roman" w:hAnsi="Times New Roman" w:cs="Times New Roman"/>
          <w:sz w:val="24"/>
          <w:szCs w:val="24"/>
        </w:rPr>
        <w:t>,</w:t>
      </w:r>
      <w:r w:rsidR="00427A11">
        <w:rPr>
          <w:rFonts w:ascii="Times New Roman" w:hAnsi="Times New Roman" w:cs="Times New Roman"/>
          <w:sz w:val="24"/>
          <w:szCs w:val="24"/>
        </w:rPr>
        <w:t xml:space="preserve"> </w:t>
      </w:r>
      <w:r w:rsidR="008118CC">
        <w:rPr>
          <w:rFonts w:ascii="Times New Roman" w:hAnsi="Times New Roman" w:cs="Times New Roman"/>
          <w:sz w:val="24"/>
          <w:szCs w:val="24"/>
        </w:rPr>
        <w:t xml:space="preserve">however, </w:t>
      </w:r>
      <w:r w:rsidR="00745EBC">
        <w:rPr>
          <w:rFonts w:ascii="Times New Roman" w:hAnsi="Times New Roman" w:cs="Times New Roman"/>
          <w:sz w:val="24"/>
          <w:szCs w:val="24"/>
        </w:rPr>
        <w:t xml:space="preserve">it is </w:t>
      </w:r>
      <w:r w:rsidR="008118CC">
        <w:rPr>
          <w:rFonts w:ascii="Times New Roman" w:hAnsi="Times New Roman" w:cs="Times New Roman"/>
          <w:sz w:val="24"/>
          <w:szCs w:val="24"/>
        </w:rPr>
        <w:t>evident that Eliade was taking some influence from Rudolf Otto and potentially building upon his concepts.</w:t>
      </w:r>
      <w:r w:rsidR="008118CC">
        <w:rPr>
          <w:rStyle w:val="FootnoteReference"/>
          <w:rFonts w:ascii="Times New Roman" w:hAnsi="Times New Roman" w:cs="Times New Roman"/>
          <w:sz w:val="24"/>
          <w:szCs w:val="24"/>
        </w:rPr>
        <w:footnoteReference w:id="39"/>
      </w:r>
      <w:r w:rsidR="00A56543">
        <w:rPr>
          <w:rFonts w:ascii="Times New Roman" w:hAnsi="Times New Roman" w:cs="Times New Roman"/>
          <w:sz w:val="24"/>
          <w:szCs w:val="24"/>
        </w:rPr>
        <w:t xml:space="preserve"> </w:t>
      </w:r>
      <w:r w:rsidR="00745EBC">
        <w:rPr>
          <w:rFonts w:ascii="Times New Roman" w:hAnsi="Times New Roman" w:cs="Times New Roman"/>
          <w:sz w:val="24"/>
          <w:szCs w:val="24"/>
        </w:rPr>
        <w:t xml:space="preserve">Rudolf Otto </w:t>
      </w:r>
      <w:r w:rsidR="00902935">
        <w:rPr>
          <w:rFonts w:ascii="Times New Roman" w:hAnsi="Times New Roman" w:cs="Times New Roman"/>
          <w:sz w:val="24"/>
          <w:szCs w:val="24"/>
        </w:rPr>
        <w:t>was one of the earliest academics to define ‘sacred’</w:t>
      </w:r>
      <w:r w:rsidR="00902935">
        <w:rPr>
          <w:rStyle w:val="FootnoteReference"/>
          <w:rFonts w:ascii="Times New Roman" w:hAnsi="Times New Roman" w:cs="Times New Roman"/>
          <w:sz w:val="24"/>
          <w:szCs w:val="24"/>
        </w:rPr>
        <w:footnoteReference w:id="40"/>
      </w:r>
      <w:r w:rsidR="00902935">
        <w:rPr>
          <w:rFonts w:ascii="Times New Roman" w:hAnsi="Times New Roman" w:cs="Times New Roman"/>
          <w:sz w:val="24"/>
          <w:szCs w:val="24"/>
        </w:rPr>
        <w:t xml:space="preserve"> and he believed that the sacred was a mysterious awe-inspiring personal experience </w:t>
      </w:r>
      <w:r w:rsidR="00040B22">
        <w:rPr>
          <w:rFonts w:ascii="Times New Roman" w:hAnsi="Times New Roman" w:cs="Times New Roman"/>
          <w:sz w:val="24"/>
          <w:szCs w:val="24"/>
        </w:rPr>
        <w:t>which he described as “numinous”, meaning ‘divine will’.</w:t>
      </w:r>
      <w:r w:rsidR="00040B22">
        <w:rPr>
          <w:rStyle w:val="FootnoteReference"/>
          <w:rFonts w:ascii="Times New Roman" w:hAnsi="Times New Roman" w:cs="Times New Roman"/>
          <w:sz w:val="24"/>
          <w:szCs w:val="24"/>
        </w:rPr>
        <w:footnoteReference w:id="41"/>
      </w:r>
      <w:r w:rsidR="00040B22">
        <w:rPr>
          <w:rFonts w:ascii="Times New Roman" w:hAnsi="Times New Roman" w:cs="Times New Roman"/>
          <w:sz w:val="24"/>
          <w:szCs w:val="24"/>
        </w:rPr>
        <w:t xml:space="preserve"> Otto claimed that the ‘numinous’ consisted of three components, the first being </w:t>
      </w:r>
      <w:proofErr w:type="spellStart"/>
      <w:r w:rsidR="00040B22">
        <w:rPr>
          <w:rFonts w:ascii="Times New Roman" w:hAnsi="Times New Roman" w:cs="Times New Roman"/>
          <w:i/>
          <w:iCs/>
          <w:sz w:val="24"/>
          <w:szCs w:val="24"/>
        </w:rPr>
        <w:t>mysterium</w:t>
      </w:r>
      <w:proofErr w:type="spellEnd"/>
      <w:r w:rsidR="00040B22">
        <w:rPr>
          <w:rFonts w:ascii="Times New Roman" w:hAnsi="Times New Roman" w:cs="Times New Roman"/>
          <w:i/>
          <w:iCs/>
          <w:sz w:val="24"/>
          <w:szCs w:val="24"/>
        </w:rPr>
        <w:t xml:space="preserve"> </w:t>
      </w:r>
      <w:proofErr w:type="spellStart"/>
      <w:r w:rsidR="00040B22">
        <w:rPr>
          <w:rFonts w:ascii="Times New Roman" w:hAnsi="Times New Roman" w:cs="Times New Roman"/>
          <w:i/>
          <w:iCs/>
          <w:sz w:val="24"/>
          <w:szCs w:val="24"/>
        </w:rPr>
        <w:t>tremendum</w:t>
      </w:r>
      <w:proofErr w:type="spellEnd"/>
      <w:r w:rsidR="00040B22">
        <w:rPr>
          <w:rFonts w:ascii="Times New Roman" w:hAnsi="Times New Roman" w:cs="Times New Roman"/>
          <w:i/>
          <w:iCs/>
          <w:sz w:val="24"/>
          <w:szCs w:val="24"/>
        </w:rPr>
        <w:t xml:space="preserve"> et </w:t>
      </w:r>
      <w:proofErr w:type="spellStart"/>
      <w:r w:rsidR="00040B22">
        <w:rPr>
          <w:rFonts w:ascii="Times New Roman" w:hAnsi="Times New Roman" w:cs="Times New Roman"/>
          <w:i/>
          <w:iCs/>
          <w:sz w:val="24"/>
          <w:szCs w:val="24"/>
        </w:rPr>
        <w:t>fascinans</w:t>
      </w:r>
      <w:proofErr w:type="spellEnd"/>
      <w:r w:rsidR="00040B22">
        <w:rPr>
          <w:rFonts w:ascii="Times New Roman" w:hAnsi="Times New Roman" w:cs="Times New Roman"/>
          <w:i/>
          <w:iCs/>
          <w:sz w:val="24"/>
          <w:szCs w:val="24"/>
        </w:rPr>
        <w:t xml:space="preserve"> </w:t>
      </w:r>
      <w:r w:rsidR="00040B22">
        <w:rPr>
          <w:rFonts w:ascii="Times New Roman" w:hAnsi="Times New Roman" w:cs="Times New Roman"/>
          <w:sz w:val="24"/>
          <w:szCs w:val="24"/>
        </w:rPr>
        <w:t xml:space="preserve">which evokes a reaction of silence, </w:t>
      </w:r>
      <w:proofErr w:type="spellStart"/>
      <w:r w:rsidR="00040B22">
        <w:rPr>
          <w:rFonts w:ascii="Times New Roman" w:hAnsi="Times New Roman" w:cs="Times New Roman"/>
          <w:i/>
          <w:iCs/>
          <w:sz w:val="24"/>
          <w:szCs w:val="24"/>
        </w:rPr>
        <w:t>mysterium</w:t>
      </w:r>
      <w:proofErr w:type="spellEnd"/>
      <w:r w:rsidR="00040B22">
        <w:rPr>
          <w:rFonts w:ascii="Times New Roman" w:hAnsi="Times New Roman" w:cs="Times New Roman"/>
          <w:i/>
          <w:iCs/>
          <w:sz w:val="24"/>
          <w:szCs w:val="24"/>
        </w:rPr>
        <w:t xml:space="preserve"> </w:t>
      </w:r>
      <w:proofErr w:type="spellStart"/>
      <w:r w:rsidR="00040B22">
        <w:rPr>
          <w:rFonts w:ascii="Times New Roman" w:hAnsi="Times New Roman" w:cs="Times New Roman"/>
          <w:i/>
          <w:iCs/>
          <w:sz w:val="24"/>
          <w:szCs w:val="24"/>
        </w:rPr>
        <w:t>tremendum</w:t>
      </w:r>
      <w:proofErr w:type="spellEnd"/>
      <w:r w:rsidR="00040B22">
        <w:rPr>
          <w:rFonts w:ascii="Times New Roman" w:hAnsi="Times New Roman" w:cs="Times New Roman"/>
          <w:i/>
          <w:iCs/>
          <w:sz w:val="24"/>
          <w:szCs w:val="24"/>
        </w:rPr>
        <w:t xml:space="preserve"> </w:t>
      </w:r>
      <w:r w:rsidR="00040B22">
        <w:rPr>
          <w:rFonts w:ascii="Times New Roman" w:hAnsi="Times New Roman" w:cs="Times New Roman"/>
          <w:sz w:val="24"/>
          <w:szCs w:val="24"/>
        </w:rPr>
        <w:t>that provokes terror</w:t>
      </w:r>
      <w:r w:rsidR="00090258">
        <w:rPr>
          <w:rFonts w:ascii="Times New Roman" w:hAnsi="Times New Roman" w:cs="Times New Roman"/>
          <w:sz w:val="24"/>
          <w:szCs w:val="24"/>
        </w:rPr>
        <w:t>,</w:t>
      </w:r>
      <w:r w:rsidR="00040B22">
        <w:rPr>
          <w:rFonts w:ascii="Times New Roman" w:hAnsi="Times New Roman" w:cs="Times New Roman"/>
          <w:sz w:val="24"/>
          <w:szCs w:val="24"/>
        </w:rPr>
        <w:t xml:space="preserve"> and lastly, </w:t>
      </w:r>
      <w:proofErr w:type="spellStart"/>
      <w:r w:rsidR="00040B22">
        <w:rPr>
          <w:rFonts w:ascii="Times New Roman" w:hAnsi="Times New Roman" w:cs="Times New Roman"/>
          <w:i/>
          <w:iCs/>
          <w:sz w:val="24"/>
          <w:szCs w:val="24"/>
        </w:rPr>
        <w:t>fascinans</w:t>
      </w:r>
      <w:proofErr w:type="spellEnd"/>
      <w:r w:rsidR="00040B22">
        <w:rPr>
          <w:rFonts w:ascii="Times New Roman" w:hAnsi="Times New Roman" w:cs="Times New Roman"/>
          <w:sz w:val="24"/>
          <w:szCs w:val="24"/>
        </w:rPr>
        <w:t xml:space="preserve"> which refers to merciful and grace.</w:t>
      </w:r>
      <w:r w:rsidR="00040B22">
        <w:rPr>
          <w:rStyle w:val="FootnoteReference"/>
          <w:rFonts w:ascii="Times New Roman" w:hAnsi="Times New Roman" w:cs="Times New Roman"/>
          <w:sz w:val="24"/>
          <w:szCs w:val="24"/>
        </w:rPr>
        <w:footnoteReference w:id="42"/>
      </w:r>
      <w:r w:rsidR="00285093">
        <w:rPr>
          <w:rFonts w:ascii="Times New Roman" w:hAnsi="Times New Roman" w:cs="Times New Roman"/>
          <w:sz w:val="24"/>
          <w:szCs w:val="24"/>
        </w:rPr>
        <w:t xml:space="preserve"> Durkheim talking about people of the past states “Nature was for them the great surprise and the great fear, it was a permanent marvel and a permanent miracle”.</w:t>
      </w:r>
      <w:r w:rsidR="00285093">
        <w:rPr>
          <w:rStyle w:val="FootnoteReference"/>
          <w:rFonts w:ascii="Times New Roman" w:hAnsi="Times New Roman" w:cs="Times New Roman"/>
          <w:sz w:val="24"/>
          <w:szCs w:val="24"/>
        </w:rPr>
        <w:footnoteReference w:id="43"/>
      </w:r>
      <w:r w:rsidR="00285093">
        <w:rPr>
          <w:rFonts w:ascii="Times New Roman" w:hAnsi="Times New Roman" w:cs="Times New Roman"/>
          <w:sz w:val="24"/>
          <w:szCs w:val="24"/>
        </w:rPr>
        <w:t xml:space="preserve"> </w:t>
      </w:r>
      <w:r w:rsidR="00285093" w:rsidRPr="00EF2463">
        <w:rPr>
          <w:rFonts w:ascii="Times New Roman" w:hAnsi="Times New Roman" w:cs="Times New Roman"/>
          <w:sz w:val="24"/>
          <w:szCs w:val="24"/>
        </w:rPr>
        <w:t xml:space="preserve">This quote relates to Otto’s concept of numinous, however Durkheim’s </w:t>
      </w:r>
      <w:r w:rsidR="008F33CB" w:rsidRPr="00EF2463">
        <w:rPr>
          <w:rFonts w:ascii="Times New Roman" w:hAnsi="Times New Roman" w:cs="Times New Roman"/>
          <w:sz w:val="24"/>
          <w:szCs w:val="24"/>
        </w:rPr>
        <w:t>opinion</w:t>
      </w:r>
      <w:r w:rsidR="00285093" w:rsidRPr="00EF2463">
        <w:rPr>
          <w:rFonts w:ascii="Times New Roman" w:hAnsi="Times New Roman" w:cs="Times New Roman"/>
          <w:sz w:val="24"/>
          <w:szCs w:val="24"/>
        </w:rPr>
        <w:t xml:space="preserve"> </w:t>
      </w:r>
      <w:r w:rsidR="00EF2463" w:rsidRPr="00EF2463">
        <w:rPr>
          <w:rFonts w:ascii="Times New Roman" w:hAnsi="Times New Roman" w:cs="Times New Roman"/>
          <w:sz w:val="24"/>
          <w:szCs w:val="24"/>
        </w:rPr>
        <w:t xml:space="preserve">is different as he refers to the psychological factors </w:t>
      </w:r>
      <w:r w:rsidR="000A107C">
        <w:rPr>
          <w:rFonts w:ascii="Times New Roman" w:hAnsi="Times New Roman" w:cs="Times New Roman"/>
          <w:sz w:val="24"/>
          <w:szCs w:val="24"/>
        </w:rPr>
        <w:t>that</w:t>
      </w:r>
      <w:r w:rsidR="00EF2463" w:rsidRPr="00EF2463">
        <w:rPr>
          <w:rFonts w:ascii="Times New Roman" w:hAnsi="Times New Roman" w:cs="Times New Roman"/>
          <w:sz w:val="24"/>
          <w:szCs w:val="24"/>
        </w:rPr>
        <w:t xml:space="preserve"> a place can instill in a human. </w:t>
      </w:r>
      <w:r w:rsidR="000A107C">
        <w:rPr>
          <w:rFonts w:ascii="Times New Roman" w:hAnsi="Times New Roman" w:cs="Times New Roman"/>
          <w:sz w:val="24"/>
          <w:szCs w:val="24"/>
        </w:rPr>
        <w:t xml:space="preserve">This form of experiencing a specific place was discussed by </w:t>
      </w:r>
      <w:proofErr w:type="spellStart"/>
      <w:r w:rsidR="000A107C">
        <w:rPr>
          <w:rFonts w:ascii="Times New Roman" w:hAnsi="Times New Roman" w:cs="Times New Roman"/>
          <w:sz w:val="24"/>
          <w:szCs w:val="24"/>
        </w:rPr>
        <w:t>Ahava</w:t>
      </w:r>
      <w:proofErr w:type="spellEnd"/>
      <w:r w:rsidR="000A107C">
        <w:rPr>
          <w:rFonts w:ascii="Times New Roman" w:hAnsi="Times New Roman" w:cs="Times New Roman"/>
          <w:sz w:val="24"/>
          <w:szCs w:val="24"/>
        </w:rPr>
        <w:t xml:space="preserve"> and </w:t>
      </w:r>
      <w:proofErr w:type="spellStart"/>
      <w:r w:rsidR="000A107C">
        <w:rPr>
          <w:rFonts w:ascii="Times New Roman" w:hAnsi="Times New Roman" w:cs="Times New Roman"/>
          <w:sz w:val="24"/>
          <w:szCs w:val="24"/>
        </w:rPr>
        <w:t>Buccella</w:t>
      </w:r>
      <w:proofErr w:type="spellEnd"/>
      <w:r w:rsidR="000A107C">
        <w:rPr>
          <w:rFonts w:ascii="Times New Roman" w:hAnsi="Times New Roman" w:cs="Times New Roman"/>
          <w:sz w:val="24"/>
          <w:szCs w:val="24"/>
        </w:rPr>
        <w:t xml:space="preserve"> who share Durkheim’s views.</w:t>
      </w:r>
      <w:r w:rsidR="000A107C">
        <w:rPr>
          <w:rStyle w:val="FootnoteReference"/>
          <w:rFonts w:ascii="Times New Roman" w:hAnsi="Times New Roman" w:cs="Times New Roman"/>
          <w:sz w:val="24"/>
          <w:szCs w:val="24"/>
        </w:rPr>
        <w:footnoteReference w:id="44"/>
      </w:r>
      <w:r w:rsidR="000A107C">
        <w:rPr>
          <w:rFonts w:ascii="Times New Roman" w:hAnsi="Times New Roman" w:cs="Times New Roman"/>
          <w:sz w:val="24"/>
          <w:szCs w:val="24"/>
        </w:rPr>
        <w:t xml:space="preserve"> </w:t>
      </w:r>
      <w:r w:rsidR="00EF2463" w:rsidRPr="00EF2463">
        <w:rPr>
          <w:rFonts w:ascii="Times New Roman" w:hAnsi="Times New Roman" w:cs="Times New Roman"/>
          <w:sz w:val="24"/>
          <w:szCs w:val="24"/>
        </w:rPr>
        <w:t>Otto</w:t>
      </w:r>
      <w:r w:rsidR="008C5040">
        <w:rPr>
          <w:rFonts w:ascii="Times New Roman" w:hAnsi="Times New Roman" w:cs="Times New Roman"/>
          <w:sz w:val="24"/>
          <w:szCs w:val="24"/>
        </w:rPr>
        <w:t>,</w:t>
      </w:r>
      <w:r w:rsidR="00EF2463" w:rsidRPr="00EF2463">
        <w:rPr>
          <w:rFonts w:ascii="Times New Roman" w:hAnsi="Times New Roman" w:cs="Times New Roman"/>
          <w:sz w:val="24"/>
          <w:szCs w:val="24"/>
        </w:rPr>
        <w:t xml:space="preserve"> on the other hand</w:t>
      </w:r>
      <w:r w:rsidR="008C5040">
        <w:rPr>
          <w:rFonts w:ascii="Times New Roman" w:hAnsi="Times New Roman" w:cs="Times New Roman"/>
          <w:sz w:val="24"/>
          <w:szCs w:val="24"/>
        </w:rPr>
        <w:t>,</w:t>
      </w:r>
      <w:r w:rsidR="00EF2463" w:rsidRPr="00EF2463">
        <w:rPr>
          <w:rFonts w:ascii="Times New Roman" w:hAnsi="Times New Roman" w:cs="Times New Roman"/>
          <w:sz w:val="24"/>
          <w:szCs w:val="24"/>
        </w:rPr>
        <w:t xml:space="preserve"> is discussing the immediate emotions of someone witnessing the divine. </w:t>
      </w:r>
    </w:p>
    <w:p w14:paraId="1314964A" w14:textId="17D64511" w:rsidR="000A107C" w:rsidRDefault="00DD15D6" w:rsidP="00AF424A">
      <w:pPr>
        <w:spacing w:line="360" w:lineRule="auto"/>
        <w:jc w:val="both"/>
        <w:rPr>
          <w:rFonts w:ascii="Times New Roman" w:hAnsi="Times New Roman" w:cs="Times New Roman"/>
          <w:sz w:val="24"/>
          <w:szCs w:val="24"/>
        </w:rPr>
      </w:pPr>
      <w:r w:rsidRPr="008F33CB">
        <w:rPr>
          <w:rFonts w:ascii="Times New Roman" w:hAnsi="Times New Roman" w:cs="Times New Roman"/>
          <w:sz w:val="24"/>
          <w:szCs w:val="24"/>
        </w:rPr>
        <w:t>The academic Belden</w:t>
      </w:r>
      <w:r w:rsidR="001B461A">
        <w:rPr>
          <w:rFonts w:ascii="Times New Roman" w:hAnsi="Times New Roman" w:cs="Times New Roman"/>
          <w:sz w:val="24"/>
          <w:szCs w:val="24"/>
        </w:rPr>
        <w:t xml:space="preserve"> C.</w:t>
      </w:r>
      <w:r w:rsidRPr="008F33CB">
        <w:rPr>
          <w:rFonts w:ascii="Times New Roman" w:hAnsi="Times New Roman" w:cs="Times New Roman"/>
          <w:sz w:val="24"/>
          <w:szCs w:val="24"/>
        </w:rPr>
        <w:t xml:space="preserve"> Lane</w:t>
      </w:r>
      <w:r w:rsidR="006D3CF5" w:rsidRPr="008F33CB">
        <w:rPr>
          <w:rFonts w:ascii="Times New Roman" w:hAnsi="Times New Roman" w:cs="Times New Roman"/>
          <w:sz w:val="24"/>
          <w:szCs w:val="24"/>
        </w:rPr>
        <w:t xml:space="preserve"> offers a compromise </w:t>
      </w:r>
      <w:r w:rsidR="008F33CB" w:rsidRPr="008F33CB">
        <w:rPr>
          <w:rFonts w:ascii="Times New Roman" w:hAnsi="Times New Roman" w:cs="Times New Roman"/>
          <w:sz w:val="24"/>
          <w:szCs w:val="24"/>
        </w:rPr>
        <w:t>between</w:t>
      </w:r>
      <w:r w:rsidR="006D3CF5" w:rsidRPr="008F33CB">
        <w:rPr>
          <w:rFonts w:ascii="Times New Roman" w:hAnsi="Times New Roman" w:cs="Times New Roman"/>
          <w:sz w:val="24"/>
          <w:szCs w:val="24"/>
        </w:rPr>
        <w:t xml:space="preserve"> Durkheim and Eliade as he suggests that a sacred place </w:t>
      </w:r>
      <w:r>
        <w:rPr>
          <w:rFonts w:ascii="Times New Roman" w:hAnsi="Times New Roman" w:cs="Times New Roman"/>
          <w:sz w:val="24"/>
          <w:szCs w:val="24"/>
        </w:rPr>
        <w:t>could be “tread upon without being entered”</w:t>
      </w:r>
      <w:r w:rsidR="000A6EDE">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meaning that a sacred space may be the result of a </w:t>
      </w:r>
      <w:proofErr w:type="spellStart"/>
      <w:r>
        <w:rPr>
          <w:rFonts w:ascii="Times New Roman" w:hAnsi="Times New Roman" w:cs="Times New Roman"/>
          <w:sz w:val="24"/>
          <w:szCs w:val="24"/>
        </w:rPr>
        <w:t>hierophany</w:t>
      </w:r>
      <w:proofErr w:type="spellEnd"/>
      <w:r>
        <w:rPr>
          <w:rFonts w:ascii="Times New Roman" w:hAnsi="Times New Roman" w:cs="Times New Roman"/>
          <w:sz w:val="24"/>
          <w:szCs w:val="24"/>
        </w:rPr>
        <w:t xml:space="preserve">, but the willingness to enter such a space would be based on human psychology. </w:t>
      </w:r>
      <w:r w:rsidR="001B461A">
        <w:rPr>
          <w:rFonts w:ascii="Times New Roman" w:hAnsi="Times New Roman" w:cs="Times New Roman"/>
          <w:sz w:val="24"/>
          <w:szCs w:val="24"/>
        </w:rPr>
        <w:t>This would also imply that a sacred space may be considered as sacred to a group of people or person</w:t>
      </w:r>
      <w:r w:rsidR="00EC026A">
        <w:rPr>
          <w:rFonts w:ascii="Times New Roman" w:hAnsi="Times New Roman" w:cs="Times New Roman"/>
          <w:sz w:val="24"/>
          <w:szCs w:val="24"/>
        </w:rPr>
        <w:t>, but</w:t>
      </w:r>
      <w:r w:rsidR="001B461A">
        <w:rPr>
          <w:rFonts w:ascii="Times New Roman" w:hAnsi="Times New Roman" w:cs="Times New Roman"/>
          <w:sz w:val="24"/>
          <w:szCs w:val="24"/>
        </w:rPr>
        <w:t xml:space="preserve"> not</w:t>
      </w:r>
      <w:r w:rsidR="00EC026A">
        <w:rPr>
          <w:rFonts w:ascii="Times New Roman" w:hAnsi="Times New Roman" w:cs="Times New Roman"/>
          <w:sz w:val="24"/>
          <w:szCs w:val="24"/>
        </w:rPr>
        <w:t xml:space="preserve"> to</w:t>
      </w:r>
      <w:r w:rsidR="001B461A">
        <w:rPr>
          <w:rFonts w:ascii="Times New Roman" w:hAnsi="Times New Roman" w:cs="Times New Roman"/>
          <w:sz w:val="24"/>
          <w:szCs w:val="24"/>
        </w:rPr>
        <w:t xml:space="preserve"> another. Lastly, Lane</w:t>
      </w:r>
      <w:r w:rsidR="0001495D">
        <w:rPr>
          <w:rFonts w:ascii="Times New Roman" w:hAnsi="Times New Roman" w:cs="Times New Roman"/>
          <w:sz w:val="24"/>
          <w:szCs w:val="24"/>
        </w:rPr>
        <w:t xml:space="preserve"> believes that a sacred space is not chosen by humans but the divine chooses a specific place to reveal itself and humans maintain that location</w:t>
      </w:r>
      <w:r w:rsidR="005D57C6">
        <w:rPr>
          <w:rStyle w:val="FootnoteReference"/>
          <w:rFonts w:ascii="Times New Roman" w:hAnsi="Times New Roman" w:cs="Times New Roman"/>
          <w:sz w:val="24"/>
          <w:szCs w:val="24"/>
        </w:rPr>
        <w:footnoteReference w:id="46"/>
      </w:r>
      <w:r w:rsidR="0001495D">
        <w:rPr>
          <w:rFonts w:ascii="Times New Roman" w:hAnsi="Times New Roman" w:cs="Times New Roman"/>
          <w:sz w:val="24"/>
          <w:szCs w:val="24"/>
        </w:rPr>
        <w:t>.</w:t>
      </w:r>
      <w:r w:rsidR="005D57C6">
        <w:rPr>
          <w:rFonts w:ascii="Times New Roman" w:hAnsi="Times New Roman" w:cs="Times New Roman"/>
          <w:sz w:val="24"/>
          <w:szCs w:val="24"/>
        </w:rPr>
        <w:t xml:space="preserve"> </w:t>
      </w:r>
      <w:r>
        <w:rPr>
          <w:rFonts w:ascii="Times New Roman" w:hAnsi="Times New Roman" w:cs="Times New Roman"/>
          <w:sz w:val="24"/>
          <w:szCs w:val="24"/>
        </w:rPr>
        <w:t xml:space="preserve">It is therefore evident that Eliade and Durkheim’s views are placed together by Lane. On the other </w:t>
      </w:r>
      <w:r w:rsidR="00350B70">
        <w:rPr>
          <w:rFonts w:ascii="Times New Roman" w:hAnsi="Times New Roman" w:cs="Times New Roman"/>
          <w:sz w:val="24"/>
          <w:szCs w:val="24"/>
        </w:rPr>
        <w:t>hand,</w:t>
      </w:r>
      <w:r>
        <w:rPr>
          <w:rFonts w:ascii="Times New Roman" w:hAnsi="Times New Roman" w:cs="Times New Roman"/>
          <w:sz w:val="24"/>
          <w:szCs w:val="24"/>
        </w:rPr>
        <w:t xml:space="preserve"> however, Lane also believes that a place can be considered </w:t>
      </w:r>
      <w:r w:rsidR="001B461A">
        <w:rPr>
          <w:rFonts w:ascii="Times New Roman" w:hAnsi="Times New Roman" w:cs="Times New Roman"/>
          <w:sz w:val="24"/>
          <w:szCs w:val="24"/>
        </w:rPr>
        <w:t>as</w:t>
      </w:r>
      <w:r>
        <w:rPr>
          <w:rFonts w:ascii="Times New Roman" w:hAnsi="Times New Roman" w:cs="Times New Roman"/>
          <w:sz w:val="24"/>
          <w:szCs w:val="24"/>
        </w:rPr>
        <w:t xml:space="preserve"> sacred depending on the </w:t>
      </w:r>
      <w:r>
        <w:rPr>
          <w:rFonts w:ascii="Times New Roman" w:hAnsi="Times New Roman" w:cs="Times New Roman"/>
          <w:sz w:val="24"/>
          <w:szCs w:val="24"/>
        </w:rPr>
        <w:lastRenderedPageBreak/>
        <w:t>number of stories there are about it</w:t>
      </w:r>
      <w:r>
        <w:rPr>
          <w:rStyle w:val="FootnoteReference"/>
          <w:rFonts w:ascii="Times New Roman" w:hAnsi="Times New Roman" w:cs="Times New Roman"/>
          <w:sz w:val="24"/>
          <w:szCs w:val="24"/>
        </w:rPr>
        <w:footnoteReference w:id="47"/>
      </w:r>
      <w:r w:rsidR="00350B70">
        <w:rPr>
          <w:rFonts w:ascii="Times New Roman" w:hAnsi="Times New Roman" w:cs="Times New Roman"/>
          <w:sz w:val="24"/>
          <w:szCs w:val="24"/>
        </w:rPr>
        <w:t>.</w:t>
      </w:r>
      <w:r>
        <w:rPr>
          <w:rFonts w:ascii="Times New Roman" w:hAnsi="Times New Roman" w:cs="Times New Roman"/>
          <w:sz w:val="24"/>
          <w:szCs w:val="24"/>
        </w:rPr>
        <w:t xml:space="preserve"> </w:t>
      </w:r>
      <w:r w:rsidR="00463D75">
        <w:rPr>
          <w:rFonts w:ascii="Times New Roman" w:hAnsi="Times New Roman" w:cs="Times New Roman"/>
          <w:sz w:val="24"/>
          <w:szCs w:val="24"/>
        </w:rPr>
        <w:t>This opinion was also shared by Christopher Tilley.</w:t>
      </w:r>
      <w:r w:rsidR="00463D75">
        <w:rPr>
          <w:rStyle w:val="FootnoteReference"/>
          <w:rFonts w:ascii="Times New Roman" w:hAnsi="Times New Roman" w:cs="Times New Roman"/>
          <w:sz w:val="24"/>
          <w:szCs w:val="24"/>
        </w:rPr>
        <w:footnoteReference w:id="48"/>
      </w:r>
      <w:r w:rsidR="00463D75">
        <w:rPr>
          <w:rFonts w:ascii="Times New Roman" w:hAnsi="Times New Roman" w:cs="Times New Roman"/>
          <w:sz w:val="24"/>
          <w:szCs w:val="24"/>
        </w:rPr>
        <w:t xml:space="preserve"> These </w:t>
      </w:r>
      <w:r w:rsidR="001B461A">
        <w:rPr>
          <w:rFonts w:ascii="Times New Roman" w:hAnsi="Times New Roman" w:cs="Times New Roman"/>
          <w:sz w:val="24"/>
          <w:szCs w:val="24"/>
        </w:rPr>
        <w:t>viewpoint</w:t>
      </w:r>
      <w:r w:rsidR="00463D75">
        <w:rPr>
          <w:rFonts w:ascii="Times New Roman" w:hAnsi="Times New Roman" w:cs="Times New Roman"/>
          <w:sz w:val="24"/>
          <w:szCs w:val="24"/>
        </w:rPr>
        <w:t xml:space="preserve">s are very </w:t>
      </w:r>
      <w:r w:rsidR="00463D75">
        <w:rPr>
          <w:rFonts w:ascii="Times New Roman" w:hAnsi="Times New Roman" w:cs="Times New Roman"/>
          <w:sz w:val="24"/>
          <w:szCs w:val="24"/>
        </w:rPr>
        <w:t>Durkheimian</w:t>
      </w:r>
      <w:r w:rsidR="001B461A">
        <w:rPr>
          <w:rFonts w:ascii="Times New Roman" w:hAnsi="Times New Roman" w:cs="Times New Roman"/>
          <w:sz w:val="24"/>
          <w:szCs w:val="24"/>
        </w:rPr>
        <w:t>,</w:t>
      </w:r>
      <w:r w:rsidR="00350B70">
        <w:rPr>
          <w:rFonts w:ascii="Times New Roman" w:hAnsi="Times New Roman" w:cs="Times New Roman"/>
          <w:sz w:val="24"/>
          <w:szCs w:val="24"/>
        </w:rPr>
        <w:t xml:space="preserve"> but </w:t>
      </w:r>
      <w:r w:rsidR="0001495D">
        <w:rPr>
          <w:rFonts w:ascii="Times New Roman" w:hAnsi="Times New Roman" w:cs="Times New Roman"/>
          <w:sz w:val="24"/>
          <w:szCs w:val="24"/>
        </w:rPr>
        <w:t xml:space="preserve">one could argue that this </w:t>
      </w:r>
      <w:r w:rsidR="00350B70">
        <w:rPr>
          <w:rFonts w:ascii="Times New Roman" w:hAnsi="Times New Roman" w:cs="Times New Roman"/>
          <w:sz w:val="24"/>
          <w:szCs w:val="24"/>
        </w:rPr>
        <w:t>does not neglect the idea that such stories may have initially originated from an experience of the divine</w:t>
      </w:r>
      <w:r>
        <w:rPr>
          <w:rFonts w:ascii="Times New Roman" w:hAnsi="Times New Roman" w:cs="Times New Roman"/>
          <w:sz w:val="24"/>
          <w:szCs w:val="24"/>
        </w:rPr>
        <w:t xml:space="preserve">. </w:t>
      </w:r>
      <w:r w:rsidR="008B64CE">
        <w:rPr>
          <w:rFonts w:ascii="Times New Roman" w:hAnsi="Times New Roman" w:cs="Times New Roman"/>
          <w:sz w:val="24"/>
          <w:szCs w:val="24"/>
        </w:rPr>
        <w:t xml:space="preserve">Another interesting compromise </w:t>
      </w:r>
      <w:r w:rsidR="00360EAA">
        <w:rPr>
          <w:rFonts w:ascii="Times New Roman" w:hAnsi="Times New Roman" w:cs="Times New Roman"/>
          <w:sz w:val="24"/>
          <w:szCs w:val="24"/>
        </w:rPr>
        <w:t xml:space="preserve">that </w:t>
      </w:r>
      <w:r w:rsidR="00360EAA">
        <w:rPr>
          <w:rFonts w:ascii="Times New Roman" w:hAnsi="Times New Roman" w:cs="Times New Roman"/>
          <w:sz w:val="24"/>
          <w:szCs w:val="24"/>
        </w:rPr>
        <w:t>shows a blend of Durkheim and Eliade’s views</w:t>
      </w:r>
      <w:r w:rsidR="00360EAA">
        <w:rPr>
          <w:rFonts w:ascii="Times New Roman" w:hAnsi="Times New Roman" w:cs="Times New Roman"/>
          <w:sz w:val="24"/>
          <w:szCs w:val="24"/>
        </w:rPr>
        <w:t xml:space="preserve"> </w:t>
      </w:r>
      <w:r w:rsidR="008B64CE">
        <w:rPr>
          <w:rFonts w:ascii="Times New Roman" w:hAnsi="Times New Roman" w:cs="Times New Roman"/>
          <w:sz w:val="24"/>
          <w:szCs w:val="24"/>
        </w:rPr>
        <w:t>comes from Christine Simmonds-Moore</w:t>
      </w:r>
      <w:r w:rsidR="00360EAA">
        <w:rPr>
          <w:rFonts w:ascii="Times New Roman" w:hAnsi="Times New Roman" w:cs="Times New Roman"/>
          <w:sz w:val="24"/>
          <w:szCs w:val="24"/>
        </w:rPr>
        <w:t>,</w:t>
      </w:r>
      <w:r w:rsidR="008B64CE">
        <w:rPr>
          <w:rFonts w:ascii="Times New Roman" w:hAnsi="Times New Roman" w:cs="Times New Roman"/>
          <w:sz w:val="24"/>
          <w:szCs w:val="24"/>
        </w:rPr>
        <w:t xml:space="preserve"> who suggested that spiritual experiences are a product of the environment and the conscious mind working together.</w:t>
      </w:r>
      <w:r w:rsidR="008B64CE">
        <w:rPr>
          <w:rStyle w:val="FootnoteReference"/>
          <w:rFonts w:ascii="Times New Roman" w:hAnsi="Times New Roman" w:cs="Times New Roman"/>
          <w:sz w:val="24"/>
          <w:szCs w:val="24"/>
        </w:rPr>
        <w:footnoteReference w:id="49"/>
      </w:r>
      <w:r w:rsidR="008B64CE">
        <w:rPr>
          <w:rFonts w:ascii="Times New Roman" w:hAnsi="Times New Roman" w:cs="Times New Roman"/>
          <w:sz w:val="24"/>
          <w:szCs w:val="24"/>
        </w:rPr>
        <w:t xml:space="preserve">  </w:t>
      </w:r>
    </w:p>
    <w:p w14:paraId="06B83CEE" w14:textId="6E7A65B0" w:rsidR="00B2762A" w:rsidRDefault="00B2762A" w:rsidP="00AF424A">
      <w:pPr>
        <w:spacing w:line="360" w:lineRule="auto"/>
        <w:jc w:val="both"/>
        <w:rPr>
          <w:rFonts w:ascii="Times New Roman" w:hAnsi="Times New Roman" w:cs="Times New Roman"/>
          <w:sz w:val="24"/>
          <w:szCs w:val="24"/>
        </w:rPr>
      </w:pPr>
      <w:r w:rsidRPr="00E251FE">
        <w:rPr>
          <w:rFonts w:ascii="Times New Roman" w:hAnsi="Times New Roman" w:cs="Times New Roman"/>
          <w:sz w:val="24"/>
          <w:szCs w:val="24"/>
        </w:rPr>
        <w:t xml:space="preserve">An interesting topic to discuss is the age of the two sources. </w:t>
      </w:r>
      <w:r w:rsidR="00E251FE" w:rsidRPr="00E251FE">
        <w:rPr>
          <w:rFonts w:ascii="Times New Roman" w:hAnsi="Times New Roman" w:cs="Times New Roman"/>
          <w:sz w:val="24"/>
          <w:szCs w:val="24"/>
        </w:rPr>
        <w:t>Durkheim’s</w:t>
      </w:r>
      <w:r w:rsidRPr="00E251FE">
        <w:rPr>
          <w:rFonts w:ascii="Times New Roman" w:hAnsi="Times New Roman" w:cs="Times New Roman"/>
          <w:sz w:val="24"/>
          <w:szCs w:val="24"/>
        </w:rPr>
        <w:t xml:space="preserve"> </w:t>
      </w:r>
      <w:r w:rsidR="00E251FE" w:rsidRPr="00E251FE">
        <w:rPr>
          <w:rFonts w:ascii="Times New Roman" w:hAnsi="Times New Roman" w:cs="Times New Roman"/>
          <w:i/>
          <w:iCs/>
          <w:sz w:val="24"/>
          <w:szCs w:val="24"/>
        </w:rPr>
        <w:t xml:space="preserve">The Elementary forms of Religious Life </w:t>
      </w:r>
      <w:r w:rsidRPr="00E251FE">
        <w:rPr>
          <w:rFonts w:ascii="Times New Roman" w:hAnsi="Times New Roman" w:cs="Times New Roman"/>
          <w:sz w:val="24"/>
          <w:szCs w:val="24"/>
        </w:rPr>
        <w:t>was published in 1912 and Eliade</w:t>
      </w:r>
      <w:r w:rsidR="00E251FE" w:rsidRPr="00E251FE">
        <w:rPr>
          <w:rFonts w:ascii="Times New Roman" w:hAnsi="Times New Roman" w:cs="Times New Roman"/>
          <w:sz w:val="24"/>
          <w:szCs w:val="24"/>
        </w:rPr>
        <w:t>’</w:t>
      </w:r>
      <w:r w:rsidRPr="00E251FE">
        <w:rPr>
          <w:rFonts w:ascii="Times New Roman" w:hAnsi="Times New Roman" w:cs="Times New Roman"/>
          <w:sz w:val="24"/>
          <w:szCs w:val="24"/>
        </w:rPr>
        <w:t xml:space="preserve">s </w:t>
      </w:r>
      <w:proofErr w:type="gramStart"/>
      <w:r w:rsidR="00E251FE" w:rsidRPr="00E251FE">
        <w:rPr>
          <w:rFonts w:ascii="Times New Roman" w:hAnsi="Times New Roman" w:cs="Times New Roman"/>
          <w:i/>
          <w:iCs/>
          <w:sz w:val="24"/>
          <w:szCs w:val="24"/>
        </w:rPr>
        <w:t>The</w:t>
      </w:r>
      <w:proofErr w:type="gramEnd"/>
      <w:r w:rsidR="00E251FE" w:rsidRPr="00E251FE">
        <w:rPr>
          <w:rFonts w:ascii="Times New Roman" w:hAnsi="Times New Roman" w:cs="Times New Roman"/>
          <w:i/>
          <w:iCs/>
          <w:sz w:val="24"/>
          <w:szCs w:val="24"/>
        </w:rPr>
        <w:t xml:space="preserve"> Sacred and the Profane </w:t>
      </w:r>
      <w:r w:rsidRPr="00E251FE">
        <w:rPr>
          <w:rFonts w:ascii="Times New Roman" w:hAnsi="Times New Roman" w:cs="Times New Roman"/>
          <w:sz w:val="24"/>
          <w:szCs w:val="24"/>
        </w:rPr>
        <w:t xml:space="preserve">was published in 1957. Although aged far apart, society is no longer how it was in both of those eras meaning that </w:t>
      </w:r>
      <w:r w:rsidR="00E251FE" w:rsidRPr="00E251FE">
        <w:rPr>
          <w:rFonts w:ascii="Times New Roman" w:hAnsi="Times New Roman" w:cs="Times New Roman"/>
          <w:sz w:val="24"/>
          <w:szCs w:val="24"/>
        </w:rPr>
        <w:t>their</w:t>
      </w:r>
      <w:r w:rsidRPr="00E251FE">
        <w:rPr>
          <w:rFonts w:ascii="Times New Roman" w:hAnsi="Times New Roman" w:cs="Times New Roman"/>
          <w:sz w:val="24"/>
          <w:szCs w:val="24"/>
        </w:rPr>
        <w:t xml:space="preserve"> </w:t>
      </w:r>
      <w:r w:rsidR="00E251FE" w:rsidRPr="00E251FE">
        <w:rPr>
          <w:rFonts w:ascii="Times New Roman" w:hAnsi="Times New Roman" w:cs="Times New Roman"/>
          <w:sz w:val="24"/>
          <w:szCs w:val="24"/>
        </w:rPr>
        <w:t xml:space="preserve">perspectives </w:t>
      </w:r>
      <w:r w:rsidRPr="00E251FE">
        <w:rPr>
          <w:rFonts w:ascii="Times New Roman" w:hAnsi="Times New Roman" w:cs="Times New Roman"/>
          <w:sz w:val="24"/>
          <w:szCs w:val="24"/>
        </w:rPr>
        <w:t xml:space="preserve">may no longer be reflective </w:t>
      </w:r>
      <w:r w:rsidR="00E251FE" w:rsidRPr="00E251FE">
        <w:rPr>
          <w:rFonts w:ascii="Times New Roman" w:hAnsi="Times New Roman" w:cs="Times New Roman"/>
          <w:sz w:val="24"/>
          <w:szCs w:val="24"/>
        </w:rPr>
        <w:t>of</w:t>
      </w:r>
      <w:r w:rsidRPr="00E251FE">
        <w:rPr>
          <w:rFonts w:ascii="Times New Roman" w:hAnsi="Times New Roman" w:cs="Times New Roman"/>
          <w:sz w:val="24"/>
          <w:szCs w:val="24"/>
        </w:rPr>
        <w:t xml:space="preserve"> today’s diverse and secular society.</w:t>
      </w:r>
      <w:r w:rsidR="00E251FE">
        <w:rPr>
          <w:rFonts w:ascii="Times New Roman" w:hAnsi="Times New Roman" w:cs="Times New Roman"/>
          <w:sz w:val="24"/>
          <w:szCs w:val="24"/>
        </w:rPr>
        <w:t xml:space="preserve"> Although both individuals provided valid opinions, Eliade’s concept of a </w:t>
      </w:r>
      <w:proofErr w:type="spellStart"/>
      <w:r w:rsidR="00E251FE">
        <w:rPr>
          <w:rFonts w:ascii="Times New Roman" w:hAnsi="Times New Roman" w:cs="Times New Roman"/>
          <w:sz w:val="24"/>
          <w:szCs w:val="24"/>
        </w:rPr>
        <w:t>h</w:t>
      </w:r>
      <w:r w:rsidR="004A5BD4">
        <w:rPr>
          <w:rFonts w:ascii="Times New Roman" w:hAnsi="Times New Roman" w:cs="Times New Roman"/>
          <w:sz w:val="24"/>
          <w:szCs w:val="24"/>
        </w:rPr>
        <w:t>ie</w:t>
      </w:r>
      <w:r w:rsidR="00E251FE">
        <w:rPr>
          <w:rFonts w:ascii="Times New Roman" w:hAnsi="Times New Roman" w:cs="Times New Roman"/>
          <w:sz w:val="24"/>
          <w:szCs w:val="24"/>
        </w:rPr>
        <w:t>rophany</w:t>
      </w:r>
      <w:proofErr w:type="spellEnd"/>
      <w:r w:rsidR="00E251FE">
        <w:rPr>
          <w:rFonts w:ascii="Times New Roman" w:hAnsi="Times New Roman" w:cs="Times New Roman"/>
          <w:sz w:val="24"/>
          <w:szCs w:val="24"/>
        </w:rPr>
        <w:t xml:space="preserve"> and how it occurs when the earth and heaven </w:t>
      </w:r>
      <w:r w:rsidR="00147A43">
        <w:rPr>
          <w:rFonts w:ascii="Times New Roman" w:hAnsi="Times New Roman" w:cs="Times New Roman"/>
          <w:sz w:val="24"/>
          <w:szCs w:val="24"/>
        </w:rPr>
        <w:t>align</w:t>
      </w:r>
      <w:r w:rsidR="00E251FE">
        <w:rPr>
          <w:rFonts w:ascii="Times New Roman" w:hAnsi="Times New Roman" w:cs="Times New Roman"/>
          <w:sz w:val="24"/>
          <w:szCs w:val="24"/>
        </w:rPr>
        <w:t xml:space="preserve"> is certainly based on unfounded claims which cannot be proven scientifically. </w:t>
      </w:r>
      <w:r w:rsidR="00997437">
        <w:rPr>
          <w:rFonts w:ascii="Times New Roman" w:hAnsi="Times New Roman" w:cs="Times New Roman"/>
          <w:sz w:val="24"/>
          <w:szCs w:val="24"/>
        </w:rPr>
        <w:t>It is clear that this idea is based on Eliade’s personal cosmology.</w:t>
      </w:r>
    </w:p>
    <w:p w14:paraId="2377DA76" w14:textId="709172FB" w:rsidR="008F6A9B" w:rsidRDefault="008F6A9B" w:rsidP="00AF424A">
      <w:pPr>
        <w:spacing w:line="360" w:lineRule="auto"/>
        <w:jc w:val="both"/>
        <w:rPr>
          <w:rFonts w:ascii="Times New Roman" w:hAnsi="Times New Roman" w:cs="Times New Roman"/>
          <w:sz w:val="24"/>
          <w:szCs w:val="24"/>
        </w:rPr>
      </w:pPr>
      <w:r>
        <w:rPr>
          <w:rFonts w:ascii="Times New Roman" w:hAnsi="Times New Roman" w:cs="Times New Roman"/>
          <w:sz w:val="24"/>
          <w:szCs w:val="24"/>
        </w:rPr>
        <w:t>Lastly, Eliade displays something called ‘crypto-religious behavior’ in that a certain event such as an individual’s birthplace can create a sense of sacredness</w:t>
      </w:r>
      <w:r w:rsidR="008C12D4">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separating it from the profane. </w:t>
      </w:r>
      <w:r w:rsidR="00D66454">
        <w:rPr>
          <w:rFonts w:ascii="Times New Roman" w:hAnsi="Times New Roman" w:cs="Times New Roman"/>
          <w:sz w:val="24"/>
          <w:szCs w:val="24"/>
        </w:rPr>
        <w:t>This was an opinion shared by Evans who called it ‘The Personal Sacred'</w:t>
      </w:r>
      <w:r w:rsidR="00D66454">
        <w:rPr>
          <w:rFonts w:ascii="Times New Roman" w:hAnsi="Times New Roman" w:cs="Times New Roman"/>
          <w:sz w:val="24"/>
          <w:szCs w:val="24"/>
        </w:rPr>
        <w:t xml:space="preserve"> in his work.</w:t>
      </w:r>
      <w:r w:rsidR="00D66454">
        <w:rPr>
          <w:rStyle w:val="FootnoteReference"/>
          <w:rFonts w:ascii="Times New Roman" w:hAnsi="Times New Roman" w:cs="Times New Roman"/>
          <w:sz w:val="24"/>
          <w:szCs w:val="24"/>
        </w:rPr>
        <w:footnoteReference w:id="51"/>
      </w:r>
      <w:r w:rsidR="00D66454">
        <w:rPr>
          <w:rFonts w:ascii="Times New Roman" w:hAnsi="Times New Roman" w:cs="Times New Roman"/>
          <w:sz w:val="24"/>
          <w:szCs w:val="24"/>
        </w:rPr>
        <w:t xml:space="preserve"> </w:t>
      </w:r>
      <w:r>
        <w:rPr>
          <w:rFonts w:ascii="Times New Roman" w:hAnsi="Times New Roman" w:cs="Times New Roman"/>
          <w:sz w:val="24"/>
          <w:szCs w:val="24"/>
        </w:rPr>
        <w:t>This is a unique perspective that places sacredness down to an individual level through an experience. However, it is not to be mistaken with an experience with the divine, but rather how it is a unique personal, physical, or emotional experience that a person has with a location or other person.</w:t>
      </w:r>
      <w:r w:rsidR="00D66454">
        <w:rPr>
          <w:rFonts w:ascii="Times New Roman" w:hAnsi="Times New Roman" w:cs="Times New Roman"/>
          <w:sz w:val="24"/>
          <w:szCs w:val="24"/>
        </w:rPr>
        <w:t xml:space="preserve"> </w:t>
      </w:r>
      <w:r>
        <w:rPr>
          <w:rFonts w:ascii="Times New Roman" w:hAnsi="Times New Roman" w:cs="Times New Roman"/>
          <w:sz w:val="24"/>
          <w:szCs w:val="24"/>
        </w:rPr>
        <w:t>One could therefore argue that place holds memories.</w:t>
      </w:r>
      <w:r>
        <w:rPr>
          <w:rStyle w:val="FootnoteReference"/>
          <w:rFonts w:ascii="Times New Roman" w:hAnsi="Times New Roman" w:cs="Times New Roman"/>
          <w:sz w:val="24"/>
          <w:szCs w:val="24"/>
        </w:rPr>
        <w:footnoteReference w:id="52"/>
      </w:r>
    </w:p>
    <w:p w14:paraId="4CB22FCA" w14:textId="77777777" w:rsidR="001820F9" w:rsidRDefault="001820F9" w:rsidP="00803AF1">
      <w:pPr>
        <w:rPr>
          <w:rFonts w:ascii="Times New Roman" w:hAnsi="Times New Roman" w:cs="Times New Roman"/>
          <w:sz w:val="24"/>
          <w:szCs w:val="24"/>
        </w:rPr>
      </w:pPr>
    </w:p>
    <w:p w14:paraId="29DCB059" w14:textId="77777777" w:rsidR="00AB3148" w:rsidRDefault="00AB3148" w:rsidP="00803AF1">
      <w:pPr>
        <w:rPr>
          <w:rFonts w:ascii="Times New Roman" w:hAnsi="Times New Roman" w:cs="Times New Roman"/>
          <w:sz w:val="24"/>
          <w:szCs w:val="24"/>
          <w:u w:val="single"/>
        </w:rPr>
      </w:pPr>
    </w:p>
    <w:p w14:paraId="1E4A9031" w14:textId="4A1D2D86" w:rsidR="003D457F" w:rsidRDefault="003D457F" w:rsidP="00803AF1">
      <w:pPr>
        <w:rPr>
          <w:rFonts w:ascii="Times New Roman" w:hAnsi="Times New Roman" w:cs="Times New Roman"/>
          <w:sz w:val="24"/>
          <w:szCs w:val="24"/>
          <w:u w:val="single"/>
        </w:rPr>
      </w:pPr>
      <w:r>
        <w:rPr>
          <w:rFonts w:ascii="Times New Roman" w:hAnsi="Times New Roman" w:cs="Times New Roman"/>
          <w:sz w:val="24"/>
          <w:szCs w:val="24"/>
          <w:u w:val="single"/>
        </w:rPr>
        <w:lastRenderedPageBreak/>
        <w:t>Conclusion</w:t>
      </w:r>
    </w:p>
    <w:p w14:paraId="721E12F7" w14:textId="77777777" w:rsidR="00AB3148" w:rsidRDefault="00AB3148" w:rsidP="00803AF1">
      <w:pPr>
        <w:rPr>
          <w:rFonts w:ascii="Times New Roman" w:hAnsi="Times New Roman" w:cs="Times New Roman"/>
          <w:sz w:val="24"/>
          <w:szCs w:val="24"/>
          <w:u w:val="single"/>
        </w:rPr>
      </w:pPr>
    </w:p>
    <w:p w14:paraId="09300C55" w14:textId="1C116231" w:rsidR="009872CF" w:rsidRPr="009872CF" w:rsidRDefault="00F53F53" w:rsidP="00972DD3">
      <w:pPr>
        <w:spacing w:line="360" w:lineRule="auto"/>
        <w:jc w:val="both"/>
        <w:rPr>
          <w:rFonts w:ascii="Times New Roman" w:hAnsi="Times New Roman" w:cs="Times New Roman"/>
          <w:sz w:val="24"/>
          <w:szCs w:val="24"/>
        </w:rPr>
      </w:pPr>
      <w:r>
        <w:rPr>
          <w:rFonts w:ascii="Times New Roman" w:hAnsi="Times New Roman" w:cs="Times New Roman"/>
          <w:sz w:val="24"/>
          <w:szCs w:val="24"/>
        </w:rPr>
        <w:t>Defining what sacredness is and how a sacred space is created is something that</w:t>
      </w:r>
      <w:r w:rsidR="00972DD3">
        <w:rPr>
          <w:rFonts w:ascii="Times New Roman" w:hAnsi="Times New Roman" w:cs="Times New Roman"/>
          <w:sz w:val="24"/>
          <w:szCs w:val="24"/>
        </w:rPr>
        <w:t xml:space="preserve"> do</w:t>
      </w:r>
      <w:r>
        <w:rPr>
          <w:rFonts w:ascii="Times New Roman" w:hAnsi="Times New Roman" w:cs="Times New Roman"/>
          <w:sz w:val="24"/>
          <w:szCs w:val="24"/>
        </w:rPr>
        <w:t>es</w:t>
      </w:r>
      <w:r w:rsidR="00972DD3">
        <w:rPr>
          <w:rFonts w:ascii="Times New Roman" w:hAnsi="Times New Roman" w:cs="Times New Roman"/>
          <w:sz w:val="24"/>
          <w:szCs w:val="24"/>
        </w:rPr>
        <w:t xml:space="preserve"> not have a clear </w:t>
      </w:r>
      <w:r w:rsidR="009872CF">
        <w:rPr>
          <w:rFonts w:ascii="Times New Roman" w:hAnsi="Times New Roman" w:cs="Times New Roman"/>
          <w:sz w:val="24"/>
          <w:szCs w:val="24"/>
        </w:rPr>
        <w:t xml:space="preserve">and simplistic </w:t>
      </w:r>
      <w:r w:rsidR="00972DD3">
        <w:rPr>
          <w:rFonts w:ascii="Times New Roman" w:hAnsi="Times New Roman" w:cs="Times New Roman"/>
          <w:sz w:val="24"/>
          <w:szCs w:val="24"/>
        </w:rPr>
        <w:t xml:space="preserve">answer. Throughout this essay, the ideas, and opinions from two dominant approaches to this topic have been </w:t>
      </w:r>
      <w:proofErr w:type="gramStart"/>
      <w:r w:rsidR="00972DD3">
        <w:rPr>
          <w:rFonts w:ascii="Times New Roman" w:hAnsi="Times New Roman" w:cs="Times New Roman"/>
          <w:sz w:val="24"/>
          <w:szCs w:val="24"/>
        </w:rPr>
        <w:t>compared and contrasted</w:t>
      </w:r>
      <w:proofErr w:type="gramEnd"/>
      <w:r w:rsidR="00972DD3">
        <w:rPr>
          <w:rFonts w:ascii="Times New Roman" w:hAnsi="Times New Roman" w:cs="Times New Roman"/>
          <w:sz w:val="24"/>
          <w:szCs w:val="24"/>
        </w:rPr>
        <w:t>. The</w:t>
      </w:r>
      <w:r w:rsidR="0007544E">
        <w:rPr>
          <w:rFonts w:ascii="Times New Roman" w:hAnsi="Times New Roman" w:cs="Times New Roman"/>
          <w:sz w:val="24"/>
          <w:szCs w:val="24"/>
        </w:rPr>
        <w:t>re</w:t>
      </w:r>
      <w:r w:rsidR="00972DD3">
        <w:rPr>
          <w:rFonts w:ascii="Times New Roman" w:hAnsi="Times New Roman" w:cs="Times New Roman"/>
          <w:sz w:val="24"/>
          <w:szCs w:val="24"/>
        </w:rPr>
        <w:t xml:space="preserve"> </w:t>
      </w:r>
      <w:r w:rsidR="009872CF">
        <w:rPr>
          <w:rFonts w:ascii="Times New Roman" w:hAnsi="Times New Roman" w:cs="Times New Roman"/>
          <w:sz w:val="24"/>
          <w:szCs w:val="24"/>
        </w:rPr>
        <w:t>is</w:t>
      </w:r>
      <w:r w:rsidR="0007544E">
        <w:rPr>
          <w:rFonts w:ascii="Times New Roman" w:hAnsi="Times New Roman" w:cs="Times New Roman"/>
          <w:sz w:val="24"/>
          <w:szCs w:val="24"/>
        </w:rPr>
        <w:t xml:space="preserve"> the sociological approach </w:t>
      </w:r>
      <w:r w:rsidR="00972DD3">
        <w:rPr>
          <w:rFonts w:ascii="Times New Roman" w:hAnsi="Times New Roman" w:cs="Times New Roman"/>
          <w:sz w:val="24"/>
          <w:szCs w:val="24"/>
        </w:rPr>
        <w:t xml:space="preserve">of Durkheim </w:t>
      </w:r>
      <w:r w:rsidR="008B64EC">
        <w:rPr>
          <w:rFonts w:ascii="Times New Roman" w:hAnsi="Times New Roman" w:cs="Times New Roman"/>
          <w:sz w:val="24"/>
          <w:szCs w:val="24"/>
        </w:rPr>
        <w:t>wh</w:t>
      </w:r>
      <w:r w:rsidR="009872CF">
        <w:rPr>
          <w:rFonts w:ascii="Times New Roman" w:hAnsi="Times New Roman" w:cs="Times New Roman"/>
          <w:sz w:val="24"/>
          <w:szCs w:val="24"/>
        </w:rPr>
        <w:t>ich</w:t>
      </w:r>
      <w:r w:rsidR="008B64EC">
        <w:rPr>
          <w:rFonts w:ascii="Times New Roman" w:hAnsi="Times New Roman" w:cs="Times New Roman"/>
          <w:sz w:val="24"/>
          <w:szCs w:val="24"/>
        </w:rPr>
        <w:t xml:space="preserve"> </w:t>
      </w:r>
      <w:r w:rsidR="008B64EC">
        <w:rPr>
          <w:rFonts w:ascii="Times New Roman" w:hAnsi="Times New Roman" w:cs="Times New Roman"/>
          <w:sz w:val="24"/>
          <w:szCs w:val="24"/>
        </w:rPr>
        <w:t>suggests that sacredness is a social construct</w:t>
      </w:r>
      <w:r w:rsidR="008B64EC">
        <w:rPr>
          <w:rFonts w:ascii="Times New Roman" w:hAnsi="Times New Roman" w:cs="Times New Roman"/>
          <w:sz w:val="24"/>
          <w:szCs w:val="24"/>
        </w:rPr>
        <w:t xml:space="preserve"> </w:t>
      </w:r>
      <w:r w:rsidR="00972DD3">
        <w:rPr>
          <w:rFonts w:ascii="Times New Roman" w:hAnsi="Times New Roman" w:cs="Times New Roman"/>
          <w:sz w:val="24"/>
          <w:szCs w:val="24"/>
        </w:rPr>
        <w:t>and Eliade</w:t>
      </w:r>
      <w:r w:rsidR="0007544E">
        <w:rPr>
          <w:rFonts w:ascii="Times New Roman" w:hAnsi="Times New Roman" w:cs="Times New Roman"/>
          <w:sz w:val="24"/>
          <w:szCs w:val="24"/>
        </w:rPr>
        <w:t xml:space="preserve">’s ontological </w:t>
      </w:r>
      <w:r w:rsidR="001B6CD5">
        <w:rPr>
          <w:rFonts w:ascii="Times New Roman" w:hAnsi="Times New Roman" w:cs="Times New Roman"/>
          <w:sz w:val="24"/>
          <w:szCs w:val="24"/>
        </w:rPr>
        <w:t>perspective</w:t>
      </w:r>
      <w:r w:rsidR="008B64EC">
        <w:rPr>
          <w:rFonts w:ascii="Times New Roman" w:hAnsi="Times New Roman" w:cs="Times New Roman"/>
          <w:sz w:val="24"/>
          <w:szCs w:val="24"/>
        </w:rPr>
        <w:t xml:space="preserve"> wh</w:t>
      </w:r>
      <w:r w:rsidR="0007544E">
        <w:rPr>
          <w:rFonts w:ascii="Times New Roman" w:hAnsi="Times New Roman" w:cs="Times New Roman"/>
          <w:sz w:val="24"/>
          <w:szCs w:val="24"/>
        </w:rPr>
        <w:t>ich</w:t>
      </w:r>
      <w:r w:rsidR="008B64EC">
        <w:rPr>
          <w:rFonts w:ascii="Times New Roman" w:hAnsi="Times New Roman" w:cs="Times New Roman"/>
          <w:sz w:val="24"/>
          <w:szCs w:val="24"/>
        </w:rPr>
        <w:t xml:space="preserve"> </w:t>
      </w:r>
      <w:r w:rsidR="008B64EC">
        <w:rPr>
          <w:rFonts w:ascii="Times New Roman" w:hAnsi="Times New Roman" w:cs="Times New Roman"/>
          <w:sz w:val="24"/>
          <w:szCs w:val="24"/>
        </w:rPr>
        <w:t>establishes that the divine is responsible</w:t>
      </w:r>
      <w:r w:rsidR="008B64EC">
        <w:rPr>
          <w:rFonts w:ascii="Times New Roman" w:hAnsi="Times New Roman" w:cs="Times New Roman"/>
          <w:sz w:val="24"/>
          <w:szCs w:val="24"/>
        </w:rPr>
        <w:t xml:space="preserve"> by revealing itself in a phenomen</w:t>
      </w:r>
      <w:r w:rsidR="00650558">
        <w:rPr>
          <w:rFonts w:ascii="Times New Roman" w:hAnsi="Times New Roman" w:cs="Times New Roman"/>
          <w:sz w:val="24"/>
          <w:szCs w:val="24"/>
        </w:rPr>
        <w:t>on</w:t>
      </w:r>
      <w:r w:rsidR="008B64EC">
        <w:rPr>
          <w:rFonts w:ascii="Times New Roman" w:hAnsi="Times New Roman" w:cs="Times New Roman"/>
          <w:sz w:val="24"/>
          <w:szCs w:val="24"/>
        </w:rPr>
        <w:t xml:space="preserve"> called a ‘</w:t>
      </w:r>
      <w:proofErr w:type="spellStart"/>
      <w:r w:rsidR="008B64EC">
        <w:rPr>
          <w:rFonts w:ascii="Times New Roman" w:hAnsi="Times New Roman" w:cs="Times New Roman"/>
          <w:sz w:val="24"/>
          <w:szCs w:val="24"/>
        </w:rPr>
        <w:t>hierophany</w:t>
      </w:r>
      <w:proofErr w:type="spellEnd"/>
      <w:r w:rsidR="008B64EC">
        <w:rPr>
          <w:rFonts w:ascii="Times New Roman" w:hAnsi="Times New Roman" w:cs="Times New Roman"/>
          <w:sz w:val="24"/>
          <w:szCs w:val="24"/>
        </w:rPr>
        <w:t>’.</w:t>
      </w:r>
      <w:r w:rsidR="009872CF">
        <w:rPr>
          <w:rFonts w:ascii="Times New Roman" w:hAnsi="Times New Roman" w:cs="Times New Roman"/>
          <w:sz w:val="24"/>
          <w:szCs w:val="24"/>
        </w:rPr>
        <w:t xml:space="preserve"> </w:t>
      </w:r>
      <w:r w:rsidR="009872CF" w:rsidRPr="009872CF">
        <w:rPr>
          <w:rFonts w:ascii="Times New Roman" w:eastAsia="Times New Roman" w:hAnsi="Times New Roman" w:cs="Times New Roman"/>
          <w:sz w:val="24"/>
          <w:szCs w:val="24"/>
          <w:lang w:val="en-GB" w:eastAsia="en-GB"/>
        </w:rPr>
        <w:t xml:space="preserve">Both perspectives offer </w:t>
      </w:r>
      <w:r w:rsidR="009872CF">
        <w:rPr>
          <w:rFonts w:ascii="Times New Roman" w:eastAsia="Times New Roman" w:hAnsi="Times New Roman" w:cs="Times New Roman"/>
          <w:sz w:val="24"/>
          <w:szCs w:val="24"/>
          <w:lang w:val="en-GB" w:eastAsia="en-GB"/>
        </w:rPr>
        <w:t>an interesting yet</w:t>
      </w:r>
      <w:r w:rsidR="009872CF" w:rsidRPr="009872CF">
        <w:rPr>
          <w:rFonts w:ascii="Times New Roman" w:eastAsia="Times New Roman" w:hAnsi="Times New Roman" w:cs="Times New Roman"/>
          <w:sz w:val="24"/>
          <w:szCs w:val="24"/>
          <w:lang w:val="en-GB" w:eastAsia="en-GB"/>
        </w:rPr>
        <w:t xml:space="preserve"> incomplete </w:t>
      </w:r>
      <w:r w:rsidR="009872CF">
        <w:rPr>
          <w:rFonts w:ascii="Times New Roman" w:eastAsia="Times New Roman" w:hAnsi="Times New Roman" w:cs="Times New Roman"/>
          <w:sz w:val="24"/>
          <w:szCs w:val="24"/>
          <w:lang w:val="en-GB" w:eastAsia="en-GB"/>
        </w:rPr>
        <w:t>analysis</w:t>
      </w:r>
      <w:r w:rsidR="009872CF" w:rsidRPr="009872CF">
        <w:rPr>
          <w:rFonts w:ascii="Times New Roman" w:eastAsia="Times New Roman" w:hAnsi="Times New Roman" w:cs="Times New Roman"/>
          <w:sz w:val="24"/>
          <w:szCs w:val="24"/>
          <w:lang w:val="en-GB" w:eastAsia="en-GB"/>
        </w:rPr>
        <w:t xml:space="preserve">. Durkheim’s </w:t>
      </w:r>
      <w:r w:rsidR="009872CF">
        <w:rPr>
          <w:rFonts w:ascii="Times New Roman" w:eastAsia="Times New Roman" w:hAnsi="Times New Roman" w:cs="Times New Roman"/>
          <w:sz w:val="24"/>
          <w:szCs w:val="24"/>
          <w:lang w:val="en-GB" w:eastAsia="en-GB"/>
        </w:rPr>
        <w:t xml:space="preserve">view </w:t>
      </w:r>
      <w:r w:rsidR="009872CF" w:rsidRPr="009872CF">
        <w:rPr>
          <w:rFonts w:ascii="Times New Roman" w:eastAsia="Times New Roman" w:hAnsi="Times New Roman" w:cs="Times New Roman"/>
          <w:sz w:val="24"/>
          <w:szCs w:val="24"/>
          <w:lang w:val="en-GB" w:eastAsia="en-GB"/>
        </w:rPr>
        <w:t xml:space="preserve">explains how </w:t>
      </w:r>
      <w:r w:rsidR="009872CF">
        <w:rPr>
          <w:rFonts w:ascii="Times New Roman" w:eastAsia="Times New Roman" w:hAnsi="Times New Roman" w:cs="Times New Roman"/>
          <w:sz w:val="24"/>
          <w:szCs w:val="24"/>
          <w:lang w:val="en-GB" w:eastAsia="en-GB"/>
        </w:rPr>
        <w:t>societal</w:t>
      </w:r>
      <w:r w:rsidR="009872CF" w:rsidRPr="009872CF">
        <w:rPr>
          <w:rFonts w:ascii="Times New Roman" w:eastAsia="Times New Roman" w:hAnsi="Times New Roman" w:cs="Times New Roman"/>
          <w:sz w:val="24"/>
          <w:szCs w:val="24"/>
          <w:lang w:val="en-GB" w:eastAsia="en-GB"/>
        </w:rPr>
        <w:t xml:space="preserve"> belief and ritual can transform</w:t>
      </w:r>
      <w:r w:rsidR="009872CF">
        <w:rPr>
          <w:rFonts w:ascii="Times New Roman" w:eastAsia="Times New Roman" w:hAnsi="Times New Roman" w:cs="Times New Roman"/>
          <w:sz w:val="24"/>
          <w:szCs w:val="24"/>
          <w:lang w:val="en-GB" w:eastAsia="en-GB"/>
        </w:rPr>
        <w:t xml:space="preserve"> an</w:t>
      </w:r>
      <w:r w:rsidR="009872CF" w:rsidRPr="009872CF">
        <w:rPr>
          <w:rFonts w:ascii="Times New Roman" w:eastAsia="Times New Roman" w:hAnsi="Times New Roman" w:cs="Times New Roman"/>
          <w:sz w:val="24"/>
          <w:szCs w:val="24"/>
          <w:lang w:val="en-GB" w:eastAsia="en-GB"/>
        </w:rPr>
        <w:t xml:space="preserve"> ordinary space into </w:t>
      </w:r>
      <w:r w:rsidR="009872CF">
        <w:rPr>
          <w:rFonts w:ascii="Times New Roman" w:eastAsia="Times New Roman" w:hAnsi="Times New Roman" w:cs="Times New Roman"/>
          <w:sz w:val="24"/>
          <w:szCs w:val="24"/>
          <w:lang w:val="en-GB" w:eastAsia="en-GB"/>
        </w:rPr>
        <w:t xml:space="preserve">a </w:t>
      </w:r>
      <w:r w:rsidR="009872CF" w:rsidRPr="009872CF">
        <w:rPr>
          <w:rFonts w:ascii="Times New Roman" w:eastAsia="Times New Roman" w:hAnsi="Times New Roman" w:cs="Times New Roman"/>
          <w:sz w:val="24"/>
          <w:szCs w:val="24"/>
          <w:lang w:val="en-GB" w:eastAsia="en-GB"/>
        </w:rPr>
        <w:t xml:space="preserve">sacred space, while Eliade’s approach highlights </w:t>
      </w:r>
      <w:r w:rsidR="009872CF">
        <w:rPr>
          <w:rFonts w:ascii="Times New Roman" w:eastAsia="Times New Roman" w:hAnsi="Times New Roman" w:cs="Times New Roman"/>
          <w:sz w:val="24"/>
          <w:szCs w:val="24"/>
          <w:lang w:val="en-GB" w:eastAsia="en-GB"/>
        </w:rPr>
        <w:t xml:space="preserve">divinity </w:t>
      </w:r>
      <w:r w:rsidR="009872CF" w:rsidRPr="009872CF">
        <w:rPr>
          <w:rFonts w:ascii="Times New Roman" w:eastAsia="Times New Roman" w:hAnsi="Times New Roman" w:cs="Times New Roman"/>
          <w:sz w:val="24"/>
          <w:szCs w:val="24"/>
          <w:lang w:val="en-GB" w:eastAsia="en-GB"/>
        </w:rPr>
        <w:t>and transcenden</w:t>
      </w:r>
      <w:r w:rsidR="009872CF">
        <w:rPr>
          <w:rFonts w:ascii="Times New Roman" w:eastAsia="Times New Roman" w:hAnsi="Times New Roman" w:cs="Times New Roman"/>
          <w:sz w:val="24"/>
          <w:szCs w:val="24"/>
          <w:lang w:val="en-GB" w:eastAsia="en-GB"/>
        </w:rPr>
        <w:t>ce. However, both theories overlook each other’s viewpoints</w:t>
      </w:r>
      <w:r w:rsidR="009872CF" w:rsidRPr="009872CF">
        <w:rPr>
          <w:rFonts w:ascii="Times New Roman" w:eastAsia="Times New Roman" w:hAnsi="Times New Roman" w:cs="Times New Roman"/>
          <w:sz w:val="24"/>
          <w:szCs w:val="24"/>
          <w:lang w:val="en-GB" w:eastAsia="en-GB"/>
        </w:rPr>
        <w:t>.</w:t>
      </w:r>
      <w:r w:rsidR="009872CF">
        <w:rPr>
          <w:rFonts w:ascii="Times New Roman" w:hAnsi="Times New Roman" w:cs="Times New Roman"/>
          <w:sz w:val="24"/>
          <w:szCs w:val="24"/>
        </w:rPr>
        <w:t xml:space="preserve"> </w:t>
      </w:r>
      <w:r w:rsidR="009872CF" w:rsidRPr="009872CF">
        <w:rPr>
          <w:rFonts w:ascii="Times New Roman" w:eastAsia="Times New Roman" w:hAnsi="Times New Roman" w:cs="Times New Roman"/>
          <w:sz w:val="24"/>
          <w:szCs w:val="24"/>
          <w:lang w:val="en-GB" w:eastAsia="en-GB"/>
        </w:rPr>
        <w:t xml:space="preserve">When these </w:t>
      </w:r>
      <w:r w:rsidR="009872CF">
        <w:rPr>
          <w:rFonts w:ascii="Times New Roman" w:eastAsia="Times New Roman" w:hAnsi="Times New Roman" w:cs="Times New Roman"/>
          <w:sz w:val="24"/>
          <w:szCs w:val="24"/>
          <w:lang w:val="en-GB" w:eastAsia="en-GB"/>
        </w:rPr>
        <w:t>approaches</w:t>
      </w:r>
      <w:r w:rsidR="009872CF" w:rsidRPr="009872CF">
        <w:rPr>
          <w:rFonts w:ascii="Times New Roman" w:eastAsia="Times New Roman" w:hAnsi="Times New Roman" w:cs="Times New Roman"/>
          <w:sz w:val="24"/>
          <w:szCs w:val="24"/>
          <w:lang w:val="en-GB" w:eastAsia="en-GB"/>
        </w:rPr>
        <w:t xml:space="preserve"> are placed </w:t>
      </w:r>
      <w:r w:rsidR="009872CF">
        <w:rPr>
          <w:rFonts w:ascii="Times New Roman" w:eastAsia="Times New Roman" w:hAnsi="Times New Roman" w:cs="Times New Roman"/>
          <w:sz w:val="24"/>
          <w:szCs w:val="24"/>
          <w:lang w:val="en-GB" w:eastAsia="en-GB"/>
        </w:rPr>
        <w:t>together</w:t>
      </w:r>
      <w:r w:rsidR="009872CF" w:rsidRPr="009872CF">
        <w:rPr>
          <w:rFonts w:ascii="Times New Roman" w:eastAsia="Times New Roman" w:hAnsi="Times New Roman" w:cs="Times New Roman"/>
          <w:sz w:val="24"/>
          <w:szCs w:val="24"/>
          <w:lang w:val="en-GB" w:eastAsia="en-GB"/>
        </w:rPr>
        <w:t xml:space="preserve">, it becomes evident that </w:t>
      </w:r>
      <w:r w:rsidR="009872CF">
        <w:rPr>
          <w:rFonts w:ascii="Times New Roman" w:eastAsia="Times New Roman" w:hAnsi="Times New Roman" w:cs="Times New Roman"/>
          <w:sz w:val="24"/>
          <w:szCs w:val="24"/>
          <w:lang w:val="en-GB" w:eastAsia="en-GB"/>
        </w:rPr>
        <w:t xml:space="preserve">a </w:t>
      </w:r>
      <w:r w:rsidR="009872CF" w:rsidRPr="009872CF">
        <w:rPr>
          <w:rFonts w:ascii="Times New Roman" w:eastAsia="Times New Roman" w:hAnsi="Times New Roman" w:cs="Times New Roman"/>
          <w:sz w:val="24"/>
          <w:szCs w:val="24"/>
          <w:lang w:val="en-GB" w:eastAsia="en-GB"/>
        </w:rPr>
        <w:t xml:space="preserve">sacred space may best be </w:t>
      </w:r>
      <w:r w:rsidR="009872CF">
        <w:rPr>
          <w:rFonts w:ascii="Times New Roman" w:eastAsia="Times New Roman" w:hAnsi="Times New Roman" w:cs="Times New Roman"/>
          <w:sz w:val="24"/>
          <w:szCs w:val="24"/>
          <w:lang w:val="en-GB" w:eastAsia="en-GB"/>
        </w:rPr>
        <w:t>described</w:t>
      </w:r>
      <w:r w:rsidR="009872CF" w:rsidRPr="009872CF">
        <w:rPr>
          <w:rFonts w:ascii="Times New Roman" w:eastAsia="Times New Roman" w:hAnsi="Times New Roman" w:cs="Times New Roman"/>
          <w:sz w:val="24"/>
          <w:szCs w:val="24"/>
          <w:lang w:val="en-GB" w:eastAsia="en-GB"/>
        </w:rPr>
        <w:t xml:space="preserve"> as existing </w:t>
      </w:r>
      <w:r w:rsidR="009872CF">
        <w:rPr>
          <w:rFonts w:ascii="Times New Roman" w:eastAsia="Times New Roman" w:hAnsi="Times New Roman" w:cs="Times New Roman"/>
          <w:sz w:val="24"/>
          <w:szCs w:val="24"/>
          <w:lang w:val="en-GB" w:eastAsia="en-GB"/>
        </w:rPr>
        <w:t xml:space="preserve">somewhere </w:t>
      </w:r>
      <w:r w:rsidR="009872CF" w:rsidRPr="009872CF">
        <w:rPr>
          <w:rFonts w:ascii="Times New Roman" w:eastAsia="Times New Roman" w:hAnsi="Times New Roman" w:cs="Times New Roman"/>
          <w:sz w:val="24"/>
          <w:szCs w:val="24"/>
          <w:lang w:val="en-GB" w:eastAsia="en-GB"/>
        </w:rPr>
        <w:t xml:space="preserve">between </w:t>
      </w:r>
      <w:r w:rsidR="009872CF">
        <w:rPr>
          <w:rFonts w:ascii="Times New Roman" w:eastAsia="Times New Roman" w:hAnsi="Times New Roman" w:cs="Times New Roman"/>
          <w:sz w:val="24"/>
          <w:szCs w:val="24"/>
          <w:lang w:val="en-GB" w:eastAsia="en-GB"/>
        </w:rPr>
        <w:t xml:space="preserve">Durkheim and Eliade’s perspectives.  </w:t>
      </w:r>
      <w:r w:rsidR="009872CF" w:rsidRPr="009872CF">
        <w:rPr>
          <w:rFonts w:ascii="Times New Roman" w:eastAsia="Times New Roman" w:hAnsi="Times New Roman" w:cs="Times New Roman"/>
          <w:sz w:val="24"/>
          <w:szCs w:val="24"/>
          <w:lang w:val="en-GB" w:eastAsia="en-GB"/>
        </w:rPr>
        <w:t>Scholars such as Belden C. Lane and Christine Simmonds-Moore suggested a hybrid approach</w:t>
      </w:r>
      <w:r w:rsidR="009872CF">
        <w:rPr>
          <w:rFonts w:ascii="Times New Roman" w:eastAsia="Times New Roman" w:hAnsi="Times New Roman" w:cs="Times New Roman"/>
          <w:sz w:val="24"/>
          <w:szCs w:val="24"/>
          <w:lang w:val="en-GB" w:eastAsia="en-GB"/>
        </w:rPr>
        <w:t xml:space="preserve"> as they</w:t>
      </w:r>
      <w:r w:rsidR="009872CF" w:rsidRPr="009872CF">
        <w:rPr>
          <w:rFonts w:ascii="Times New Roman" w:eastAsia="Times New Roman" w:hAnsi="Times New Roman" w:cs="Times New Roman"/>
          <w:sz w:val="24"/>
          <w:szCs w:val="24"/>
          <w:lang w:val="en-GB" w:eastAsia="en-GB"/>
        </w:rPr>
        <w:t xml:space="preserve"> propo</w:t>
      </w:r>
      <w:r w:rsidR="009872CF">
        <w:rPr>
          <w:rFonts w:ascii="Times New Roman" w:eastAsia="Times New Roman" w:hAnsi="Times New Roman" w:cs="Times New Roman"/>
          <w:sz w:val="24"/>
          <w:szCs w:val="24"/>
          <w:lang w:val="en-GB" w:eastAsia="en-GB"/>
        </w:rPr>
        <w:t>sed</w:t>
      </w:r>
      <w:r w:rsidR="009872CF" w:rsidRPr="009872CF">
        <w:rPr>
          <w:rFonts w:ascii="Times New Roman" w:eastAsia="Times New Roman" w:hAnsi="Times New Roman" w:cs="Times New Roman"/>
          <w:sz w:val="24"/>
          <w:szCs w:val="24"/>
          <w:lang w:val="en-GB" w:eastAsia="en-GB"/>
        </w:rPr>
        <w:t xml:space="preserve"> that sacredness </w:t>
      </w:r>
      <w:r w:rsidR="009872CF">
        <w:rPr>
          <w:rFonts w:ascii="Times New Roman" w:eastAsia="Times New Roman" w:hAnsi="Times New Roman" w:cs="Times New Roman"/>
          <w:sz w:val="24"/>
          <w:szCs w:val="24"/>
          <w:lang w:val="en-GB" w:eastAsia="en-GB"/>
        </w:rPr>
        <w:t>results</w:t>
      </w:r>
      <w:r w:rsidR="009872CF" w:rsidRPr="009872CF">
        <w:rPr>
          <w:rFonts w:ascii="Times New Roman" w:eastAsia="Times New Roman" w:hAnsi="Times New Roman" w:cs="Times New Roman"/>
          <w:sz w:val="24"/>
          <w:szCs w:val="24"/>
          <w:lang w:val="en-GB" w:eastAsia="en-GB"/>
        </w:rPr>
        <w:t xml:space="preserve"> </w:t>
      </w:r>
      <w:r w:rsidR="009872CF">
        <w:rPr>
          <w:rFonts w:ascii="Times New Roman" w:eastAsia="Times New Roman" w:hAnsi="Times New Roman" w:cs="Times New Roman"/>
          <w:sz w:val="24"/>
          <w:szCs w:val="24"/>
          <w:lang w:val="en-GB" w:eastAsia="en-GB"/>
        </w:rPr>
        <w:t>from</w:t>
      </w:r>
      <w:r w:rsidR="009872CF" w:rsidRPr="009872CF">
        <w:rPr>
          <w:rFonts w:ascii="Times New Roman" w:eastAsia="Times New Roman" w:hAnsi="Times New Roman" w:cs="Times New Roman"/>
          <w:sz w:val="24"/>
          <w:szCs w:val="24"/>
          <w:lang w:val="en-GB" w:eastAsia="en-GB"/>
        </w:rPr>
        <w:t xml:space="preserve"> both the </w:t>
      </w:r>
      <w:r w:rsidR="009872CF">
        <w:rPr>
          <w:rFonts w:ascii="Times New Roman" w:eastAsia="Times New Roman" w:hAnsi="Times New Roman" w:cs="Times New Roman"/>
          <w:sz w:val="24"/>
          <w:szCs w:val="24"/>
          <w:lang w:val="en-GB" w:eastAsia="en-GB"/>
        </w:rPr>
        <w:t>human consciousness and the environment</w:t>
      </w:r>
      <w:r w:rsidR="009872CF" w:rsidRPr="009872CF">
        <w:rPr>
          <w:rFonts w:ascii="Times New Roman" w:eastAsia="Times New Roman" w:hAnsi="Times New Roman" w:cs="Times New Roman"/>
          <w:sz w:val="24"/>
          <w:szCs w:val="24"/>
          <w:lang w:val="en-GB" w:eastAsia="en-GB"/>
        </w:rPr>
        <w:t xml:space="preserve">. </w:t>
      </w:r>
    </w:p>
    <w:p w14:paraId="1495E324" w14:textId="380F1D3B" w:rsidR="00774A88" w:rsidRDefault="008B64EC" w:rsidP="00972DD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w:t>
      </w:r>
      <w:r w:rsidR="00650558">
        <w:rPr>
          <w:rFonts w:ascii="Times New Roman" w:hAnsi="Times New Roman" w:cs="Times New Roman"/>
          <w:sz w:val="24"/>
          <w:szCs w:val="24"/>
        </w:rPr>
        <w:t>Eliade and Durkheim</w:t>
      </w:r>
      <w:r>
        <w:rPr>
          <w:rFonts w:ascii="Times New Roman" w:hAnsi="Times New Roman" w:cs="Times New Roman"/>
          <w:sz w:val="24"/>
          <w:szCs w:val="24"/>
        </w:rPr>
        <w:t xml:space="preserve"> pertained very different </w:t>
      </w:r>
      <w:r w:rsidR="00650558">
        <w:rPr>
          <w:rFonts w:ascii="Times New Roman" w:hAnsi="Times New Roman" w:cs="Times New Roman"/>
          <w:sz w:val="24"/>
          <w:szCs w:val="24"/>
        </w:rPr>
        <w:t>viewpoints and this essay attempted to uncover potential reasons as to why this may have been. This led to the analysis of their religious</w:t>
      </w:r>
      <w:r w:rsidR="00774A88">
        <w:rPr>
          <w:rFonts w:ascii="Times New Roman" w:hAnsi="Times New Roman" w:cs="Times New Roman"/>
          <w:sz w:val="24"/>
          <w:szCs w:val="24"/>
        </w:rPr>
        <w:t xml:space="preserve"> </w:t>
      </w:r>
      <w:r w:rsidR="00650558">
        <w:rPr>
          <w:rFonts w:ascii="Times New Roman" w:hAnsi="Times New Roman" w:cs="Times New Roman"/>
          <w:sz w:val="24"/>
          <w:szCs w:val="24"/>
        </w:rPr>
        <w:t xml:space="preserve">backgrounds </w:t>
      </w:r>
      <w:r w:rsidR="00774A88">
        <w:rPr>
          <w:rFonts w:ascii="Times New Roman" w:hAnsi="Times New Roman" w:cs="Times New Roman"/>
          <w:sz w:val="24"/>
          <w:szCs w:val="24"/>
        </w:rPr>
        <w:t xml:space="preserve">and career specialisms. </w:t>
      </w:r>
      <w:proofErr w:type="gramStart"/>
      <w:r w:rsidR="00774A88">
        <w:rPr>
          <w:rFonts w:ascii="Times New Roman" w:hAnsi="Times New Roman" w:cs="Times New Roman"/>
          <w:sz w:val="24"/>
          <w:szCs w:val="24"/>
        </w:rPr>
        <w:t>In regard to</w:t>
      </w:r>
      <w:proofErr w:type="gramEnd"/>
      <w:r w:rsidR="00774A88">
        <w:rPr>
          <w:rFonts w:ascii="Times New Roman" w:hAnsi="Times New Roman" w:cs="Times New Roman"/>
          <w:sz w:val="24"/>
          <w:szCs w:val="24"/>
        </w:rPr>
        <w:t xml:space="preserve"> their religious backgrounds, </w:t>
      </w:r>
      <w:r w:rsidR="00650558">
        <w:rPr>
          <w:rFonts w:ascii="Times New Roman" w:hAnsi="Times New Roman" w:cs="Times New Roman"/>
          <w:sz w:val="24"/>
          <w:szCs w:val="24"/>
        </w:rPr>
        <w:t xml:space="preserve">Durkheim </w:t>
      </w:r>
      <w:r w:rsidR="00774A88">
        <w:rPr>
          <w:rFonts w:ascii="Times New Roman" w:hAnsi="Times New Roman" w:cs="Times New Roman"/>
          <w:sz w:val="24"/>
          <w:szCs w:val="24"/>
        </w:rPr>
        <w:t>was</w:t>
      </w:r>
      <w:r w:rsidR="00650558">
        <w:rPr>
          <w:rFonts w:ascii="Times New Roman" w:hAnsi="Times New Roman" w:cs="Times New Roman"/>
          <w:sz w:val="24"/>
          <w:szCs w:val="24"/>
        </w:rPr>
        <w:t xml:space="preserve"> raised in a Jewish family and Eliade within the Romanian orthodox church. Eliade continued his faith and was influenced to a degree by eastern religions</w:t>
      </w:r>
      <w:r w:rsidR="009872CF">
        <w:rPr>
          <w:rFonts w:ascii="Times New Roman" w:hAnsi="Times New Roman" w:cs="Times New Roman"/>
          <w:sz w:val="24"/>
          <w:szCs w:val="24"/>
        </w:rPr>
        <w:t>. H</w:t>
      </w:r>
      <w:r w:rsidR="00650558">
        <w:rPr>
          <w:rFonts w:ascii="Times New Roman" w:hAnsi="Times New Roman" w:cs="Times New Roman"/>
          <w:sz w:val="24"/>
          <w:szCs w:val="24"/>
        </w:rPr>
        <w:t xml:space="preserve">owever, Durkheim was to become a rabbi following his family tradition but eventually distanced himself and became a sociologist and a somewhat sceptic of religion. </w:t>
      </w:r>
      <w:r w:rsidR="009872CF">
        <w:rPr>
          <w:rFonts w:ascii="Times New Roman" w:hAnsi="Times New Roman" w:cs="Times New Roman"/>
          <w:sz w:val="24"/>
          <w:szCs w:val="24"/>
        </w:rPr>
        <w:t>Both of t</w:t>
      </w:r>
      <w:r w:rsidR="00774A88">
        <w:rPr>
          <w:rFonts w:ascii="Times New Roman" w:hAnsi="Times New Roman" w:cs="Times New Roman"/>
          <w:sz w:val="24"/>
          <w:szCs w:val="24"/>
        </w:rPr>
        <w:t>heir career specialism</w:t>
      </w:r>
      <w:r w:rsidR="009872CF">
        <w:rPr>
          <w:rFonts w:ascii="Times New Roman" w:hAnsi="Times New Roman" w:cs="Times New Roman"/>
          <w:sz w:val="24"/>
          <w:szCs w:val="24"/>
        </w:rPr>
        <w:t>s</w:t>
      </w:r>
      <w:r w:rsidR="00774A88">
        <w:rPr>
          <w:rFonts w:ascii="Times New Roman" w:hAnsi="Times New Roman" w:cs="Times New Roman"/>
          <w:sz w:val="24"/>
          <w:szCs w:val="24"/>
        </w:rPr>
        <w:t xml:space="preserve"> w</w:t>
      </w:r>
      <w:r w:rsidR="009872CF">
        <w:rPr>
          <w:rFonts w:ascii="Times New Roman" w:hAnsi="Times New Roman" w:cs="Times New Roman"/>
          <w:sz w:val="24"/>
          <w:szCs w:val="24"/>
        </w:rPr>
        <w:t>ere</w:t>
      </w:r>
      <w:r w:rsidR="00774A88">
        <w:rPr>
          <w:rFonts w:ascii="Times New Roman" w:hAnsi="Times New Roman" w:cs="Times New Roman"/>
          <w:sz w:val="24"/>
          <w:szCs w:val="24"/>
        </w:rPr>
        <w:t xml:space="preserve"> also a factor as </w:t>
      </w:r>
      <w:r w:rsidR="00774A88">
        <w:rPr>
          <w:rFonts w:ascii="Times New Roman" w:hAnsi="Times New Roman" w:cs="Times New Roman"/>
          <w:sz w:val="24"/>
          <w:szCs w:val="24"/>
        </w:rPr>
        <w:t xml:space="preserve">Eliade was solely concerned about religion, meanwhile Durkheim was a sociologist who was interested in </w:t>
      </w:r>
      <w:r w:rsidR="00774A88">
        <w:rPr>
          <w:rFonts w:ascii="Times New Roman" w:hAnsi="Times New Roman" w:cs="Times New Roman"/>
          <w:sz w:val="24"/>
          <w:szCs w:val="24"/>
        </w:rPr>
        <w:t xml:space="preserve">critiquing </w:t>
      </w:r>
      <w:r w:rsidR="00774A88">
        <w:rPr>
          <w:rFonts w:ascii="Times New Roman" w:hAnsi="Times New Roman" w:cs="Times New Roman"/>
          <w:sz w:val="24"/>
          <w:szCs w:val="24"/>
        </w:rPr>
        <w:t>all areas of society</w:t>
      </w:r>
      <w:r w:rsidR="00774A88">
        <w:rPr>
          <w:rFonts w:ascii="Times New Roman" w:hAnsi="Times New Roman" w:cs="Times New Roman"/>
          <w:sz w:val="24"/>
          <w:szCs w:val="24"/>
        </w:rPr>
        <w:t xml:space="preserve">. </w:t>
      </w:r>
    </w:p>
    <w:p w14:paraId="01376AF9" w14:textId="2BB211B9" w:rsidR="009872CF" w:rsidRDefault="009872CF" w:rsidP="00972DD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aforementioned, by viewing the hybrid approaches proposed by Lane and Tilley, this may be used as an opportunity to view the perspectives of Durkheim and Eliade as complimentary rather than complete opposites. A sacred space may not be entirely created in the mind or by the divine, but instead as a compilation of individual factors such as personal or collective culture, environment, and experiences. </w:t>
      </w:r>
      <w:r w:rsidRPr="00E251FE">
        <w:rPr>
          <w:rFonts w:ascii="Times New Roman" w:hAnsi="Times New Roman" w:cs="Times New Roman"/>
          <w:sz w:val="24"/>
          <w:szCs w:val="24"/>
        </w:rPr>
        <w:t xml:space="preserve">Given that the sources </w:t>
      </w:r>
      <w:r w:rsidR="00E251FE" w:rsidRPr="00E251FE">
        <w:rPr>
          <w:rFonts w:ascii="Times New Roman" w:hAnsi="Times New Roman" w:cs="Times New Roman"/>
          <w:sz w:val="24"/>
          <w:szCs w:val="24"/>
        </w:rPr>
        <w:t>are now aged</w:t>
      </w:r>
      <w:r w:rsidRPr="00E251FE">
        <w:rPr>
          <w:rFonts w:ascii="Times New Roman" w:hAnsi="Times New Roman" w:cs="Times New Roman"/>
          <w:sz w:val="24"/>
          <w:szCs w:val="24"/>
        </w:rPr>
        <w:t>, it is imperative to understand how the idea of a sacred space translates into the 21</w:t>
      </w:r>
      <w:r w:rsidRPr="00E251FE">
        <w:rPr>
          <w:rFonts w:ascii="Times New Roman" w:hAnsi="Times New Roman" w:cs="Times New Roman"/>
          <w:sz w:val="24"/>
          <w:szCs w:val="24"/>
          <w:vertAlign w:val="superscript"/>
        </w:rPr>
        <w:t>st</w:t>
      </w:r>
      <w:r w:rsidRPr="00E251FE">
        <w:rPr>
          <w:rFonts w:ascii="Times New Roman" w:hAnsi="Times New Roman" w:cs="Times New Roman"/>
          <w:sz w:val="24"/>
          <w:szCs w:val="24"/>
        </w:rPr>
        <w:t xml:space="preserve"> century. In an ever increasing diverse and </w:t>
      </w:r>
      <w:r w:rsidRPr="00E251FE">
        <w:rPr>
          <w:rFonts w:ascii="Times New Roman" w:hAnsi="Times New Roman" w:cs="Times New Roman"/>
          <w:sz w:val="24"/>
          <w:szCs w:val="24"/>
        </w:rPr>
        <w:lastRenderedPageBreak/>
        <w:t xml:space="preserve">secular world, the approaches to sacred spaces are more complex </w:t>
      </w:r>
      <w:r w:rsidR="00E251FE">
        <w:rPr>
          <w:rFonts w:ascii="Times New Roman" w:hAnsi="Times New Roman" w:cs="Times New Roman"/>
          <w:sz w:val="24"/>
          <w:szCs w:val="24"/>
        </w:rPr>
        <w:t xml:space="preserve">than before and offer more material to discuss. </w:t>
      </w:r>
      <w:r>
        <w:rPr>
          <w:rFonts w:ascii="Times New Roman" w:hAnsi="Times New Roman" w:cs="Times New Roman"/>
          <w:sz w:val="24"/>
          <w:szCs w:val="24"/>
        </w:rPr>
        <w:t xml:space="preserve"> </w:t>
      </w:r>
    </w:p>
    <w:p w14:paraId="58C4BA47" w14:textId="77777777" w:rsidR="009872CF" w:rsidRDefault="009872CF" w:rsidP="00972DD3">
      <w:pPr>
        <w:spacing w:line="360" w:lineRule="auto"/>
        <w:jc w:val="both"/>
        <w:rPr>
          <w:rFonts w:ascii="Times New Roman" w:hAnsi="Times New Roman" w:cs="Times New Roman"/>
          <w:sz w:val="24"/>
          <w:szCs w:val="24"/>
        </w:rPr>
      </w:pPr>
    </w:p>
    <w:p w14:paraId="29CE6089" w14:textId="77777777" w:rsidR="00650558" w:rsidRDefault="00650558" w:rsidP="00972DD3">
      <w:pPr>
        <w:spacing w:line="360" w:lineRule="auto"/>
        <w:jc w:val="both"/>
        <w:rPr>
          <w:rFonts w:ascii="Times New Roman" w:hAnsi="Times New Roman" w:cs="Times New Roman"/>
          <w:sz w:val="24"/>
          <w:szCs w:val="24"/>
        </w:rPr>
      </w:pPr>
    </w:p>
    <w:p w14:paraId="336BCFC3" w14:textId="77777777" w:rsidR="009872CF" w:rsidRDefault="009872CF" w:rsidP="00972DD3">
      <w:pPr>
        <w:spacing w:line="360" w:lineRule="auto"/>
        <w:jc w:val="both"/>
        <w:rPr>
          <w:rFonts w:ascii="Times New Roman" w:hAnsi="Times New Roman" w:cs="Times New Roman"/>
          <w:sz w:val="24"/>
          <w:szCs w:val="24"/>
        </w:rPr>
      </w:pPr>
    </w:p>
    <w:p w14:paraId="1C7AC517" w14:textId="77777777" w:rsidR="009872CF" w:rsidRDefault="009872CF" w:rsidP="00972DD3">
      <w:pPr>
        <w:spacing w:line="360" w:lineRule="auto"/>
        <w:jc w:val="both"/>
        <w:rPr>
          <w:rFonts w:ascii="Times New Roman" w:hAnsi="Times New Roman" w:cs="Times New Roman"/>
          <w:sz w:val="24"/>
          <w:szCs w:val="24"/>
        </w:rPr>
      </w:pPr>
    </w:p>
    <w:p w14:paraId="51802DFD" w14:textId="77777777" w:rsidR="009872CF" w:rsidRDefault="009872CF" w:rsidP="00972DD3">
      <w:pPr>
        <w:spacing w:line="360" w:lineRule="auto"/>
        <w:jc w:val="both"/>
        <w:rPr>
          <w:rFonts w:ascii="Times New Roman" w:hAnsi="Times New Roman" w:cs="Times New Roman"/>
          <w:sz w:val="24"/>
          <w:szCs w:val="24"/>
        </w:rPr>
      </w:pPr>
    </w:p>
    <w:p w14:paraId="3834DA3E" w14:textId="77777777" w:rsidR="009872CF" w:rsidRDefault="009872CF" w:rsidP="00972DD3">
      <w:pPr>
        <w:spacing w:line="360" w:lineRule="auto"/>
        <w:jc w:val="both"/>
        <w:rPr>
          <w:rFonts w:ascii="Times New Roman" w:hAnsi="Times New Roman" w:cs="Times New Roman"/>
          <w:sz w:val="24"/>
          <w:szCs w:val="24"/>
        </w:rPr>
      </w:pPr>
    </w:p>
    <w:p w14:paraId="044309C0" w14:textId="77777777" w:rsidR="009872CF" w:rsidRDefault="009872CF" w:rsidP="00972DD3">
      <w:pPr>
        <w:spacing w:line="360" w:lineRule="auto"/>
        <w:jc w:val="both"/>
        <w:rPr>
          <w:rFonts w:ascii="Times New Roman" w:hAnsi="Times New Roman" w:cs="Times New Roman"/>
          <w:sz w:val="24"/>
          <w:szCs w:val="24"/>
        </w:rPr>
      </w:pPr>
    </w:p>
    <w:p w14:paraId="2F0D211D" w14:textId="77777777" w:rsidR="009872CF" w:rsidRDefault="009872CF" w:rsidP="00972DD3">
      <w:pPr>
        <w:spacing w:line="360" w:lineRule="auto"/>
        <w:jc w:val="both"/>
        <w:rPr>
          <w:rFonts w:ascii="Times New Roman" w:hAnsi="Times New Roman" w:cs="Times New Roman"/>
          <w:sz w:val="24"/>
          <w:szCs w:val="24"/>
        </w:rPr>
      </w:pPr>
    </w:p>
    <w:p w14:paraId="3D6FBEB2" w14:textId="77777777" w:rsidR="009872CF" w:rsidRDefault="009872CF" w:rsidP="00972DD3">
      <w:pPr>
        <w:spacing w:line="360" w:lineRule="auto"/>
        <w:jc w:val="both"/>
        <w:rPr>
          <w:rFonts w:ascii="Times New Roman" w:hAnsi="Times New Roman" w:cs="Times New Roman"/>
          <w:sz w:val="24"/>
          <w:szCs w:val="24"/>
        </w:rPr>
      </w:pPr>
    </w:p>
    <w:p w14:paraId="55A1142E" w14:textId="77777777" w:rsidR="009872CF" w:rsidRDefault="009872CF" w:rsidP="00972DD3">
      <w:pPr>
        <w:spacing w:line="360" w:lineRule="auto"/>
        <w:jc w:val="both"/>
        <w:rPr>
          <w:rFonts w:ascii="Times New Roman" w:hAnsi="Times New Roman" w:cs="Times New Roman"/>
          <w:sz w:val="24"/>
          <w:szCs w:val="24"/>
        </w:rPr>
      </w:pPr>
    </w:p>
    <w:p w14:paraId="731D9FA0" w14:textId="77777777" w:rsidR="009872CF" w:rsidRDefault="009872CF" w:rsidP="00972DD3">
      <w:pPr>
        <w:spacing w:line="360" w:lineRule="auto"/>
        <w:jc w:val="both"/>
        <w:rPr>
          <w:rFonts w:ascii="Times New Roman" w:hAnsi="Times New Roman" w:cs="Times New Roman"/>
          <w:sz w:val="24"/>
          <w:szCs w:val="24"/>
        </w:rPr>
      </w:pPr>
    </w:p>
    <w:p w14:paraId="5779C38E" w14:textId="77777777" w:rsidR="009872CF" w:rsidRDefault="009872CF" w:rsidP="00972DD3">
      <w:pPr>
        <w:spacing w:line="360" w:lineRule="auto"/>
        <w:jc w:val="both"/>
        <w:rPr>
          <w:rFonts w:ascii="Times New Roman" w:hAnsi="Times New Roman" w:cs="Times New Roman"/>
          <w:sz w:val="24"/>
          <w:szCs w:val="24"/>
        </w:rPr>
      </w:pPr>
    </w:p>
    <w:p w14:paraId="16BB2DA1" w14:textId="77777777" w:rsidR="009872CF" w:rsidRDefault="009872CF" w:rsidP="00972DD3">
      <w:pPr>
        <w:spacing w:line="360" w:lineRule="auto"/>
        <w:jc w:val="both"/>
        <w:rPr>
          <w:rFonts w:ascii="Times New Roman" w:hAnsi="Times New Roman" w:cs="Times New Roman"/>
          <w:sz w:val="24"/>
          <w:szCs w:val="24"/>
        </w:rPr>
      </w:pPr>
    </w:p>
    <w:p w14:paraId="0A955719" w14:textId="77777777" w:rsidR="009872CF" w:rsidRDefault="009872CF" w:rsidP="00972DD3">
      <w:pPr>
        <w:spacing w:line="360" w:lineRule="auto"/>
        <w:jc w:val="both"/>
        <w:rPr>
          <w:rFonts w:ascii="Times New Roman" w:hAnsi="Times New Roman" w:cs="Times New Roman"/>
          <w:sz w:val="24"/>
          <w:szCs w:val="24"/>
        </w:rPr>
      </w:pPr>
    </w:p>
    <w:p w14:paraId="58E04B80" w14:textId="77777777" w:rsidR="009872CF" w:rsidRDefault="009872CF" w:rsidP="00972DD3">
      <w:pPr>
        <w:spacing w:line="360" w:lineRule="auto"/>
        <w:jc w:val="both"/>
        <w:rPr>
          <w:rFonts w:ascii="Times New Roman" w:hAnsi="Times New Roman" w:cs="Times New Roman"/>
          <w:sz w:val="24"/>
          <w:szCs w:val="24"/>
        </w:rPr>
      </w:pPr>
    </w:p>
    <w:p w14:paraId="0F4379CB" w14:textId="77777777" w:rsidR="009872CF" w:rsidRDefault="009872CF" w:rsidP="00972DD3">
      <w:pPr>
        <w:spacing w:line="360" w:lineRule="auto"/>
        <w:jc w:val="both"/>
        <w:rPr>
          <w:rFonts w:ascii="Times New Roman" w:hAnsi="Times New Roman" w:cs="Times New Roman"/>
          <w:sz w:val="24"/>
          <w:szCs w:val="24"/>
        </w:rPr>
      </w:pPr>
    </w:p>
    <w:p w14:paraId="0B33D359" w14:textId="77777777" w:rsidR="00650558" w:rsidRDefault="00650558" w:rsidP="00972DD3">
      <w:pPr>
        <w:spacing w:line="360" w:lineRule="auto"/>
        <w:jc w:val="both"/>
        <w:rPr>
          <w:rFonts w:ascii="Times New Roman" w:hAnsi="Times New Roman" w:cs="Times New Roman"/>
          <w:sz w:val="24"/>
          <w:szCs w:val="24"/>
        </w:rPr>
      </w:pPr>
    </w:p>
    <w:p w14:paraId="5EED3F48" w14:textId="77777777" w:rsidR="00DC09B3" w:rsidRDefault="00DC09B3" w:rsidP="00972DD3">
      <w:pPr>
        <w:spacing w:line="360" w:lineRule="auto"/>
        <w:jc w:val="both"/>
        <w:rPr>
          <w:rFonts w:ascii="Times New Roman" w:hAnsi="Times New Roman" w:cs="Times New Roman"/>
          <w:sz w:val="24"/>
          <w:szCs w:val="24"/>
        </w:rPr>
      </w:pPr>
    </w:p>
    <w:p w14:paraId="76908E8A" w14:textId="77777777" w:rsidR="004A5BD4" w:rsidRDefault="004A5BD4" w:rsidP="00972DD3">
      <w:pPr>
        <w:spacing w:line="360" w:lineRule="auto"/>
        <w:jc w:val="both"/>
        <w:rPr>
          <w:rFonts w:ascii="Times New Roman" w:hAnsi="Times New Roman" w:cs="Times New Roman"/>
          <w:sz w:val="24"/>
          <w:szCs w:val="24"/>
        </w:rPr>
      </w:pPr>
    </w:p>
    <w:p w14:paraId="705D1B3E" w14:textId="77777777" w:rsidR="00972EB2" w:rsidRDefault="00972EB2" w:rsidP="00803AF1">
      <w:pPr>
        <w:rPr>
          <w:rFonts w:ascii="Times New Roman" w:hAnsi="Times New Roman" w:cs="Times New Roman"/>
          <w:sz w:val="24"/>
          <w:szCs w:val="24"/>
        </w:rPr>
      </w:pPr>
    </w:p>
    <w:p w14:paraId="7865EE08" w14:textId="77777777" w:rsidR="009872CF" w:rsidRDefault="009872CF" w:rsidP="00803AF1">
      <w:pPr>
        <w:rPr>
          <w:rFonts w:ascii="Times New Roman" w:hAnsi="Times New Roman" w:cs="Times New Roman"/>
          <w:sz w:val="24"/>
          <w:szCs w:val="24"/>
          <w:u w:val="single"/>
        </w:rPr>
      </w:pPr>
    </w:p>
    <w:p w14:paraId="1CA24590" w14:textId="54B71C84" w:rsidR="003D457F" w:rsidRDefault="003D457F" w:rsidP="00803AF1">
      <w:pPr>
        <w:rPr>
          <w:rFonts w:ascii="Times New Roman" w:hAnsi="Times New Roman" w:cs="Times New Roman"/>
          <w:sz w:val="24"/>
          <w:szCs w:val="24"/>
          <w:u w:val="single"/>
        </w:rPr>
      </w:pPr>
      <w:r>
        <w:rPr>
          <w:rFonts w:ascii="Times New Roman" w:hAnsi="Times New Roman" w:cs="Times New Roman"/>
          <w:sz w:val="24"/>
          <w:szCs w:val="24"/>
          <w:u w:val="single"/>
        </w:rPr>
        <w:lastRenderedPageBreak/>
        <w:t>Bibliography</w:t>
      </w:r>
    </w:p>
    <w:p w14:paraId="53DECB4A" w14:textId="77777777" w:rsidR="000A107C" w:rsidRDefault="000A107C" w:rsidP="00803AF1">
      <w:pPr>
        <w:rPr>
          <w:rFonts w:ascii="Times New Roman" w:hAnsi="Times New Roman" w:cs="Times New Roman"/>
          <w:sz w:val="24"/>
          <w:szCs w:val="24"/>
          <w:u w:val="single"/>
        </w:rPr>
      </w:pPr>
    </w:p>
    <w:p w14:paraId="7E71728D" w14:textId="78D24263" w:rsidR="000A107C" w:rsidRPr="000A107C" w:rsidRDefault="000A107C" w:rsidP="00803AF1">
      <w:pPr>
        <w:rPr>
          <w:rFonts w:ascii="Times New Roman" w:hAnsi="Times New Roman" w:cs="Times New Roman"/>
          <w:sz w:val="24"/>
          <w:szCs w:val="24"/>
          <w:lang w:val="en-GB"/>
        </w:rPr>
      </w:pPr>
      <w:proofErr w:type="spellStart"/>
      <w:r w:rsidRPr="000A107C">
        <w:rPr>
          <w:rFonts w:ascii="Times New Roman" w:hAnsi="Times New Roman" w:cs="Times New Roman"/>
          <w:sz w:val="24"/>
          <w:szCs w:val="24"/>
          <w:lang w:val="en-GB"/>
        </w:rPr>
        <w:t>Ahava</w:t>
      </w:r>
      <w:proofErr w:type="spellEnd"/>
      <w:r w:rsidRPr="000A107C">
        <w:rPr>
          <w:rFonts w:ascii="Times New Roman" w:hAnsi="Times New Roman" w:cs="Times New Roman"/>
          <w:sz w:val="24"/>
          <w:szCs w:val="24"/>
          <w:lang w:val="en-GB"/>
        </w:rPr>
        <w:t>,</w:t>
      </w:r>
      <w:r w:rsidRPr="000A107C">
        <w:rPr>
          <w:rFonts w:ascii="Times New Roman" w:hAnsi="Times New Roman" w:cs="Times New Roman"/>
          <w:sz w:val="24"/>
          <w:szCs w:val="24"/>
          <w:lang w:val="en-GB"/>
        </w:rPr>
        <w:t xml:space="preserve"> S.</w:t>
      </w:r>
      <w:r w:rsidRPr="000A107C">
        <w:rPr>
          <w:rFonts w:ascii="Times New Roman" w:hAnsi="Times New Roman" w:cs="Times New Roman"/>
          <w:sz w:val="24"/>
          <w:szCs w:val="24"/>
          <w:lang w:val="en-GB"/>
        </w:rPr>
        <w:t xml:space="preserve"> </w:t>
      </w:r>
      <w:proofErr w:type="spellStart"/>
      <w:r w:rsidRPr="000A107C">
        <w:rPr>
          <w:rFonts w:ascii="Times New Roman" w:hAnsi="Times New Roman" w:cs="Times New Roman"/>
          <w:sz w:val="24"/>
          <w:szCs w:val="24"/>
          <w:lang w:val="en-GB"/>
        </w:rPr>
        <w:t>Buccella</w:t>
      </w:r>
      <w:proofErr w:type="spellEnd"/>
      <w:r w:rsidRPr="000A107C">
        <w:rPr>
          <w:rFonts w:ascii="Times New Roman" w:hAnsi="Times New Roman" w:cs="Times New Roman"/>
          <w:sz w:val="24"/>
          <w:szCs w:val="24"/>
          <w:lang w:val="en-GB"/>
        </w:rPr>
        <w:t xml:space="preserve">, </w:t>
      </w:r>
      <w:proofErr w:type="gramStart"/>
      <w:r w:rsidRPr="000A107C">
        <w:rPr>
          <w:rFonts w:ascii="Times New Roman" w:hAnsi="Times New Roman" w:cs="Times New Roman"/>
          <w:sz w:val="24"/>
          <w:szCs w:val="24"/>
          <w:lang w:val="en-GB"/>
        </w:rPr>
        <w:t>N.</w:t>
      </w:r>
      <w:proofErr w:type="gramEnd"/>
      <w:r w:rsidRPr="000A107C">
        <w:rPr>
          <w:rFonts w:ascii="Times New Roman" w:hAnsi="Times New Roman" w:cs="Times New Roman"/>
          <w:sz w:val="24"/>
          <w:szCs w:val="24"/>
          <w:lang w:val="en-GB"/>
        </w:rPr>
        <w:t xml:space="preserve"> and Lucas, </w:t>
      </w:r>
      <w:r w:rsidRPr="000A107C">
        <w:rPr>
          <w:rFonts w:ascii="Times New Roman" w:hAnsi="Times New Roman" w:cs="Times New Roman"/>
          <w:sz w:val="24"/>
          <w:szCs w:val="24"/>
          <w:lang w:val="en-GB"/>
        </w:rPr>
        <w:t xml:space="preserve">O.M. </w:t>
      </w:r>
      <w:r w:rsidRPr="000A107C">
        <w:rPr>
          <w:rFonts w:ascii="Times New Roman" w:hAnsi="Times New Roman" w:cs="Times New Roman"/>
          <w:sz w:val="24"/>
          <w:szCs w:val="24"/>
          <w:lang w:val="en-GB"/>
        </w:rPr>
        <w:t xml:space="preserve">‘The Power of Human Experience Within Sacred Space’, in </w:t>
      </w:r>
      <w:r w:rsidRPr="000A107C">
        <w:rPr>
          <w:rFonts w:ascii="Times New Roman" w:hAnsi="Times New Roman" w:cs="Times New Roman"/>
          <w:i/>
          <w:iCs/>
          <w:sz w:val="24"/>
          <w:szCs w:val="24"/>
          <w:lang w:val="en-GB"/>
        </w:rPr>
        <w:t xml:space="preserve">Sacred Spaces: An Introduction to the Geographic Study of Religions and Belief Systems, </w:t>
      </w:r>
      <w:r w:rsidRPr="000A107C">
        <w:rPr>
          <w:rFonts w:ascii="Times New Roman" w:hAnsi="Times New Roman" w:cs="Times New Roman"/>
          <w:sz w:val="24"/>
          <w:szCs w:val="24"/>
          <w:lang w:val="en-GB"/>
        </w:rPr>
        <w:t>eds. Finlayson</w:t>
      </w:r>
      <w:r w:rsidRPr="000A107C">
        <w:rPr>
          <w:rFonts w:ascii="Times New Roman" w:hAnsi="Times New Roman" w:cs="Times New Roman"/>
          <w:sz w:val="24"/>
          <w:szCs w:val="24"/>
          <w:lang w:val="en-GB"/>
        </w:rPr>
        <w:t>, C.</w:t>
      </w:r>
      <w:r w:rsidRPr="000A107C">
        <w:rPr>
          <w:rFonts w:ascii="Times New Roman" w:hAnsi="Times New Roman" w:cs="Times New Roman"/>
          <w:sz w:val="24"/>
          <w:szCs w:val="24"/>
          <w:lang w:val="en-GB"/>
        </w:rPr>
        <w:t xml:space="preserve"> (Montreal: Pressbooks, 2024)</w:t>
      </w:r>
      <w:r w:rsidRPr="000A107C">
        <w:rPr>
          <w:rFonts w:ascii="Times New Roman" w:hAnsi="Times New Roman" w:cs="Times New Roman"/>
          <w:sz w:val="24"/>
          <w:szCs w:val="24"/>
          <w:lang w:val="en-GB"/>
        </w:rPr>
        <w:t>.</w:t>
      </w:r>
    </w:p>
    <w:p w14:paraId="3FF90C0B" w14:textId="77777777"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rPr>
        <w:t xml:space="preserve">Brady, B. ‘Introduction Part 1’ </w:t>
      </w:r>
      <w:r w:rsidRPr="00C328CB">
        <w:rPr>
          <w:rFonts w:ascii="Times New Roman" w:hAnsi="Times New Roman" w:cs="Times New Roman"/>
          <w:sz w:val="24"/>
          <w:szCs w:val="24"/>
          <w:lang w:val="en-GB"/>
        </w:rPr>
        <w:t xml:space="preserve">in </w:t>
      </w:r>
      <w:r w:rsidRPr="00C328CB">
        <w:rPr>
          <w:rFonts w:ascii="Times New Roman" w:hAnsi="Times New Roman" w:cs="Times New Roman"/>
          <w:i/>
          <w:iCs/>
          <w:sz w:val="24"/>
          <w:szCs w:val="24"/>
          <w:lang w:val="en-GB"/>
        </w:rPr>
        <w:t xml:space="preserve">Sacred Geography: Conversations with Place, </w:t>
      </w:r>
      <w:r w:rsidRPr="00C328CB">
        <w:rPr>
          <w:rFonts w:ascii="Times New Roman" w:hAnsi="Times New Roman" w:cs="Times New Roman"/>
          <w:sz w:val="24"/>
          <w:szCs w:val="24"/>
          <w:lang w:val="en-GB"/>
        </w:rPr>
        <w:t>eds. Brady, B. and Hunter, J. (Wales: Sophia Centre Press, 2024).</w:t>
      </w:r>
    </w:p>
    <w:p w14:paraId="6E43C412" w14:textId="77777777" w:rsidR="002B32AD" w:rsidRPr="00C328CB" w:rsidRDefault="002B32AD" w:rsidP="002B32AD">
      <w:pPr>
        <w:pStyle w:val="FootnoteText"/>
        <w:rPr>
          <w:rFonts w:ascii="Times New Roman" w:hAnsi="Times New Roman" w:cs="Times New Roman"/>
          <w:sz w:val="24"/>
          <w:szCs w:val="24"/>
          <w:lang w:val="en-GB"/>
        </w:rPr>
      </w:pPr>
    </w:p>
    <w:p w14:paraId="37C395E1" w14:textId="77777777" w:rsidR="002B32AD" w:rsidRDefault="002B32AD" w:rsidP="002B32AD">
      <w:pPr>
        <w:pStyle w:val="FootnoteText"/>
        <w:rPr>
          <w:sz w:val="24"/>
          <w:szCs w:val="24"/>
          <w:lang w:val="en-GB"/>
        </w:rPr>
      </w:pPr>
      <w:r w:rsidRPr="00C328CB">
        <w:rPr>
          <w:rFonts w:ascii="Times New Roman" w:hAnsi="Times New Roman" w:cs="Times New Roman"/>
          <w:sz w:val="24"/>
          <w:szCs w:val="24"/>
          <w:lang w:val="en-GB"/>
        </w:rPr>
        <w:t xml:space="preserve">Barret, D. B. and Johnson, T. M. </w:t>
      </w:r>
      <w:r w:rsidRPr="00C328CB">
        <w:rPr>
          <w:rFonts w:ascii="Times New Roman" w:hAnsi="Times New Roman" w:cs="Times New Roman"/>
          <w:i/>
          <w:iCs/>
          <w:sz w:val="24"/>
          <w:szCs w:val="24"/>
          <w:lang w:val="en-GB"/>
        </w:rPr>
        <w:t xml:space="preserve">Annual Table of World Religions, 1900-2025 </w:t>
      </w:r>
      <w:r w:rsidRPr="00C328CB">
        <w:rPr>
          <w:rFonts w:ascii="Times New Roman" w:hAnsi="Times New Roman" w:cs="Times New Roman"/>
          <w:sz w:val="24"/>
          <w:szCs w:val="24"/>
          <w:lang w:val="en-GB"/>
        </w:rPr>
        <w:t>(2002) https://www.wnrf.org/cms/statuswr.shtml [accessed 24th October 2025].</w:t>
      </w:r>
      <w:r w:rsidRPr="00C328CB">
        <w:rPr>
          <w:sz w:val="24"/>
          <w:szCs w:val="24"/>
          <w:lang w:val="en-GB"/>
        </w:rPr>
        <w:t xml:space="preserve"> </w:t>
      </w:r>
    </w:p>
    <w:p w14:paraId="6C5FBFFF" w14:textId="77777777" w:rsidR="0012233B" w:rsidRDefault="0012233B" w:rsidP="002B32AD">
      <w:pPr>
        <w:pStyle w:val="FootnoteText"/>
        <w:rPr>
          <w:sz w:val="24"/>
          <w:szCs w:val="24"/>
          <w:lang w:val="en-GB"/>
        </w:rPr>
      </w:pPr>
    </w:p>
    <w:p w14:paraId="5B5E087E" w14:textId="4178C0C3" w:rsidR="0012233B" w:rsidRPr="0012233B" w:rsidRDefault="0012233B" w:rsidP="002B32AD">
      <w:pPr>
        <w:pStyle w:val="FootnoteText"/>
        <w:rPr>
          <w:sz w:val="24"/>
          <w:szCs w:val="24"/>
          <w:lang w:val="en-GB"/>
        </w:rPr>
      </w:pPr>
      <w:r w:rsidRPr="0012233B">
        <w:rPr>
          <w:rFonts w:ascii="Times New Roman" w:hAnsi="Times New Roman" w:cs="Times New Roman"/>
          <w:sz w:val="24"/>
          <w:szCs w:val="24"/>
          <w:lang w:val="en-GB"/>
        </w:rPr>
        <w:t xml:space="preserve">Britannica Encyclopaedia, </w:t>
      </w:r>
      <w:r w:rsidRPr="0012233B">
        <w:rPr>
          <w:rFonts w:ascii="Times New Roman" w:hAnsi="Times New Roman" w:cs="Times New Roman"/>
          <w:i/>
          <w:iCs/>
          <w:sz w:val="24"/>
          <w:szCs w:val="24"/>
          <w:lang w:val="en-GB"/>
        </w:rPr>
        <w:t xml:space="preserve">Sacred </w:t>
      </w:r>
      <w:r w:rsidRPr="0012233B">
        <w:rPr>
          <w:rFonts w:ascii="Times New Roman" w:hAnsi="Times New Roman" w:cs="Times New Roman"/>
          <w:sz w:val="24"/>
          <w:szCs w:val="24"/>
          <w:lang w:val="en-GB"/>
        </w:rPr>
        <w:t>(2025) https://www.britannica.com/topic/sacred [accessed 24th October 2025].</w:t>
      </w:r>
    </w:p>
    <w:p w14:paraId="504FC6DB" w14:textId="77777777" w:rsidR="002B32AD" w:rsidRPr="00C328CB" w:rsidRDefault="002B32AD" w:rsidP="002B32AD">
      <w:pPr>
        <w:pStyle w:val="FootnoteText"/>
        <w:rPr>
          <w:rFonts w:ascii="Times New Roman" w:hAnsi="Times New Roman" w:cs="Times New Roman"/>
          <w:sz w:val="24"/>
          <w:szCs w:val="24"/>
          <w:lang w:val="en-GB"/>
        </w:rPr>
      </w:pPr>
    </w:p>
    <w:p w14:paraId="4B677E66" w14:textId="705249F5"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rPr>
        <w:t xml:space="preserve">Durkheim, E. </w:t>
      </w:r>
      <w:r w:rsidRPr="00C328CB">
        <w:rPr>
          <w:rFonts w:ascii="Times New Roman" w:hAnsi="Times New Roman" w:cs="Times New Roman"/>
          <w:i/>
          <w:iCs/>
          <w:sz w:val="24"/>
          <w:szCs w:val="24"/>
        </w:rPr>
        <w:t>The Elementary Forms of Religious Life,</w:t>
      </w:r>
      <w:r w:rsidRPr="00C328CB">
        <w:rPr>
          <w:rFonts w:ascii="Times New Roman" w:hAnsi="Times New Roman" w:cs="Times New Roman"/>
          <w:sz w:val="24"/>
          <w:szCs w:val="24"/>
        </w:rPr>
        <w:t xml:space="preserve"> trans</w:t>
      </w:r>
      <w:r w:rsidRPr="00C328CB">
        <w:rPr>
          <w:rFonts w:ascii="Times New Roman" w:hAnsi="Times New Roman" w:cs="Times New Roman"/>
          <w:i/>
          <w:iCs/>
          <w:sz w:val="24"/>
          <w:szCs w:val="24"/>
        </w:rPr>
        <w:t xml:space="preserve">. </w:t>
      </w:r>
      <w:r w:rsidRPr="00C328CB">
        <w:rPr>
          <w:rFonts w:ascii="Times New Roman" w:hAnsi="Times New Roman" w:cs="Times New Roman"/>
          <w:sz w:val="24"/>
          <w:szCs w:val="24"/>
        </w:rPr>
        <w:t>Fields, K. (New York: The Free Press, 1995)</w:t>
      </w:r>
      <w:r w:rsidRPr="00C328CB">
        <w:rPr>
          <w:rFonts w:ascii="Times New Roman" w:hAnsi="Times New Roman" w:cs="Times New Roman"/>
          <w:sz w:val="24"/>
          <w:szCs w:val="24"/>
          <w:lang w:val="en-GB"/>
        </w:rPr>
        <w:t>.</w:t>
      </w:r>
    </w:p>
    <w:p w14:paraId="455E73E0" w14:textId="77777777" w:rsidR="002B32AD" w:rsidRPr="00C328CB" w:rsidRDefault="002B32AD" w:rsidP="002B32AD">
      <w:pPr>
        <w:pStyle w:val="FootnoteText"/>
        <w:rPr>
          <w:rFonts w:ascii="Times New Roman" w:hAnsi="Times New Roman" w:cs="Times New Roman"/>
          <w:sz w:val="24"/>
          <w:szCs w:val="24"/>
          <w:lang w:val="en-GB"/>
        </w:rPr>
      </w:pPr>
    </w:p>
    <w:p w14:paraId="539030DD" w14:textId="77777777" w:rsidR="002B32AD" w:rsidRPr="00C328CB" w:rsidRDefault="002B32AD" w:rsidP="002B32AD">
      <w:pPr>
        <w:pStyle w:val="FootnoteText"/>
        <w:rPr>
          <w:rFonts w:ascii="Times New Roman" w:hAnsi="Times New Roman" w:cs="Times New Roman"/>
          <w:sz w:val="24"/>
          <w:szCs w:val="24"/>
        </w:rPr>
      </w:pPr>
      <w:r w:rsidRPr="00C328CB">
        <w:rPr>
          <w:rFonts w:ascii="Times New Roman" w:hAnsi="Times New Roman" w:cs="Times New Roman"/>
          <w:sz w:val="24"/>
          <w:szCs w:val="24"/>
        </w:rPr>
        <w:t xml:space="preserve">Eliade, M. </w:t>
      </w:r>
      <w:r w:rsidRPr="00C328CB">
        <w:rPr>
          <w:rFonts w:ascii="Times New Roman" w:hAnsi="Times New Roman" w:cs="Times New Roman"/>
          <w:i/>
          <w:iCs/>
          <w:sz w:val="24"/>
          <w:szCs w:val="24"/>
        </w:rPr>
        <w:t xml:space="preserve">The Sacred and the Profane </w:t>
      </w:r>
      <w:r w:rsidRPr="00C328CB">
        <w:rPr>
          <w:rFonts w:ascii="Times New Roman" w:hAnsi="Times New Roman" w:cs="Times New Roman"/>
          <w:sz w:val="24"/>
          <w:szCs w:val="24"/>
        </w:rPr>
        <w:t>(New York: Harcourt, 1987).</w:t>
      </w:r>
    </w:p>
    <w:p w14:paraId="5DAF7BFB" w14:textId="77777777" w:rsidR="002B32AD" w:rsidRPr="00C328CB" w:rsidRDefault="002B32AD" w:rsidP="002B32AD">
      <w:pPr>
        <w:pStyle w:val="FootnoteText"/>
        <w:rPr>
          <w:rFonts w:ascii="Times New Roman" w:hAnsi="Times New Roman" w:cs="Times New Roman"/>
          <w:sz w:val="24"/>
          <w:szCs w:val="24"/>
          <w:lang w:val="en-GB"/>
        </w:rPr>
      </w:pPr>
    </w:p>
    <w:p w14:paraId="75BF1E44" w14:textId="1FEC219C"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Eliade, M. </w:t>
      </w:r>
      <w:r w:rsidRPr="00C328CB">
        <w:rPr>
          <w:rFonts w:ascii="Times New Roman" w:hAnsi="Times New Roman" w:cs="Times New Roman"/>
          <w:i/>
          <w:iCs/>
          <w:sz w:val="24"/>
          <w:szCs w:val="24"/>
          <w:lang w:val="en-GB"/>
        </w:rPr>
        <w:t>The Myth of the Eternal Return: Cosmos and History</w:t>
      </w:r>
      <w:r w:rsidRPr="00C328CB">
        <w:rPr>
          <w:rFonts w:ascii="Times New Roman" w:hAnsi="Times New Roman" w:cs="Times New Roman"/>
          <w:sz w:val="24"/>
          <w:szCs w:val="24"/>
          <w:lang w:val="en-GB"/>
        </w:rPr>
        <w:t>. Trans. Willard R. Trask (New Jersey: Princeton University Press, 1971).</w:t>
      </w:r>
    </w:p>
    <w:p w14:paraId="57A91C4D" w14:textId="77777777" w:rsidR="002B32AD" w:rsidRPr="00C328CB" w:rsidRDefault="002B32AD" w:rsidP="002B32AD">
      <w:pPr>
        <w:pStyle w:val="FootnoteText"/>
        <w:rPr>
          <w:sz w:val="24"/>
          <w:szCs w:val="24"/>
          <w:lang w:val="en-GB"/>
        </w:rPr>
      </w:pPr>
    </w:p>
    <w:p w14:paraId="46048A18" w14:textId="3BFA4788" w:rsidR="003D457F" w:rsidRPr="00C328CB" w:rsidRDefault="003D457F" w:rsidP="003D457F">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Evans,</w:t>
      </w:r>
      <w:r w:rsidR="002B32AD" w:rsidRPr="00C328CB">
        <w:rPr>
          <w:rFonts w:ascii="Times New Roman" w:hAnsi="Times New Roman" w:cs="Times New Roman"/>
          <w:sz w:val="24"/>
          <w:szCs w:val="24"/>
          <w:lang w:val="en-GB"/>
        </w:rPr>
        <w:t xml:space="preserve"> M. T.</w:t>
      </w:r>
      <w:r w:rsidRPr="00C328CB">
        <w:rPr>
          <w:rFonts w:ascii="Times New Roman" w:hAnsi="Times New Roman" w:cs="Times New Roman"/>
          <w:sz w:val="24"/>
          <w:szCs w:val="24"/>
          <w:lang w:val="en-GB"/>
        </w:rPr>
        <w:t xml:space="preserve"> ‘The Sacred: Differentiating, Clarifying and Extending Concepts’, in </w:t>
      </w:r>
      <w:r w:rsidRPr="00C328CB">
        <w:rPr>
          <w:rFonts w:ascii="Times New Roman" w:hAnsi="Times New Roman" w:cs="Times New Roman"/>
          <w:i/>
          <w:iCs/>
          <w:sz w:val="24"/>
          <w:szCs w:val="24"/>
          <w:lang w:val="en-GB"/>
        </w:rPr>
        <w:t xml:space="preserve">Review of Religious Research </w:t>
      </w:r>
      <w:r w:rsidRPr="00C328CB">
        <w:rPr>
          <w:rFonts w:ascii="Times New Roman" w:hAnsi="Times New Roman" w:cs="Times New Roman"/>
          <w:sz w:val="24"/>
          <w:szCs w:val="24"/>
          <w:lang w:val="en-GB"/>
        </w:rPr>
        <w:t>vol.45 (1), (London: Sage Publications Ltd, 2003).</w:t>
      </w:r>
    </w:p>
    <w:p w14:paraId="2D2F1D91" w14:textId="77777777" w:rsidR="002B32AD" w:rsidRPr="00C328CB" w:rsidRDefault="002B32AD" w:rsidP="003D457F">
      <w:pPr>
        <w:pStyle w:val="FootnoteText"/>
        <w:rPr>
          <w:rFonts w:ascii="Times New Roman" w:hAnsi="Times New Roman" w:cs="Times New Roman"/>
          <w:sz w:val="24"/>
          <w:szCs w:val="24"/>
          <w:lang w:val="en-GB"/>
        </w:rPr>
      </w:pPr>
    </w:p>
    <w:p w14:paraId="7E3480F1" w14:textId="1DAF01F7" w:rsidR="002B32AD" w:rsidRPr="00C328CB" w:rsidRDefault="002B32AD" w:rsidP="003D457F">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Fay, W. ‘The Gnome, The Rock and The Pool – Sacredness in a Domestic Garden’, in </w:t>
      </w:r>
      <w:r w:rsidRPr="00C328CB">
        <w:rPr>
          <w:rFonts w:ascii="Times New Roman" w:hAnsi="Times New Roman" w:cs="Times New Roman"/>
          <w:i/>
          <w:iCs/>
          <w:sz w:val="24"/>
          <w:szCs w:val="24"/>
          <w:lang w:val="en-GB"/>
        </w:rPr>
        <w:t xml:space="preserve">Sacred Geography: Conversations with Place, </w:t>
      </w:r>
      <w:r w:rsidRPr="00C328CB">
        <w:rPr>
          <w:rFonts w:ascii="Times New Roman" w:hAnsi="Times New Roman" w:cs="Times New Roman"/>
          <w:sz w:val="24"/>
          <w:szCs w:val="24"/>
          <w:lang w:val="en-GB"/>
        </w:rPr>
        <w:t>eds. Brady, B. and Hunter, J. (Wales: Sophia Centre Press, 2024).</w:t>
      </w:r>
    </w:p>
    <w:p w14:paraId="21F1D276" w14:textId="77777777" w:rsidR="002B32AD" w:rsidRPr="00C328CB" w:rsidRDefault="002B32AD" w:rsidP="003D457F">
      <w:pPr>
        <w:pStyle w:val="FootnoteText"/>
        <w:rPr>
          <w:rFonts w:ascii="Times New Roman" w:hAnsi="Times New Roman" w:cs="Times New Roman"/>
          <w:sz w:val="24"/>
          <w:szCs w:val="24"/>
          <w:lang w:val="en-GB"/>
        </w:rPr>
      </w:pPr>
    </w:p>
    <w:p w14:paraId="54A5DCFE" w14:textId="1B89EA56" w:rsidR="002B32AD" w:rsidRPr="00C328CB" w:rsidRDefault="002B32AD" w:rsidP="003D457F">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Hunter, J. </w:t>
      </w:r>
      <w:r w:rsidRPr="00C328CB">
        <w:rPr>
          <w:rFonts w:ascii="Times New Roman" w:hAnsi="Times New Roman" w:cs="Times New Roman"/>
          <w:sz w:val="24"/>
          <w:szCs w:val="24"/>
        </w:rPr>
        <w:t xml:space="preserve">‘Introduction Part 2’ </w:t>
      </w:r>
      <w:r w:rsidRPr="00C328CB">
        <w:rPr>
          <w:rFonts w:ascii="Times New Roman" w:hAnsi="Times New Roman" w:cs="Times New Roman"/>
          <w:sz w:val="24"/>
          <w:szCs w:val="24"/>
          <w:lang w:val="en-GB"/>
        </w:rPr>
        <w:t xml:space="preserve">in </w:t>
      </w:r>
      <w:r w:rsidRPr="00C328CB">
        <w:rPr>
          <w:rFonts w:ascii="Times New Roman" w:hAnsi="Times New Roman" w:cs="Times New Roman"/>
          <w:i/>
          <w:iCs/>
          <w:sz w:val="24"/>
          <w:szCs w:val="24"/>
          <w:lang w:val="en-GB"/>
        </w:rPr>
        <w:t xml:space="preserve">Sacred Geography: Conversations with Place, </w:t>
      </w:r>
      <w:r w:rsidRPr="00C328CB">
        <w:rPr>
          <w:rFonts w:ascii="Times New Roman" w:hAnsi="Times New Roman" w:cs="Times New Roman"/>
          <w:sz w:val="24"/>
          <w:szCs w:val="24"/>
          <w:lang w:val="en-GB"/>
        </w:rPr>
        <w:t>eds. Brady, B. and Hunter, J. (Wales: Sophia Centre Press, 2024).</w:t>
      </w:r>
    </w:p>
    <w:p w14:paraId="6774A9AD" w14:textId="77777777" w:rsidR="002B32AD" w:rsidRPr="00C328CB" w:rsidRDefault="002B32AD" w:rsidP="003D457F">
      <w:pPr>
        <w:pStyle w:val="FootnoteText"/>
        <w:rPr>
          <w:rFonts w:ascii="Times New Roman" w:hAnsi="Times New Roman" w:cs="Times New Roman"/>
          <w:sz w:val="24"/>
          <w:szCs w:val="24"/>
          <w:lang w:val="en-GB"/>
        </w:rPr>
      </w:pPr>
    </w:p>
    <w:p w14:paraId="2EA811F6" w14:textId="77777777" w:rsidR="002B32AD" w:rsidRPr="00C328CB" w:rsidRDefault="002B32AD" w:rsidP="003D457F">
      <w:pPr>
        <w:pStyle w:val="FootnoteText"/>
        <w:rPr>
          <w:rFonts w:ascii="Times New Roman" w:hAnsi="Times New Roman" w:cs="Times New Roman"/>
          <w:sz w:val="24"/>
          <w:szCs w:val="24"/>
          <w:lang w:val="en-GB"/>
        </w:rPr>
      </w:pPr>
    </w:p>
    <w:p w14:paraId="00C5D227" w14:textId="77777777"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Kitagawa, J. M. O’Flaherty, W. D. and Reynolds, F. E. ‘Mircea Eliade (1907-96) in </w:t>
      </w:r>
      <w:r w:rsidRPr="00C328CB">
        <w:rPr>
          <w:rFonts w:ascii="Times New Roman" w:hAnsi="Times New Roman" w:cs="Times New Roman"/>
          <w:i/>
          <w:iCs/>
          <w:sz w:val="24"/>
          <w:szCs w:val="24"/>
          <w:lang w:val="en-GB"/>
        </w:rPr>
        <w:t xml:space="preserve">History of Religions, </w:t>
      </w:r>
      <w:r w:rsidRPr="00C328CB">
        <w:rPr>
          <w:rFonts w:ascii="Times New Roman" w:hAnsi="Times New Roman" w:cs="Times New Roman"/>
          <w:sz w:val="24"/>
          <w:szCs w:val="24"/>
          <w:lang w:val="en-GB"/>
        </w:rPr>
        <w:t>vol.26 (1), (Chicago: University of Chicago Press, 1986).</w:t>
      </w:r>
    </w:p>
    <w:p w14:paraId="3E15A827" w14:textId="77777777" w:rsidR="002B32AD" w:rsidRPr="00C328CB" w:rsidRDefault="002B32AD" w:rsidP="002B32AD">
      <w:pPr>
        <w:pStyle w:val="FootnoteText"/>
        <w:rPr>
          <w:rFonts w:ascii="Times New Roman" w:hAnsi="Times New Roman" w:cs="Times New Roman"/>
          <w:sz w:val="24"/>
          <w:szCs w:val="24"/>
          <w:lang w:val="en-GB"/>
        </w:rPr>
      </w:pPr>
    </w:p>
    <w:p w14:paraId="498F2472" w14:textId="77777777" w:rsidR="002B32AD" w:rsidRPr="00C328CB" w:rsidRDefault="002B32AD" w:rsidP="002B32AD">
      <w:pPr>
        <w:pStyle w:val="FootnoteText"/>
        <w:rPr>
          <w:rFonts w:ascii="Times New Roman" w:hAnsi="Times New Roman" w:cs="Times New Roman"/>
          <w:sz w:val="24"/>
          <w:szCs w:val="24"/>
          <w:lang w:val="en-GB"/>
        </w:rPr>
      </w:pPr>
    </w:p>
    <w:p w14:paraId="1375F565" w14:textId="77777777"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Lane, B. C. </w:t>
      </w:r>
      <w:r w:rsidRPr="00C328CB">
        <w:rPr>
          <w:rFonts w:ascii="Times New Roman" w:hAnsi="Times New Roman" w:cs="Times New Roman"/>
          <w:i/>
          <w:iCs/>
          <w:sz w:val="24"/>
          <w:szCs w:val="24"/>
          <w:lang w:val="en-GB"/>
        </w:rPr>
        <w:t xml:space="preserve">Landscapes of the Sacred: Geography and Narrative in American Spirituality </w:t>
      </w:r>
      <w:r w:rsidRPr="00C328CB">
        <w:rPr>
          <w:rFonts w:ascii="Times New Roman" w:hAnsi="Times New Roman" w:cs="Times New Roman"/>
          <w:sz w:val="24"/>
          <w:szCs w:val="24"/>
          <w:lang w:val="en-GB"/>
        </w:rPr>
        <w:t>(London: John Hopkins University Press, 2001).</w:t>
      </w:r>
    </w:p>
    <w:p w14:paraId="22E5D768" w14:textId="77777777" w:rsidR="002B32AD" w:rsidRPr="00C328CB" w:rsidRDefault="002B32AD" w:rsidP="003D457F">
      <w:pPr>
        <w:pStyle w:val="FootnoteText"/>
        <w:rPr>
          <w:rFonts w:ascii="Times New Roman" w:hAnsi="Times New Roman" w:cs="Times New Roman"/>
          <w:sz w:val="24"/>
          <w:szCs w:val="24"/>
          <w:lang w:val="en-GB"/>
        </w:rPr>
      </w:pPr>
    </w:p>
    <w:p w14:paraId="2A635B9C" w14:textId="77777777" w:rsidR="002B32AD" w:rsidRPr="00C328CB" w:rsidRDefault="002B32AD" w:rsidP="003D457F">
      <w:pPr>
        <w:pStyle w:val="FootnoteText"/>
        <w:rPr>
          <w:sz w:val="24"/>
          <w:szCs w:val="24"/>
          <w:lang w:val="en-GB"/>
        </w:rPr>
      </w:pPr>
    </w:p>
    <w:p w14:paraId="18AE718B" w14:textId="5DA14913" w:rsidR="002B32AD" w:rsidRPr="00C328CB" w:rsidRDefault="002B32AD" w:rsidP="003D457F">
      <w:pPr>
        <w:pStyle w:val="FootnoteText"/>
        <w:rPr>
          <w:sz w:val="24"/>
          <w:szCs w:val="24"/>
          <w:lang w:val="en-GB"/>
        </w:rPr>
      </w:pPr>
      <w:proofErr w:type="spellStart"/>
      <w:r w:rsidRPr="00C328CB">
        <w:rPr>
          <w:rFonts w:ascii="Times New Roman" w:hAnsi="Times New Roman" w:cs="Times New Roman"/>
          <w:sz w:val="24"/>
          <w:szCs w:val="24"/>
          <w:lang w:val="en-GB"/>
        </w:rPr>
        <w:t>Lukes</w:t>
      </w:r>
      <w:proofErr w:type="spellEnd"/>
      <w:r w:rsidRPr="00C328CB">
        <w:rPr>
          <w:rFonts w:ascii="Times New Roman" w:hAnsi="Times New Roman" w:cs="Times New Roman"/>
          <w:sz w:val="24"/>
          <w:szCs w:val="24"/>
          <w:lang w:val="en-GB"/>
        </w:rPr>
        <w:t xml:space="preserve">, S. ‘Is Durkheim’s understanding of religion compatible with believing?’ in </w:t>
      </w:r>
      <w:r w:rsidRPr="00C328CB">
        <w:rPr>
          <w:rFonts w:ascii="Times New Roman" w:hAnsi="Times New Roman" w:cs="Times New Roman"/>
          <w:i/>
          <w:iCs/>
          <w:sz w:val="24"/>
          <w:szCs w:val="24"/>
          <w:lang w:val="en-GB"/>
        </w:rPr>
        <w:t xml:space="preserve">Religion </w:t>
      </w:r>
      <w:r w:rsidRPr="00C328CB">
        <w:rPr>
          <w:rFonts w:ascii="Times New Roman" w:hAnsi="Times New Roman" w:cs="Times New Roman"/>
          <w:sz w:val="24"/>
          <w:szCs w:val="24"/>
          <w:lang w:val="en-GB"/>
        </w:rPr>
        <w:t>vol.42 (1), (Oxford: Routledge, 2012).</w:t>
      </w:r>
    </w:p>
    <w:p w14:paraId="4102CD6B" w14:textId="77777777" w:rsidR="003D457F" w:rsidRPr="00C328CB" w:rsidRDefault="003D457F" w:rsidP="003D457F">
      <w:pPr>
        <w:pStyle w:val="FootnoteText"/>
        <w:rPr>
          <w:sz w:val="24"/>
          <w:szCs w:val="24"/>
          <w:lang w:val="en-GB"/>
        </w:rPr>
      </w:pPr>
    </w:p>
    <w:p w14:paraId="0EF0D02A" w14:textId="621976BA" w:rsidR="002B32AD" w:rsidRPr="00C328CB" w:rsidRDefault="002B32AD" w:rsidP="002B32AD">
      <w:pPr>
        <w:pStyle w:val="FootnoteText"/>
        <w:rPr>
          <w:rFonts w:ascii="Times New Roman" w:hAnsi="Times New Roman" w:cs="Times New Roman"/>
          <w:sz w:val="24"/>
          <w:szCs w:val="24"/>
          <w:lang w:val="en-GB"/>
        </w:rPr>
      </w:pPr>
      <w:proofErr w:type="spellStart"/>
      <w:r w:rsidRPr="00C328CB">
        <w:rPr>
          <w:rFonts w:ascii="Times New Roman" w:hAnsi="Times New Roman" w:cs="Times New Roman"/>
          <w:sz w:val="24"/>
          <w:szCs w:val="24"/>
          <w:lang w:val="en-GB"/>
        </w:rPr>
        <w:lastRenderedPageBreak/>
        <w:t>Malczewski</w:t>
      </w:r>
      <w:proofErr w:type="spellEnd"/>
      <w:r w:rsidRPr="00C328CB">
        <w:rPr>
          <w:rFonts w:ascii="Times New Roman" w:hAnsi="Times New Roman" w:cs="Times New Roman"/>
          <w:sz w:val="24"/>
          <w:szCs w:val="24"/>
          <w:lang w:val="en-GB"/>
        </w:rPr>
        <w:t>,</w:t>
      </w:r>
      <w:r w:rsidRPr="00C328CB">
        <w:rPr>
          <w:rFonts w:ascii="Times New Roman" w:hAnsi="Times New Roman" w:cs="Times New Roman"/>
          <w:sz w:val="24"/>
          <w:szCs w:val="24"/>
          <w:lang w:val="en-GB"/>
        </w:rPr>
        <w:t xml:space="preserve"> E.</w:t>
      </w:r>
      <w:r w:rsidRPr="00C328CB">
        <w:rPr>
          <w:rFonts w:ascii="Times New Roman" w:hAnsi="Times New Roman" w:cs="Times New Roman"/>
          <w:sz w:val="24"/>
          <w:szCs w:val="24"/>
          <w:lang w:val="en-GB"/>
        </w:rPr>
        <w:t xml:space="preserve"> ‘Durkheim, Emile (1858-1917)’, in </w:t>
      </w:r>
      <w:r w:rsidRPr="00C328CB">
        <w:rPr>
          <w:rFonts w:ascii="Times New Roman" w:hAnsi="Times New Roman" w:cs="Times New Roman"/>
          <w:i/>
          <w:iCs/>
          <w:sz w:val="24"/>
          <w:szCs w:val="24"/>
          <w:lang w:val="en-GB"/>
        </w:rPr>
        <w:t xml:space="preserve">The Wiley Blackwell </w:t>
      </w:r>
      <w:proofErr w:type="spellStart"/>
      <w:r w:rsidRPr="00C328CB">
        <w:rPr>
          <w:rFonts w:ascii="Times New Roman" w:hAnsi="Times New Roman" w:cs="Times New Roman"/>
          <w:i/>
          <w:iCs/>
          <w:sz w:val="24"/>
          <w:szCs w:val="24"/>
          <w:lang w:val="en-GB"/>
        </w:rPr>
        <w:t>Encyclopedia</w:t>
      </w:r>
      <w:proofErr w:type="spellEnd"/>
      <w:r w:rsidRPr="00C328CB">
        <w:rPr>
          <w:rFonts w:ascii="Times New Roman" w:hAnsi="Times New Roman" w:cs="Times New Roman"/>
          <w:i/>
          <w:iCs/>
          <w:sz w:val="24"/>
          <w:szCs w:val="24"/>
          <w:lang w:val="en-GB"/>
        </w:rPr>
        <w:t xml:space="preserve"> of Race, Ethnicity, and Nationalism, </w:t>
      </w:r>
      <w:r w:rsidRPr="00C328CB">
        <w:rPr>
          <w:rFonts w:ascii="Times New Roman" w:hAnsi="Times New Roman" w:cs="Times New Roman"/>
          <w:sz w:val="24"/>
          <w:szCs w:val="24"/>
          <w:lang w:val="en-GB"/>
        </w:rPr>
        <w:t>(New Jersey: John Wiley &amp; Sons Ltd, 2016)</w:t>
      </w:r>
      <w:r w:rsidRPr="00C328CB">
        <w:rPr>
          <w:rFonts w:ascii="Times New Roman" w:hAnsi="Times New Roman" w:cs="Times New Roman"/>
          <w:sz w:val="24"/>
          <w:szCs w:val="24"/>
          <w:lang w:val="en-GB"/>
        </w:rPr>
        <w:t>.</w:t>
      </w:r>
    </w:p>
    <w:p w14:paraId="057AC54E" w14:textId="77777777" w:rsidR="002B32AD" w:rsidRPr="00C328CB" w:rsidRDefault="002B32AD" w:rsidP="002B32AD">
      <w:pPr>
        <w:pStyle w:val="FootnoteText"/>
        <w:rPr>
          <w:rFonts w:ascii="Times New Roman" w:hAnsi="Times New Roman" w:cs="Times New Roman"/>
          <w:sz w:val="24"/>
          <w:szCs w:val="24"/>
          <w:lang w:val="en-GB"/>
        </w:rPr>
      </w:pPr>
    </w:p>
    <w:p w14:paraId="0C64217E" w14:textId="603BFA50"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O’Brien, L. </w:t>
      </w:r>
      <w:r w:rsidRPr="00C328CB">
        <w:rPr>
          <w:rFonts w:ascii="Times New Roman" w:hAnsi="Times New Roman" w:cs="Times New Roman"/>
          <w:i/>
          <w:iCs/>
          <w:sz w:val="24"/>
          <w:szCs w:val="24"/>
          <w:lang w:val="en-GB"/>
        </w:rPr>
        <w:t>How to Set Up an Alter for Irish Paganism</w:t>
      </w:r>
      <w:r w:rsidRPr="00C328CB">
        <w:rPr>
          <w:rFonts w:ascii="Times New Roman" w:hAnsi="Times New Roman" w:cs="Times New Roman"/>
          <w:sz w:val="24"/>
          <w:szCs w:val="24"/>
          <w:lang w:val="en-GB"/>
        </w:rPr>
        <w:t xml:space="preserve"> (2024) https://irishpagan.school/altar-for-irish-paganism/ [Accessed 24</w:t>
      </w:r>
      <w:r w:rsidRPr="00C328CB">
        <w:rPr>
          <w:rFonts w:ascii="Times New Roman" w:hAnsi="Times New Roman" w:cs="Times New Roman"/>
          <w:sz w:val="24"/>
          <w:szCs w:val="24"/>
          <w:vertAlign w:val="superscript"/>
          <w:lang w:val="en-GB"/>
        </w:rPr>
        <w:t>th</w:t>
      </w:r>
      <w:r w:rsidRPr="00C328CB">
        <w:rPr>
          <w:rFonts w:ascii="Times New Roman" w:hAnsi="Times New Roman" w:cs="Times New Roman"/>
          <w:sz w:val="24"/>
          <w:szCs w:val="24"/>
          <w:lang w:val="en-GB"/>
        </w:rPr>
        <w:t xml:space="preserve"> October 2025]. </w:t>
      </w:r>
    </w:p>
    <w:p w14:paraId="6991CAF9" w14:textId="77777777" w:rsidR="002B32AD" w:rsidRPr="00C328CB" w:rsidRDefault="002B32AD" w:rsidP="002B32AD">
      <w:pPr>
        <w:pStyle w:val="FootnoteText"/>
        <w:rPr>
          <w:rFonts w:ascii="Times New Roman" w:hAnsi="Times New Roman" w:cs="Times New Roman"/>
          <w:sz w:val="24"/>
          <w:szCs w:val="24"/>
          <w:lang w:val="en-GB"/>
        </w:rPr>
      </w:pPr>
    </w:p>
    <w:p w14:paraId="001F03C1" w14:textId="2FB8D123" w:rsidR="002B32AD" w:rsidRPr="00C328CB" w:rsidRDefault="002B32AD" w:rsidP="002B32AD">
      <w:pPr>
        <w:pStyle w:val="FootnoteText"/>
        <w:rPr>
          <w:sz w:val="24"/>
          <w:szCs w:val="24"/>
          <w:lang w:val="en-GB"/>
        </w:rPr>
      </w:pPr>
      <w:r w:rsidRPr="00C328CB">
        <w:rPr>
          <w:rFonts w:ascii="Times New Roman" w:hAnsi="Times New Roman" w:cs="Times New Roman"/>
          <w:sz w:val="24"/>
          <w:szCs w:val="24"/>
          <w:lang w:val="en-GB"/>
        </w:rPr>
        <w:t xml:space="preserve">Otto, R. </w:t>
      </w:r>
      <w:r w:rsidRPr="00C328CB">
        <w:rPr>
          <w:rFonts w:ascii="Times New Roman" w:hAnsi="Times New Roman" w:cs="Times New Roman"/>
          <w:i/>
          <w:iCs/>
          <w:sz w:val="24"/>
          <w:szCs w:val="24"/>
          <w:lang w:val="en-GB"/>
        </w:rPr>
        <w:t xml:space="preserve">The Idea of the Holy: An Inquiry into the Non-Rational Factor in the Idea of the Divine and Its Relation to the Rational </w:t>
      </w:r>
      <w:r w:rsidRPr="00C328CB">
        <w:rPr>
          <w:rFonts w:ascii="Times New Roman" w:hAnsi="Times New Roman" w:cs="Times New Roman"/>
          <w:sz w:val="24"/>
          <w:szCs w:val="24"/>
          <w:lang w:val="en-GB"/>
        </w:rPr>
        <w:t>(London: Oxford University Press, 1923 [1917]).</w:t>
      </w:r>
    </w:p>
    <w:p w14:paraId="4E5FAF09" w14:textId="77777777" w:rsidR="002B32AD" w:rsidRPr="00C328CB" w:rsidRDefault="002B32AD" w:rsidP="002B32AD">
      <w:pPr>
        <w:pStyle w:val="FootnoteText"/>
        <w:rPr>
          <w:rFonts w:ascii="Times New Roman" w:hAnsi="Times New Roman" w:cs="Times New Roman"/>
          <w:sz w:val="24"/>
          <w:szCs w:val="24"/>
          <w:lang w:val="en-GB"/>
        </w:rPr>
      </w:pPr>
    </w:p>
    <w:p w14:paraId="4A8C016B" w14:textId="63D8C3E6"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Prowse, M. </w:t>
      </w:r>
      <w:r w:rsidRPr="00C328CB">
        <w:rPr>
          <w:rFonts w:ascii="Times New Roman" w:hAnsi="Times New Roman" w:cs="Times New Roman"/>
          <w:i/>
          <w:iCs/>
          <w:sz w:val="24"/>
          <w:szCs w:val="24"/>
          <w:lang w:val="en-GB"/>
        </w:rPr>
        <w:t xml:space="preserve">Emile Durkheim </w:t>
      </w:r>
      <w:r w:rsidRPr="00C328CB">
        <w:rPr>
          <w:rFonts w:ascii="Times New Roman" w:hAnsi="Times New Roman" w:cs="Times New Roman"/>
          <w:sz w:val="24"/>
          <w:szCs w:val="24"/>
          <w:lang w:val="en-GB"/>
        </w:rPr>
        <w:t>(2005) https://www.prospectmagazine.co.uk/essays/56708/emile-durkheim#:~:text=Born%20in%20Epinal%20in%20Lorraine,by%20the%20Franco%2DPrussian%20war. [accessed 24</w:t>
      </w:r>
      <w:r w:rsidRPr="00C328CB">
        <w:rPr>
          <w:rFonts w:ascii="Times New Roman" w:hAnsi="Times New Roman" w:cs="Times New Roman"/>
          <w:sz w:val="24"/>
          <w:szCs w:val="24"/>
          <w:vertAlign w:val="superscript"/>
          <w:lang w:val="en-GB"/>
        </w:rPr>
        <w:t>th</w:t>
      </w:r>
      <w:r w:rsidRPr="00C328CB">
        <w:rPr>
          <w:rFonts w:ascii="Times New Roman" w:hAnsi="Times New Roman" w:cs="Times New Roman"/>
          <w:sz w:val="24"/>
          <w:szCs w:val="24"/>
          <w:lang w:val="en-GB"/>
        </w:rPr>
        <w:t xml:space="preserve"> October 2025].</w:t>
      </w:r>
    </w:p>
    <w:p w14:paraId="60AF6194" w14:textId="77777777" w:rsidR="00C328CB" w:rsidRPr="00C328CB" w:rsidRDefault="00C328CB" w:rsidP="002B32AD">
      <w:pPr>
        <w:pStyle w:val="FootnoteText"/>
        <w:rPr>
          <w:rFonts w:ascii="Times New Roman" w:hAnsi="Times New Roman" w:cs="Times New Roman"/>
          <w:sz w:val="24"/>
          <w:szCs w:val="24"/>
          <w:lang w:val="en-GB"/>
        </w:rPr>
      </w:pPr>
    </w:p>
    <w:p w14:paraId="5CF16AF2" w14:textId="77777777" w:rsidR="00C328CB" w:rsidRDefault="00C328CB" w:rsidP="00C328CB">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Rennie, B. ‘The Influence of Eastern Orthodox Christian Theology on Mircea Eliade’s Understanding of Religion’ in </w:t>
      </w:r>
      <w:r w:rsidRPr="00C328CB">
        <w:rPr>
          <w:rFonts w:ascii="Times New Roman" w:hAnsi="Times New Roman" w:cs="Times New Roman"/>
          <w:i/>
          <w:iCs/>
          <w:sz w:val="24"/>
          <w:szCs w:val="24"/>
          <w:lang w:val="en-GB"/>
        </w:rPr>
        <w:t xml:space="preserve">Hermeneutics, Politics, and the History of Religions: The Contested Legacies of Joachim </w:t>
      </w:r>
      <w:proofErr w:type="spellStart"/>
      <w:r w:rsidRPr="00C328CB">
        <w:rPr>
          <w:rFonts w:ascii="Times New Roman" w:hAnsi="Times New Roman" w:cs="Times New Roman"/>
          <w:i/>
          <w:iCs/>
          <w:sz w:val="24"/>
          <w:szCs w:val="24"/>
          <w:lang w:val="en-GB"/>
        </w:rPr>
        <w:t>Wach</w:t>
      </w:r>
      <w:proofErr w:type="spellEnd"/>
      <w:r w:rsidRPr="00C328CB">
        <w:rPr>
          <w:rFonts w:ascii="Times New Roman" w:hAnsi="Times New Roman" w:cs="Times New Roman"/>
          <w:i/>
          <w:iCs/>
          <w:sz w:val="24"/>
          <w:szCs w:val="24"/>
          <w:lang w:val="en-GB"/>
        </w:rPr>
        <w:t xml:space="preserve"> and Mircea Eliade, </w:t>
      </w:r>
      <w:r w:rsidRPr="00C328CB">
        <w:rPr>
          <w:rFonts w:ascii="Times New Roman" w:hAnsi="Times New Roman" w:cs="Times New Roman"/>
          <w:sz w:val="24"/>
          <w:szCs w:val="24"/>
          <w:lang w:val="en-GB"/>
        </w:rPr>
        <w:t xml:space="preserve">eds. </w:t>
      </w:r>
      <w:proofErr w:type="spellStart"/>
      <w:r w:rsidRPr="00C328CB">
        <w:rPr>
          <w:rFonts w:ascii="Times New Roman" w:hAnsi="Times New Roman" w:cs="Times New Roman"/>
          <w:sz w:val="24"/>
          <w:szCs w:val="24"/>
          <w:lang w:val="en-GB"/>
        </w:rPr>
        <w:t>Wedemeyer</w:t>
      </w:r>
      <w:proofErr w:type="spellEnd"/>
      <w:r w:rsidRPr="00C328CB">
        <w:rPr>
          <w:rFonts w:ascii="Times New Roman" w:hAnsi="Times New Roman" w:cs="Times New Roman"/>
          <w:sz w:val="24"/>
          <w:szCs w:val="24"/>
          <w:lang w:val="en-GB"/>
        </w:rPr>
        <w:t xml:space="preserve">, C. and </w:t>
      </w:r>
      <w:proofErr w:type="spellStart"/>
      <w:r w:rsidRPr="00C328CB">
        <w:rPr>
          <w:rFonts w:ascii="Times New Roman" w:hAnsi="Times New Roman" w:cs="Times New Roman"/>
          <w:sz w:val="24"/>
          <w:szCs w:val="24"/>
          <w:lang w:val="en-GB"/>
        </w:rPr>
        <w:t>Doniger</w:t>
      </w:r>
      <w:proofErr w:type="spellEnd"/>
      <w:r w:rsidRPr="00C328CB">
        <w:rPr>
          <w:rFonts w:ascii="Times New Roman" w:hAnsi="Times New Roman" w:cs="Times New Roman"/>
          <w:sz w:val="24"/>
          <w:szCs w:val="24"/>
          <w:lang w:val="en-GB"/>
        </w:rPr>
        <w:t>, W. (Oxford: Oxford University Press, 2010).</w:t>
      </w:r>
    </w:p>
    <w:p w14:paraId="32D639D0" w14:textId="77777777" w:rsidR="008779C6" w:rsidRDefault="008779C6" w:rsidP="00C328CB">
      <w:pPr>
        <w:pStyle w:val="FootnoteText"/>
        <w:rPr>
          <w:rFonts w:ascii="Times New Roman" w:hAnsi="Times New Roman" w:cs="Times New Roman"/>
          <w:sz w:val="24"/>
          <w:szCs w:val="24"/>
          <w:lang w:val="en-GB"/>
        </w:rPr>
      </w:pPr>
    </w:p>
    <w:p w14:paraId="5B2E8A14" w14:textId="3702DB9A" w:rsidR="008779C6" w:rsidRDefault="008779C6" w:rsidP="008779C6">
      <w:pPr>
        <w:pStyle w:val="FootnoteText"/>
        <w:rPr>
          <w:rFonts w:ascii="Times New Roman" w:hAnsi="Times New Roman" w:cs="Times New Roman"/>
          <w:sz w:val="24"/>
          <w:szCs w:val="24"/>
          <w:lang w:val="en-GB"/>
        </w:rPr>
      </w:pPr>
      <w:r w:rsidRPr="008779C6">
        <w:rPr>
          <w:rFonts w:ascii="Times New Roman" w:hAnsi="Times New Roman" w:cs="Times New Roman"/>
          <w:sz w:val="24"/>
          <w:szCs w:val="24"/>
          <w:lang w:val="en-GB"/>
        </w:rPr>
        <w:t>Rose,</w:t>
      </w:r>
      <w:r w:rsidRPr="008779C6">
        <w:rPr>
          <w:rFonts w:ascii="Times New Roman" w:hAnsi="Times New Roman" w:cs="Times New Roman"/>
          <w:sz w:val="24"/>
          <w:szCs w:val="24"/>
          <w:lang w:val="en-GB"/>
        </w:rPr>
        <w:t xml:space="preserve"> G. </w:t>
      </w:r>
      <w:r w:rsidRPr="008779C6">
        <w:rPr>
          <w:rFonts w:ascii="Times New Roman" w:hAnsi="Times New Roman" w:cs="Times New Roman"/>
          <w:sz w:val="24"/>
          <w:szCs w:val="24"/>
          <w:lang w:val="en-GB"/>
        </w:rPr>
        <w:t>Degen</w:t>
      </w:r>
      <w:r w:rsidRPr="008779C6">
        <w:rPr>
          <w:rFonts w:ascii="Times New Roman" w:hAnsi="Times New Roman" w:cs="Times New Roman"/>
          <w:sz w:val="24"/>
          <w:szCs w:val="24"/>
          <w:lang w:val="en-GB"/>
        </w:rPr>
        <w:t>, M.</w:t>
      </w:r>
      <w:r w:rsidRPr="008779C6">
        <w:rPr>
          <w:rFonts w:ascii="Times New Roman" w:hAnsi="Times New Roman" w:cs="Times New Roman"/>
          <w:sz w:val="24"/>
          <w:szCs w:val="24"/>
          <w:lang w:val="en-GB"/>
        </w:rPr>
        <w:t xml:space="preserve"> and </w:t>
      </w:r>
      <w:proofErr w:type="spellStart"/>
      <w:r w:rsidRPr="008779C6">
        <w:rPr>
          <w:rFonts w:ascii="Times New Roman" w:hAnsi="Times New Roman" w:cs="Times New Roman"/>
          <w:sz w:val="24"/>
          <w:szCs w:val="24"/>
          <w:lang w:val="en-GB"/>
        </w:rPr>
        <w:t>Basdas</w:t>
      </w:r>
      <w:proofErr w:type="spellEnd"/>
      <w:r w:rsidRPr="008779C6">
        <w:rPr>
          <w:rFonts w:ascii="Times New Roman" w:hAnsi="Times New Roman" w:cs="Times New Roman"/>
          <w:sz w:val="24"/>
          <w:szCs w:val="24"/>
          <w:lang w:val="en-GB"/>
        </w:rPr>
        <w:t>,</w:t>
      </w:r>
      <w:r w:rsidRPr="008779C6">
        <w:rPr>
          <w:rFonts w:ascii="Times New Roman" w:hAnsi="Times New Roman" w:cs="Times New Roman"/>
          <w:sz w:val="24"/>
          <w:szCs w:val="24"/>
          <w:lang w:val="en-GB"/>
        </w:rPr>
        <w:t xml:space="preserve"> B.</w:t>
      </w:r>
      <w:r w:rsidRPr="008779C6">
        <w:rPr>
          <w:rFonts w:ascii="Times New Roman" w:hAnsi="Times New Roman" w:cs="Times New Roman"/>
          <w:sz w:val="24"/>
          <w:szCs w:val="24"/>
          <w:lang w:val="en-GB"/>
        </w:rPr>
        <w:t xml:space="preserve"> “More on ‘big things’: Building Events and Feelings” in </w:t>
      </w:r>
      <w:r w:rsidRPr="008779C6">
        <w:rPr>
          <w:rFonts w:ascii="Times New Roman" w:hAnsi="Times New Roman" w:cs="Times New Roman"/>
          <w:i/>
          <w:iCs/>
          <w:sz w:val="24"/>
          <w:szCs w:val="24"/>
          <w:lang w:val="en-GB"/>
        </w:rPr>
        <w:t xml:space="preserve">Transactions of the Institute of British Geographers, </w:t>
      </w:r>
      <w:r w:rsidRPr="008779C6">
        <w:rPr>
          <w:rFonts w:ascii="Times New Roman" w:hAnsi="Times New Roman" w:cs="Times New Roman"/>
          <w:sz w:val="24"/>
          <w:szCs w:val="24"/>
          <w:lang w:val="en-GB"/>
        </w:rPr>
        <w:t>vol.35 (3), (New Jersey: Wiley-Blackwell, 2010).</w:t>
      </w:r>
    </w:p>
    <w:p w14:paraId="2C297043" w14:textId="77777777" w:rsidR="00D352C8" w:rsidRDefault="00D352C8" w:rsidP="008779C6">
      <w:pPr>
        <w:pStyle w:val="FootnoteText"/>
        <w:rPr>
          <w:rFonts w:ascii="Times New Roman" w:hAnsi="Times New Roman" w:cs="Times New Roman"/>
          <w:sz w:val="24"/>
          <w:szCs w:val="24"/>
          <w:lang w:val="en-GB"/>
        </w:rPr>
      </w:pPr>
    </w:p>
    <w:p w14:paraId="2A089652" w14:textId="36308391" w:rsidR="00D352C8" w:rsidRPr="00D352C8" w:rsidRDefault="00D352C8" w:rsidP="008779C6">
      <w:pPr>
        <w:pStyle w:val="FootnoteText"/>
        <w:rPr>
          <w:sz w:val="24"/>
          <w:szCs w:val="24"/>
          <w:lang w:val="en-GB"/>
        </w:rPr>
      </w:pPr>
      <w:r w:rsidRPr="00D352C8">
        <w:rPr>
          <w:rFonts w:ascii="Times New Roman" w:hAnsi="Times New Roman" w:cs="Times New Roman"/>
          <w:sz w:val="24"/>
          <w:szCs w:val="24"/>
        </w:rPr>
        <w:t>Seidlitz,</w:t>
      </w:r>
      <w:r w:rsidRPr="00D352C8">
        <w:rPr>
          <w:rFonts w:ascii="Times New Roman" w:hAnsi="Times New Roman" w:cs="Times New Roman"/>
          <w:sz w:val="24"/>
          <w:szCs w:val="24"/>
        </w:rPr>
        <w:t xml:space="preserve"> L.</w:t>
      </w:r>
      <w:r w:rsidRPr="00D352C8">
        <w:rPr>
          <w:rFonts w:ascii="Times New Roman" w:hAnsi="Times New Roman" w:cs="Times New Roman"/>
          <w:sz w:val="24"/>
          <w:szCs w:val="24"/>
        </w:rPr>
        <w:t xml:space="preserve"> Abernethy,</w:t>
      </w:r>
      <w:r w:rsidRPr="00D352C8">
        <w:rPr>
          <w:rFonts w:ascii="Times New Roman" w:hAnsi="Times New Roman" w:cs="Times New Roman"/>
          <w:sz w:val="24"/>
          <w:szCs w:val="24"/>
        </w:rPr>
        <w:t xml:space="preserve"> A.D.</w:t>
      </w:r>
      <w:r w:rsidRPr="00D352C8">
        <w:rPr>
          <w:rFonts w:ascii="Times New Roman" w:hAnsi="Times New Roman" w:cs="Times New Roman"/>
          <w:sz w:val="24"/>
          <w:szCs w:val="24"/>
        </w:rPr>
        <w:t xml:space="preserve"> Duberstein,</w:t>
      </w:r>
      <w:r w:rsidRPr="00D352C8">
        <w:rPr>
          <w:rFonts w:ascii="Times New Roman" w:hAnsi="Times New Roman" w:cs="Times New Roman"/>
          <w:sz w:val="24"/>
          <w:szCs w:val="24"/>
        </w:rPr>
        <w:t xml:space="preserve"> P. R.</w:t>
      </w:r>
      <w:r w:rsidRPr="00D352C8">
        <w:rPr>
          <w:rFonts w:ascii="Times New Roman" w:hAnsi="Times New Roman" w:cs="Times New Roman"/>
          <w:sz w:val="24"/>
          <w:szCs w:val="24"/>
        </w:rPr>
        <w:t xml:space="preserve"> </w:t>
      </w:r>
      <w:proofErr w:type="spellStart"/>
      <w:r w:rsidRPr="00D352C8">
        <w:rPr>
          <w:rFonts w:ascii="Times New Roman" w:hAnsi="Times New Roman" w:cs="Times New Roman"/>
          <w:sz w:val="24"/>
          <w:szCs w:val="24"/>
        </w:rPr>
        <w:t>Evinger</w:t>
      </w:r>
      <w:proofErr w:type="spellEnd"/>
      <w:r w:rsidRPr="00D352C8">
        <w:rPr>
          <w:rFonts w:ascii="Times New Roman" w:hAnsi="Times New Roman" w:cs="Times New Roman"/>
          <w:sz w:val="24"/>
          <w:szCs w:val="24"/>
        </w:rPr>
        <w:t>,</w:t>
      </w:r>
      <w:r w:rsidRPr="00D352C8">
        <w:rPr>
          <w:rFonts w:ascii="Times New Roman" w:hAnsi="Times New Roman" w:cs="Times New Roman"/>
          <w:sz w:val="24"/>
          <w:szCs w:val="24"/>
        </w:rPr>
        <w:t xml:space="preserve"> J. S.</w:t>
      </w:r>
      <w:r w:rsidRPr="00D352C8">
        <w:rPr>
          <w:rFonts w:ascii="Times New Roman" w:hAnsi="Times New Roman" w:cs="Times New Roman"/>
          <w:sz w:val="24"/>
          <w:szCs w:val="24"/>
        </w:rPr>
        <w:t xml:space="preserve"> Chang</w:t>
      </w:r>
      <w:r w:rsidRPr="00D352C8">
        <w:rPr>
          <w:rFonts w:ascii="Times New Roman" w:hAnsi="Times New Roman" w:cs="Times New Roman"/>
          <w:sz w:val="24"/>
          <w:szCs w:val="24"/>
        </w:rPr>
        <w:t>, T. H.</w:t>
      </w:r>
      <w:r w:rsidRPr="00D352C8">
        <w:rPr>
          <w:rFonts w:ascii="Times New Roman" w:hAnsi="Times New Roman" w:cs="Times New Roman"/>
          <w:sz w:val="24"/>
          <w:szCs w:val="24"/>
        </w:rPr>
        <w:t xml:space="preserve"> and Lewis, </w:t>
      </w:r>
      <w:r w:rsidRPr="00D352C8">
        <w:rPr>
          <w:rFonts w:ascii="Times New Roman" w:hAnsi="Times New Roman" w:cs="Times New Roman"/>
          <w:sz w:val="24"/>
          <w:szCs w:val="24"/>
        </w:rPr>
        <w:t xml:space="preserve">B. L. </w:t>
      </w:r>
      <w:r w:rsidRPr="00D352C8">
        <w:rPr>
          <w:rFonts w:ascii="Times New Roman" w:hAnsi="Times New Roman" w:cs="Times New Roman"/>
          <w:sz w:val="24"/>
          <w:szCs w:val="24"/>
        </w:rPr>
        <w:t xml:space="preserve">‘Development of the Spiritual Transcendence Index’, in </w:t>
      </w:r>
      <w:r w:rsidRPr="00D352C8">
        <w:rPr>
          <w:rFonts w:ascii="Times New Roman" w:hAnsi="Times New Roman" w:cs="Times New Roman"/>
          <w:i/>
          <w:iCs/>
          <w:sz w:val="24"/>
          <w:szCs w:val="24"/>
        </w:rPr>
        <w:t xml:space="preserve">Journal for the Scientific Study of Religion, </w:t>
      </w:r>
      <w:r w:rsidRPr="00D352C8">
        <w:rPr>
          <w:rFonts w:ascii="Times New Roman" w:hAnsi="Times New Roman" w:cs="Times New Roman"/>
          <w:sz w:val="24"/>
          <w:szCs w:val="24"/>
        </w:rPr>
        <w:t>vol.41 (3), (New Jersey: Wiley-Blackwell, 2002)</w:t>
      </w:r>
      <w:r w:rsidRPr="00D352C8">
        <w:rPr>
          <w:rFonts w:ascii="Times New Roman" w:hAnsi="Times New Roman" w:cs="Times New Roman"/>
          <w:sz w:val="24"/>
          <w:szCs w:val="24"/>
        </w:rPr>
        <w:t>.</w:t>
      </w:r>
    </w:p>
    <w:p w14:paraId="70FAB4A7" w14:textId="77777777" w:rsidR="00C328CB" w:rsidRPr="00C328CB" w:rsidRDefault="00C328CB" w:rsidP="002B32AD">
      <w:pPr>
        <w:pStyle w:val="FootnoteText"/>
        <w:rPr>
          <w:rFonts w:ascii="Times New Roman" w:hAnsi="Times New Roman" w:cs="Times New Roman"/>
          <w:sz w:val="24"/>
          <w:szCs w:val="24"/>
          <w:lang w:val="en-GB"/>
        </w:rPr>
      </w:pPr>
    </w:p>
    <w:p w14:paraId="5D6D1F20" w14:textId="77777777" w:rsidR="00C328CB" w:rsidRPr="00C328CB" w:rsidRDefault="00C328CB" w:rsidP="00C328CB">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Simmonds-Moore, C. ‘Liminal Spaces </w:t>
      </w:r>
      <w:proofErr w:type="gramStart"/>
      <w:r w:rsidRPr="00C328CB">
        <w:rPr>
          <w:rFonts w:ascii="Times New Roman" w:hAnsi="Times New Roman" w:cs="Times New Roman"/>
          <w:sz w:val="24"/>
          <w:szCs w:val="24"/>
          <w:lang w:val="en-GB"/>
        </w:rPr>
        <w:t>And</w:t>
      </w:r>
      <w:proofErr w:type="gramEnd"/>
      <w:r w:rsidRPr="00C328CB">
        <w:rPr>
          <w:rFonts w:ascii="Times New Roman" w:hAnsi="Times New Roman" w:cs="Times New Roman"/>
          <w:sz w:val="24"/>
          <w:szCs w:val="24"/>
          <w:lang w:val="en-GB"/>
        </w:rPr>
        <w:t xml:space="preserve"> Liminal Minds: Boundary Thinness And Participatory Eco-consciousness’, in </w:t>
      </w:r>
      <w:r w:rsidRPr="00C328CB">
        <w:rPr>
          <w:rFonts w:ascii="Times New Roman" w:hAnsi="Times New Roman" w:cs="Times New Roman"/>
          <w:i/>
          <w:iCs/>
          <w:sz w:val="24"/>
          <w:szCs w:val="24"/>
          <w:lang w:val="en-GB"/>
        </w:rPr>
        <w:t xml:space="preserve">Greening The Paranormal: Exploring The Ecology Of Everyday Experience </w:t>
      </w:r>
      <w:r w:rsidRPr="00C328CB">
        <w:rPr>
          <w:rFonts w:ascii="Times New Roman" w:hAnsi="Times New Roman" w:cs="Times New Roman"/>
          <w:sz w:val="24"/>
          <w:szCs w:val="24"/>
          <w:lang w:val="en-GB"/>
        </w:rPr>
        <w:t>ed. Jack Hunter (Milton Keynes: August Night Press, 2019).</w:t>
      </w:r>
    </w:p>
    <w:p w14:paraId="15AE2718" w14:textId="77777777" w:rsidR="002B32AD" w:rsidRPr="00C328CB" w:rsidRDefault="002B32AD" w:rsidP="002B32AD">
      <w:pPr>
        <w:pStyle w:val="FootnoteText"/>
        <w:rPr>
          <w:rFonts w:ascii="Times New Roman" w:hAnsi="Times New Roman" w:cs="Times New Roman"/>
          <w:sz w:val="24"/>
          <w:szCs w:val="24"/>
          <w:lang w:val="en-GB"/>
        </w:rPr>
      </w:pPr>
    </w:p>
    <w:p w14:paraId="2BECC03E" w14:textId="77777777"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Thorley, A. and Gunn, C. M. </w:t>
      </w:r>
      <w:r w:rsidRPr="00C328CB">
        <w:rPr>
          <w:rFonts w:ascii="Times New Roman" w:hAnsi="Times New Roman" w:cs="Times New Roman"/>
          <w:i/>
          <w:iCs/>
          <w:sz w:val="24"/>
          <w:szCs w:val="24"/>
          <w:lang w:val="en-GB"/>
        </w:rPr>
        <w:t>Sacred Sites: An Overview (Abridged)</w:t>
      </w:r>
      <w:r w:rsidRPr="00C328CB">
        <w:rPr>
          <w:rFonts w:ascii="Times New Roman" w:hAnsi="Times New Roman" w:cs="Times New Roman"/>
          <w:sz w:val="24"/>
          <w:szCs w:val="24"/>
          <w:lang w:val="en-GB"/>
        </w:rPr>
        <w:t xml:space="preserve"> (London: The Gaia Foundation, 2008).</w:t>
      </w:r>
    </w:p>
    <w:p w14:paraId="5CE46B40" w14:textId="77777777" w:rsidR="00C328CB" w:rsidRPr="00C328CB" w:rsidRDefault="00C328CB" w:rsidP="002B32AD">
      <w:pPr>
        <w:pStyle w:val="FootnoteText"/>
        <w:rPr>
          <w:rFonts w:ascii="Times New Roman" w:hAnsi="Times New Roman" w:cs="Times New Roman"/>
          <w:sz w:val="24"/>
          <w:szCs w:val="24"/>
          <w:lang w:val="en-GB"/>
        </w:rPr>
      </w:pPr>
    </w:p>
    <w:p w14:paraId="3000A0C2" w14:textId="38DF7243" w:rsidR="00C328CB" w:rsidRPr="00C328CB" w:rsidRDefault="00C328CB" w:rsidP="002B32AD">
      <w:pPr>
        <w:pStyle w:val="FootnoteText"/>
        <w:rPr>
          <w:sz w:val="24"/>
          <w:szCs w:val="24"/>
          <w:lang w:val="en-GB"/>
        </w:rPr>
      </w:pPr>
      <w:r w:rsidRPr="00C328CB">
        <w:rPr>
          <w:rFonts w:ascii="Times New Roman" w:hAnsi="Times New Roman" w:cs="Times New Roman"/>
          <w:sz w:val="24"/>
          <w:szCs w:val="24"/>
          <w:lang w:val="en-GB"/>
        </w:rPr>
        <w:t xml:space="preserve">Tilley, C. </w:t>
      </w:r>
      <w:r w:rsidRPr="00C328CB">
        <w:rPr>
          <w:rFonts w:ascii="Times New Roman" w:hAnsi="Times New Roman" w:cs="Times New Roman"/>
          <w:i/>
          <w:iCs/>
          <w:sz w:val="24"/>
          <w:szCs w:val="24"/>
          <w:lang w:val="en-GB"/>
        </w:rPr>
        <w:t xml:space="preserve">A Phenomenology of Landscape: Places, </w:t>
      </w:r>
      <w:proofErr w:type="gramStart"/>
      <w:r w:rsidRPr="00C328CB">
        <w:rPr>
          <w:rFonts w:ascii="Times New Roman" w:hAnsi="Times New Roman" w:cs="Times New Roman"/>
          <w:i/>
          <w:iCs/>
          <w:sz w:val="24"/>
          <w:szCs w:val="24"/>
          <w:lang w:val="en-GB"/>
        </w:rPr>
        <w:t>Paths</w:t>
      </w:r>
      <w:proofErr w:type="gramEnd"/>
      <w:r w:rsidRPr="00C328CB">
        <w:rPr>
          <w:rFonts w:ascii="Times New Roman" w:hAnsi="Times New Roman" w:cs="Times New Roman"/>
          <w:i/>
          <w:iCs/>
          <w:sz w:val="24"/>
          <w:szCs w:val="24"/>
          <w:lang w:val="en-GB"/>
        </w:rPr>
        <w:t xml:space="preserve"> and Monuments </w:t>
      </w:r>
      <w:r w:rsidRPr="00C328CB">
        <w:rPr>
          <w:rFonts w:ascii="Times New Roman" w:hAnsi="Times New Roman" w:cs="Times New Roman"/>
          <w:sz w:val="24"/>
          <w:szCs w:val="24"/>
          <w:lang w:val="en-GB"/>
        </w:rPr>
        <w:t>(London: Bloomsbury Publishing, 1997).</w:t>
      </w:r>
    </w:p>
    <w:p w14:paraId="11029A79" w14:textId="77777777" w:rsidR="002B32AD" w:rsidRPr="00C328CB" w:rsidRDefault="002B32AD" w:rsidP="002B32AD">
      <w:pPr>
        <w:pStyle w:val="FootnoteText"/>
        <w:rPr>
          <w:rFonts w:ascii="Times New Roman" w:hAnsi="Times New Roman" w:cs="Times New Roman"/>
          <w:sz w:val="24"/>
          <w:szCs w:val="24"/>
          <w:lang w:val="en-GB"/>
        </w:rPr>
      </w:pPr>
    </w:p>
    <w:p w14:paraId="08F6A0A2" w14:textId="77777777" w:rsidR="002B32AD" w:rsidRPr="00C328CB" w:rsidRDefault="002B32AD" w:rsidP="002B32AD">
      <w:pPr>
        <w:pStyle w:val="FootnoteText"/>
        <w:rPr>
          <w:rFonts w:ascii="Times New Roman" w:hAnsi="Times New Roman" w:cs="Times New Roman"/>
          <w:sz w:val="24"/>
          <w:szCs w:val="24"/>
          <w:lang w:val="en-GB"/>
        </w:rPr>
      </w:pPr>
    </w:p>
    <w:p w14:paraId="1643AB6A" w14:textId="3E1125C1" w:rsidR="002B32AD" w:rsidRPr="00C328CB" w:rsidRDefault="002B32AD" w:rsidP="002B32AD">
      <w:pPr>
        <w:pStyle w:val="FootnoteText"/>
        <w:rPr>
          <w:rFonts w:ascii="Times New Roman" w:hAnsi="Times New Roman" w:cs="Times New Roman"/>
          <w:sz w:val="24"/>
          <w:szCs w:val="24"/>
          <w:lang w:val="en-GB"/>
        </w:rPr>
      </w:pPr>
      <w:r w:rsidRPr="00C328CB">
        <w:rPr>
          <w:rFonts w:ascii="Times New Roman" w:hAnsi="Times New Roman" w:cs="Times New Roman"/>
          <w:sz w:val="24"/>
          <w:szCs w:val="24"/>
          <w:lang w:val="en-GB"/>
        </w:rPr>
        <w:t xml:space="preserve">White, </w:t>
      </w:r>
      <w:r w:rsidRPr="00C328CB">
        <w:rPr>
          <w:rFonts w:ascii="Times New Roman" w:hAnsi="Times New Roman" w:cs="Times New Roman"/>
          <w:sz w:val="24"/>
          <w:szCs w:val="24"/>
          <w:lang w:val="en-GB"/>
        </w:rPr>
        <w:t xml:space="preserve">D. G. </w:t>
      </w:r>
      <w:r w:rsidRPr="00C328CB">
        <w:rPr>
          <w:rFonts w:ascii="Times New Roman" w:hAnsi="Times New Roman" w:cs="Times New Roman"/>
          <w:sz w:val="24"/>
          <w:szCs w:val="24"/>
          <w:lang w:val="en-GB"/>
        </w:rPr>
        <w:t xml:space="preserve">‘Introduction’ in </w:t>
      </w:r>
      <w:r w:rsidRPr="00C328CB">
        <w:rPr>
          <w:rFonts w:ascii="Times New Roman" w:hAnsi="Times New Roman" w:cs="Times New Roman"/>
          <w:i/>
          <w:iCs/>
          <w:sz w:val="24"/>
          <w:szCs w:val="24"/>
          <w:lang w:val="en-GB"/>
        </w:rPr>
        <w:t xml:space="preserve">Yoga: Immortality and Freedom </w:t>
      </w:r>
      <w:r w:rsidRPr="00C328CB">
        <w:rPr>
          <w:rFonts w:ascii="Times New Roman" w:hAnsi="Times New Roman" w:cs="Times New Roman"/>
          <w:sz w:val="24"/>
          <w:szCs w:val="24"/>
          <w:lang w:val="en-GB"/>
        </w:rPr>
        <w:t>(New Jersey: Princeton University Press, 2009)</w:t>
      </w:r>
      <w:r w:rsidRPr="00C328CB">
        <w:rPr>
          <w:rFonts w:ascii="Times New Roman" w:hAnsi="Times New Roman" w:cs="Times New Roman"/>
          <w:sz w:val="24"/>
          <w:szCs w:val="24"/>
          <w:lang w:val="en-GB"/>
        </w:rPr>
        <w:t>.</w:t>
      </w:r>
    </w:p>
    <w:p w14:paraId="400E823D" w14:textId="77777777" w:rsidR="002B32AD" w:rsidRPr="008A7EE1" w:rsidRDefault="002B32AD" w:rsidP="002B32AD">
      <w:pPr>
        <w:pStyle w:val="FootnoteText"/>
        <w:rPr>
          <w:rFonts w:ascii="Times New Roman" w:hAnsi="Times New Roman" w:cs="Times New Roman"/>
          <w:lang w:val="en-GB"/>
        </w:rPr>
      </w:pPr>
    </w:p>
    <w:p w14:paraId="14EDA262" w14:textId="79279DCC" w:rsidR="002B32AD" w:rsidRPr="002E1DB4" w:rsidRDefault="002B32AD" w:rsidP="002B32AD">
      <w:pPr>
        <w:pStyle w:val="FootnoteText"/>
        <w:rPr>
          <w:rFonts w:ascii="Times New Roman" w:hAnsi="Times New Roman" w:cs="Times New Roman"/>
          <w:lang w:val="en-GB"/>
        </w:rPr>
      </w:pPr>
    </w:p>
    <w:p w14:paraId="720F6FA7" w14:textId="77777777" w:rsidR="002B32AD" w:rsidRPr="006131C8" w:rsidRDefault="002B32AD" w:rsidP="002B32AD">
      <w:pPr>
        <w:pStyle w:val="FootnoteText"/>
        <w:rPr>
          <w:rFonts w:ascii="Times New Roman" w:hAnsi="Times New Roman" w:cs="Times New Roman"/>
          <w:lang w:val="en-GB"/>
        </w:rPr>
      </w:pPr>
    </w:p>
    <w:p w14:paraId="28A648F6" w14:textId="77777777" w:rsidR="002B32AD" w:rsidRPr="003B37C1" w:rsidRDefault="002B32AD" w:rsidP="002B32AD">
      <w:pPr>
        <w:pStyle w:val="FootnoteText"/>
        <w:rPr>
          <w:rFonts w:ascii="Times New Roman" w:hAnsi="Times New Roman" w:cs="Times New Roman"/>
          <w:lang w:val="en-GB"/>
        </w:rPr>
      </w:pPr>
    </w:p>
    <w:p w14:paraId="67C38F1E" w14:textId="77777777" w:rsidR="002B32AD" w:rsidRPr="002D2259" w:rsidRDefault="002B32AD" w:rsidP="002B32AD">
      <w:pPr>
        <w:pStyle w:val="FootnoteText"/>
        <w:rPr>
          <w:rFonts w:ascii="Times New Roman" w:hAnsi="Times New Roman" w:cs="Times New Roman"/>
          <w:lang w:val="en-GB"/>
        </w:rPr>
      </w:pPr>
    </w:p>
    <w:p w14:paraId="248020FA" w14:textId="77777777" w:rsidR="002B32AD" w:rsidRDefault="002B32AD" w:rsidP="002B32AD">
      <w:pPr>
        <w:rPr>
          <w:rFonts w:ascii="Times New Roman" w:hAnsi="Times New Roman" w:cs="Times New Roman"/>
          <w:sz w:val="24"/>
          <w:szCs w:val="24"/>
          <w:u w:val="single"/>
        </w:rPr>
      </w:pPr>
    </w:p>
    <w:p w14:paraId="084150F5" w14:textId="24C2FFB4" w:rsidR="002B32AD" w:rsidRPr="00285093" w:rsidRDefault="002B32AD" w:rsidP="002B32AD">
      <w:pPr>
        <w:pStyle w:val="FootnoteText"/>
        <w:rPr>
          <w:lang w:val="en-GB"/>
        </w:rPr>
      </w:pPr>
    </w:p>
    <w:p w14:paraId="7E23DC84" w14:textId="77777777" w:rsidR="002B32AD" w:rsidRDefault="002B32AD" w:rsidP="002B32AD">
      <w:pPr>
        <w:rPr>
          <w:rFonts w:ascii="Times New Roman" w:hAnsi="Times New Roman" w:cs="Times New Roman"/>
          <w:sz w:val="24"/>
          <w:szCs w:val="24"/>
          <w:u w:val="single"/>
        </w:rPr>
      </w:pPr>
    </w:p>
    <w:sectPr w:rsidR="002B32AD" w:rsidSect="00E75F8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A009A" w14:textId="77777777" w:rsidR="00E42F93" w:rsidRDefault="00E42F93" w:rsidP="004142B1">
      <w:pPr>
        <w:spacing w:after="0" w:line="240" w:lineRule="auto"/>
      </w:pPr>
      <w:r>
        <w:separator/>
      </w:r>
    </w:p>
  </w:endnote>
  <w:endnote w:type="continuationSeparator" w:id="0">
    <w:p w14:paraId="2E21089A" w14:textId="77777777" w:rsidR="00E42F93" w:rsidRDefault="00E42F93" w:rsidP="0041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CA9C4" w14:textId="77777777" w:rsidR="00E42F93" w:rsidRDefault="00E42F93" w:rsidP="004142B1">
      <w:pPr>
        <w:spacing w:after="0" w:line="240" w:lineRule="auto"/>
      </w:pPr>
      <w:r>
        <w:separator/>
      </w:r>
    </w:p>
  </w:footnote>
  <w:footnote w:type="continuationSeparator" w:id="0">
    <w:p w14:paraId="7292CF2E" w14:textId="77777777" w:rsidR="00E42F93" w:rsidRDefault="00E42F93" w:rsidP="004142B1">
      <w:pPr>
        <w:spacing w:after="0" w:line="240" w:lineRule="auto"/>
      </w:pPr>
      <w:r>
        <w:continuationSeparator/>
      </w:r>
    </w:p>
  </w:footnote>
  <w:footnote w:id="1">
    <w:p w14:paraId="3B8B8B02" w14:textId="1D10E760" w:rsidR="00D66454" w:rsidRPr="00D66454" w:rsidRDefault="00D66454">
      <w:pPr>
        <w:pStyle w:val="FootnoteText"/>
        <w:rPr>
          <w:lang w:val="en-GB"/>
        </w:rPr>
      </w:pPr>
      <w:r>
        <w:rPr>
          <w:rStyle w:val="FootnoteReference"/>
        </w:rPr>
        <w:footnoteRef/>
      </w:r>
      <w:r>
        <w:t xml:space="preserve"> </w:t>
      </w:r>
      <w:r w:rsidRPr="006B7946">
        <w:rPr>
          <w:rFonts w:ascii="Times New Roman" w:hAnsi="Times New Roman" w:cs="Times New Roman"/>
          <w:lang w:val="en-GB"/>
        </w:rPr>
        <w:t xml:space="preserve">Matthew T. Evans, ‘The Sacred: Differentiating, Clarifying and Extending Concepts’, in </w:t>
      </w:r>
      <w:r w:rsidRPr="006B7946">
        <w:rPr>
          <w:rFonts w:ascii="Times New Roman" w:hAnsi="Times New Roman" w:cs="Times New Roman"/>
          <w:i/>
          <w:iCs/>
          <w:lang w:val="en-GB"/>
        </w:rPr>
        <w:t xml:space="preserve">Review of Religious Research </w:t>
      </w:r>
      <w:r w:rsidRPr="006B7946">
        <w:rPr>
          <w:rFonts w:ascii="Times New Roman" w:hAnsi="Times New Roman" w:cs="Times New Roman"/>
          <w:lang w:val="en-GB"/>
        </w:rPr>
        <w:t>vol.45 (1), (London: Sage Publications Ltd, 2003). p.</w:t>
      </w:r>
      <w:r>
        <w:rPr>
          <w:rFonts w:ascii="Times New Roman" w:hAnsi="Times New Roman" w:cs="Times New Roman"/>
          <w:lang w:val="en-GB"/>
        </w:rPr>
        <w:t>32.</w:t>
      </w:r>
    </w:p>
  </w:footnote>
  <w:footnote w:id="2">
    <w:p w14:paraId="263F023B" w14:textId="77777777" w:rsidR="007405E1" w:rsidRPr="00D352C8" w:rsidRDefault="007405E1" w:rsidP="007405E1">
      <w:pPr>
        <w:pStyle w:val="FootnoteText"/>
        <w:rPr>
          <w:rFonts w:ascii="Times New Roman" w:hAnsi="Times New Roman" w:cs="Times New Roman"/>
          <w:lang w:val="en-GB"/>
        </w:rPr>
      </w:pPr>
      <w:r w:rsidRPr="00D352C8">
        <w:rPr>
          <w:rStyle w:val="FootnoteReference"/>
          <w:rFonts w:ascii="Times New Roman" w:hAnsi="Times New Roman" w:cs="Times New Roman"/>
        </w:rPr>
        <w:footnoteRef/>
      </w:r>
      <w:r w:rsidRPr="00D352C8">
        <w:rPr>
          <w:rFonts w:ascii="Times New Roman" w:hAnsi="Times New Roman" w:cs="Times New Roman"/>
        </w:rPr>
        <w:t xml:space="preserve"> Larry Seidlitz, Alexis D. Abernethy, Paul R. Duberstein, James S. </w:t>
      </w:r>
      <w:proofErr w:type="spellStart"/>
      <w:r w:rsidRPr="00D352C8">
        <w:rPr>
          <w:rFonts w:ascii="Times New Roman" w:hAnsi="Times New Roman" w:cs="Times New Roman"/>
        </w:rPr>
        <w:t>Evinger</w:t>
      </w:r>
      <w:proofErr w:type="spellEnd"/>
      <w:r w:rsidRPr="00D352C8">
        <w:rPr>
          <w:rFonts w:ascii="Times New Roman" w:hAnsi="Times New Roman" w:cs="Times New Roman"/>
        </w:rPr>
        <w:t xml:space="preserve">, Theresa H. Chang and Barbara L. Lewis, ‘Development of the Spiritual Transcendence Index’, in </w:t>
      </w:r>
      <w:r w:rsidRPr="00D352C8">
        <w:rPr>
          <w:rFonts w:ascii="Times New Roman" w:hAnsi="Times New Roman" w:cs="Times New Roman"/>
          <w:i/>
          <w:iCs/>
        </w:rPr>
        <w:t xml:space="preserve">Journal for the Scientific Study of Religion, </w:t>
      </w:r>
      <w:r w:rsidRPr="00D352C8">
        <w:rPr>
          <w:rFonts w:ascii="Times New Roman" w:hAnsi="Times New Roman" w:cs="Times New Roman"/>
        </w:rPr>
        <w:t>vol.41 (3), (New Jersey: Wiley-Blackwell, 2002) p.440.</w:t>
      </w:r>
    </w:p>
  </w:footnote>
  <w:footnote w:id="3">
    <w:p w14:paraId="20F2A176" w14:textId="36766AE5" w:rsidR="006B7946" w:rsidRPr="006B7946" w:rsidRDefault="006B7946">
      <w:pPr>
        <w:pStyle w:val="FootnoteText"/>
        <w:rPr>
          <w:rFonts w:ascii="Times New Roman" w:hAnsi="Times New Roman" w:cs="Times New Roman"/>
          <w:lang w:val="en-GB"/>
        </w:rPr>
      </w:pPr>
      <w:r w:rsidRPr="006B7946">
        <w:rPr>
          <w:rStyle w:val="FootnoteReference"/>
          <w:rFonts w:ascii="Times New Roman" w:hAnsi="Times New Roman" w:cs="Times New Roman"/>
        </w:rPr>
        <w:footnoteRef/>
      </w:r>
      <w:r w:rsidRPr="006B7946">
        <w:rPr>
          <w:rFonts w:ascii="Times New Roman" w:hAnsi="Times New Roman" w:cs="Times New Roman"/>
        </w:rPr>
        <w:t xml:space="preserve"> </w:t>
      </w:r>
      <w:r w:rsidR="00274600" w:rsidRPr="006B7946">
        <w:rPr>
          <w:rFonts w:ascii="Times New Roman" w:hAnsi="Times New Roman" w:cs="Times New Roman"/>
          <w:lang w:val="en-GB"/>
        </w:rPr>
        <w:t xml:space="preserve">Matthew T. Evans, ‘The Sacred: Differentiating, Clarifying and Extending Concepts’, in </w:t>
      </w:r>
      <w:r w:rsidR="00274600" w:rsidRPr="006B7946">
        <w:rPr>
          <w:rFonts w:ascii="Times New Roman" w:hAnsi="Times New Roman" w:cs="Times New Roman"/>
          <w:i/>
          <w:iCs/>
          <w:lang w:val="en-GB"/>
        </w:rPr>
        <w:t xml:space="preserve">Review of Religious Research </w:t>
      </w:r>
      <w:r w:rsidR="00274600" w:rsidRPr="006B7946">
        <w:rPr>
          <w:rFonts w:ascii="Times New Roman" w:hAnsi="Times New Roman" w:cs="Times New Roman"/>
          <w:lang w:val="en-GB"/>
        </w:rPr>
        <w:t>vol.45 (1), (London: Sage Publications Ltd, 2003). p.</w:t>
      </w:r>
      <w:r w:rsidR="00274600">
        <w:rPr>
          <w:rFonts w:ascii="Times New Roman" w:hAnsi="Times New Roman" w:cs="Times New Roman"/>
          <w:lang w:val="en-GB"/>
        </w:rPr>
        <w:t>32.</w:t>
      </w:r>
    </w:p>
  </w:footnote>
  <w:footnote w:id="4">
    <w:p w14:paraId="7FCA78E3" w14:textId="31EB2D99" w:rsidR="0022418F" w:rsidRPr="0022418F" w:rsidRDefault="0022418F">
      <w:pPr>
        <w:pStyle w:val="FootnoteText"/>
        <w:rPr>
          <w:lang w:val="en-GB"/>
        </w:rPr>
      </w:pPr>
      <w:r>
        <w:rPr>
          <w:rStyle w:val="FootnoteReference"/>
        </w:rPr>
        <w:footnoteRef/>
      </w:r>
      <w:r>
        <w:t xml:space="preserve"> </w:t>
      </w:r>
      <w:r w:rsidRPr="0022418F">
        <w:rPr>
          <w:rFonts w:ascii="Times New Roman" w:hAnsi="Times New Roman" w:cs="Times New Roman"/>
          <w:lang w:val="en-GB"/>
        </w:rPr>
        <w:t xml:space="preserve">Britannica Encyclopaedia, </w:t>
      </w:r>
      <w:r w:rsidRPr="0022418F">
        <w:rPr>
          <w:rFonts w:ascii="Times New Roman" w:hAnsi="Times New Roman" w:cs="Times New Roman"/>
          <w:i/>
          <w:iCs/>
          <w:lang w:val="en-GB"/>
        </w:rPr>
        <w:t xml:space="preserve">Sacred </w:t>
      </w:r>
      <w:r w:rsidRPr="0022418F">
        <w:rPr>
          <w:rFonts w:ascii="Times New Roman" w:hAnsi="Times New Roman" w:cs="Times New Roman"/>
          <w:lang w:val="en-GB"/>
        </w:rPr>
        <w:t xml:space="preserve">(2025) </w:t>
      </w:r>
      <w:r w:rsidRPr="0022418F">
        <w:rPr>
          <w:rFonts w:ascii="Times New Roman" w:hAnsi="Times New Roman" w:cs="Times New Roman"/>
          <w:lang w:val="en-GB"/>
        </w:rPr>
        <w:t>https://www.britannica.com/topic/sacred</w:t>
      </w:r>
      <w:r w:rsidRPr="0022418F">
        <w:rPr>
          <w:rFonts w:ascii="Times New Roman" w:hAnsi="Times New Roman" w:cs="Times New Roman"/>
          <w:lang w:val="en-GB"/>
        </w:rPr>
        <w:t xml:space="preserve"> [accessed 24th October 2025].</w:t>
      </w:r>
      <w:r>
        <w:rPr>
          <w:lang w:val="en-GB"/>
        </w:rPr>
        <w:t xml:space="preserve"> </w:t>
      </w:r>
    </w:p>
  </w:footnote>
  <w:footnote w:id="5">
    <w:p w14:paraId="505CC69F" w14:textId="22F6B5E4" w:rsidR="00401CF3" w:rsidRPr="008D03BB" w:rsidRDefault="00401CF3">
      <w:pPr>
        <w:pStyle w:val="FootnoteText"/>
        <w:rPr>
          <w:rFonts w:ascii="Times New Roman" w:hAnsi="Times New Roman" w:cs="Times New Roman"/>
          <w:lang w:val="en-GB"/>
        </w:rPr>
      </w:pPr>
      <w:r w:rsidRPr="008D03BB">
        <w:rPr>
          <w:rStyle w:val="FootnoteReference"/>
          <w:rFonts w:ascii="Times New Roman" w:hAnsi="Times New Roman" w:cs="Times New Roman"/>
        </w:rPr>
        <w:footnoteRef/>
      </w:r>
      <w:r w:rsidRPr="008D03BB">
        <w:rPr>
          <w:rFonts w:ascii="Times New Roman" w:hAnsi="Times New Roman" w:cs="Times New Roman"/>
        </w:rPr>
        <w:t xml:space="preserve"> </w:t>
      </w:r>
      <w:r w:rsidRPr="008D03BB">
        <w:rPr>
          <w:rFonts w:ascii="Times New Roman" w:hAnsi="Times New Roman" w:cs="Times New Roman"/>
          <w:lang w:val="en-GB"/>
        </w:rPr>
        <w:t xml:space="preserve">Anthony Thorley and Celia M. Gunn, </w:t>
      </w:r>
      <w:r w:rsidR="008D03BB" w:rsidRPr="008D03BB">
        <w:rPr>
          <w:rFonts w:ascii="Times New Roman" w:hAnsi="Times New Roman" w:cs="Times New Roman"/>
          <w:i/>
          <w:iCs/>
          <w:lang w:val="en-GB"/>
        </w:rPr>
        <w:t>Sacred Sites: An Overview (Abridged)</w:t>
      </w:r>
      <w:r w:rsidR="008D03BB" w:rsidRPr="008D03BB">
        <w:rPr>
          <w:rFonts w:ascii="Times New Roman" w:hAnsi="Times New Roman" w:cs="Times New Roman"/>
          <w:lang w:val="en-GB"/>
        </w:rPr>
        <w:t xml:space="preserve"> (London: The Gaia Foundation,2008). p.12.</w:t>
      </w:r>
    </w:p>
  </w:footnote>
  <w:footnote w:id="6">
    <w:p w14:paraId="64551995" w14:textId="51608B8B" w:rsidR="00503E96" w:rsidRPr="00503E96" w:rsidRDefault="00503E96">
      <w:pPr>
        <w:pStyle w:val="FootnoteText"/>
        <w:rPr>
          <w:lang w:val="en-GB"/>
        </w:rPr>
      </w:pPr>
      <w:r>
        <w:rPr>
          <w:rStyle w:val="FootnoteReference"/>
        </w:rPr>
        <w:footnoteRef/>
      </w:r>
      <w:r>
        <w:t xml:space="preserve"> </w:t>
      </w:r>
      <w:r>
        <w:rPr>
          <w:rFonts w:ascii="Times New Roman" w:hAnsi="Times New Roman" w:cs="Times New Roman"/>
        </w:rPr>
        <w:t xml:space="preserve">Bernadette Brady, ‘Introduction Part 1’ </w:t>
      </w:r>
      <w:r w:rsidRPr="00902935">
        <w:rPr>
          <w:rFonts w:ascii="Times New Roman" w:hAnsi="Times New Roman" w:cs="Times New Roman"/>
          <w:lang w:val="en-GB"/>
        </w:rPr>
        <w:t xml:space="preserve">in </w:t>
      </w:r>
      <w:r w:rsidRPr="00902935">
        <w:rPr>
          <w:rFonts w:ascii="Times New Roman" w:hAnsi="Times New Roman" w:cs="Times New Roman"/>
          <w:i/>
          <w:iCs/>
          <w:lang w:val="en-GB"/>
        </w:rPr>
        <w:t xml:space="preserve">Sacred Geography: Conversations with Place, </w:t>
      </w:r>
      <w:r w:rsidRPr="00902935">
        <w:rPr>
          <w:rFonts w:ascii="Times New Roman" w:hAnsi="Times New Roman" w:cs="Times New Roman"/>
          <w:lang w:val="en-GB"/>
        </w:rPr>
        <w:t xml:space="preserve">eds. Bernadette Brady and Jack Hunter (Wales: Sophia Centre </w:t>
      </w:r>
      <w:r w:rsidRPr="00040B22">
        <w:rPr>
          <w:rFonts w:ascii="Times New Roman" w:hAnsi="Times New Roman" w:cs="Times New Roman"/>
          <w:lang w:val="en-GB"/>
        </w:rPr>
        <w:t>Press, 2024) p</w:t>
      </w:r>
      <w:r>
        <w:rPr>
          <w:rFonts w:ascii="Times New Roman" w:hAnsi="Times New Roman" w:cs="Times New Roman"/>
          <w:lang w:val="en-GB"/>
        </w:rPr>
        <w:t>p.1-9</w:t>
      </w:r>
      <w:r w:rsidRPr="00040B22">
        <w:rPr>
          <w:rFonts w:ascii="Times New Roman" w:hAnsi="Times New Roman" w:cs="Times New Roman"/>
          <w:lang w:val="en-GB"/>
        </w:rPr>
        <w:t>.</w:t>
      </w:r>
    </w:p>
  </w:footnote>
  <w:footnote w:id="7">
    <w:p w14:paraId="3DD0DB7B" w14:textId="4ECE4974" w:rsidR="009D12DD" w:rsidRPr="00503E96" w:rsidRDefault="009D12DD" w:rsidP="009D12DD">
      <w:pPr>
        <w:pStyle w:val="FootnoteText"/>
        <w:rPr>
          <w:lang w:val="en-GB"/>
        </w:rPr>
      </w:pPr>
      <w:r w:rsidRPr="009D12DD">
        <w:rPr>
          <w:rStyle w:val="FootnoteReference"/>
          <w:rFonts w:ascii="Times New Roman" w:hAnsi="Times New Roman" w:cs="Times New Roman"/>
        </w:rPr>
        <w:footnoteRef/>
      </w:r>
      <w:r w:rsidRPr="009D12DD">
        <w:rPr>
          <w:rFonts w:ascii="Times New Roman" w:hAnsi="Times New Roman" w:cs="Times New Roman"/>
        </w:rPr>
        <w:t xml:space="preserve"> </w:t>
      </w:r>
      <w:r w:rsidRPr="009D12DD">
        <w:rPr>
          <w:rFonts w:ascii="Times New Roman" w:hAnsi="Times New Roman" w:cs="Times New Roman"/>
          <w:lang w:val="en-GB"/>
        </w:rPr>
        <w:t xml:space="preserve">Jack Hunter, </w:t>
      </w:r>
      <w:r w:rsidRPr="009D12DD">
        <w:rPr>
          <w:rFonts w:ascii="Times New Roman" w:hAnsi="Times New Roman" w:cs="Times New Roman"/>
        </w:rPr>
        <w:t>‘Introduction</w:t>
      </w:r>
      <w:r>
        <w:rPr>
          <w:rFonts w:ascii="Times New Roman" w:hAnsi="Times New Roman" w:cs="Times New Roman"/>
        </w:rPr>
        <w:t xml:space="preserve"> Part </w:t>
      </w:r>
      <w:r>
        <w:rPr>
          <w:rFonts w:ascii="Times New Roman" w:hAnsi="Times New Roman" w:cs="Times New Roman"/>
        </w:rPr>
        <w:t>2</w:t>
      </w:r>
      <w:r>
        <w:rPr>
          <w:rFonts w:ascii="Times New Roman" w:hAnsi="Times New Roman" w:cs="Times New Roman"/>
        </w:rPr>
        <w:t xml:space="preserve">’ </w:t>
      </w:r>
      <w:r w:rsidRPr="00902935">
        <w:rPr>
          <w:rFonts w:ascii="Times New Roman" w:hAnsi="Times New Roman" w:cs="Times New Roman"/>
          <w:lang w:val="en-GB"/>
        </w:rPr>
        <w:t xml:space="preserve">in </w:t>
      </w:r>
      <w:r w:rsidRPr="00902935">
        <w:rPr>
          <w:rFonts w:ascii="Times New Roman" w:hAnsi="Times New Roman" w:cs="Times New Roman"/>
          <w:i/>
          <w:iCs/>
          <w:lang w:val="en-GB"/>
        </w:rPr>
        <w:t xml:space="preserve">Sacred Geography: Conversations with Place, </w:t>
      </w:r>
      <w:r w:rsidRPr="00902935">
        <w:rPr>
          <w:rFonts w:ascii="Times New Roman" w:hAnsi="Times New Roman" w:cs="Times New Roman"/>
          <w:lang w:val="en-GB"/>
        </w:rPr>
        <w:t xml:space="preserve">eds. Bernadette Brady and Jack Hunter (Wales: Sophia Centre </w:t>
      </w:r>
      <w:r w:rsidRPr="00040B22">
        <w:rPr>
          <w:rFonts w:ascii="Times New Roman" w:hAnsi="Times New Roman" w:cs="Times New Roman"/>
          <w:lang w:val="en-GB"/>
        </w:rPr>
        <w:t>Press, 2024) p</w:t>
      </w:r>
      <w:r>
        <w:rPr>
          <w:rFonts w:ascii="Times New Roman" w:hAnsi="Times New Roman" w:cs="Times New Roman"/>
          <w:lang w:val="en-GB"/>
        </w:rPr>
        <w:t>.11.</w:t>
      </w:r>
    </w:p>
    <w:p w14:paraId="365B051E" w14:textId="1080E46A" w:rsidR="009D12DD" w:rsidRPr="009D12DD" w:rsidRDefault="009D12DD">
      <w:pPr>
        <w:pStyle w:val="FootnoteText"/>
        <w:rPr>
          <w:lang w:val="en-GB"/>
        </w:rPr>
      </w:pPr>
    </w:p>
  </w:footnote>
  <w:footnote w:id="8">
    <w:p w14:paraId="4C947E3C" w14:textId="7DF53C4F" w:rsidR="00051D6A" w:rsidRPr="00AA0605" w:rsidRDefault="00051D6A">
      <w:pPr>
        <w:pStyle w:val="FootnoteText"/>
        <w:rPr>
          <w:rFonts w:ascii="Times New Roman" w:hAnsi="Times New Roman" w:cs="Times New Roman"/>
          <w:lang w:val="en-GB"/>
        </w:rPr>
      </w:pPr>
      <w:r w:rsidRPr="00AA0605">
        <w:rPr>
          <w:rStyle w:val="FootnoteReference"/>
          <w:rFonts w:ascii="Times New Roman" w:hAnsi="Times New Roman" w:cs="Times New Roman"/>
        </w:rPr>
        <w:footnoteRef/>
      </w:r>
      <w:r w:rsidRPr="00AA0605">
        <w:rPr>
          <w:rFonts w:ascii="Times New Roman" w:hAnsi="Times New Roman" w:cs="Times New Roman"/>
        </w:rPr>
        <w:t xml:space="preserve"> </w:t>
      </w:r>
      <w:r w:rsidRPr="00AA0605">
        <w:rPr>
          <w:rFonts w:ascii="Times New Roman" w:hAnsi="Times New Roman" w:cs="Times New Roman"/>
          <w:lang w:val="en-GB"/>
        </w:rPr>
        <w:t xml:space="preserve">Erica </w:t>
      </w:r>
      <w:proofErr w:type="spellStart"/>
      <w:r w:rsidRPr="00AA0605">
        <w:rPr>
          <w:rFonts w:ascii="Times New Roman" w:hAnsi="Times New Roman" w:cs="Times New Roman"/>
          <w:lang w:val="en-GB"/>
        </w:rPr>
        <w:t>Malczewski</w:t>
      </w:r>
      <w:proofErr w:type="spellEnd"/>
      <w:r w:rsidRPr="00AA0605">
        <w:rPr>
          <w:rFonts w:ascii="Times New Roman" w:hAnsi="Times New Roman" w:cs="Times New Roman"/>
          <w:lang w:val="en-GB"/>
        </w:rPr>
        <w:t xml:space="preserve">, ‘Durkheim, Emile (1858-1917)’, in </w:t>
      </w:r>
      <w:r w:rsidRPr="00AA0605">
        <w:rPr>
          <w:rFonts w:ascii="Times New Roman" w:hAnsi="Times New Roman" w:cs="Times New Roman"/>
          <w:i/>
          <w:iCs/>
          <w:lang w:val="en-GB"/>
        </w:rPr>
        <w:t xml:space="preserve">The Wiley Blackwell </w:t>
      </w:r>
      <w:proofErr w:type="spellStart"/>
      <w:r w:rsidRPr="00AA0605">
        <w:rPr>
          <w:rFonts w:ascii="Times New Roman" w:hAnsi="Times New Roman" w:cs="Times New Roman"/>
          <w:i/>
          <w:iCs/>
          <w:lang w:val="en-GB"/>
        </w:rPr>
        <w:t>Encyclopedia</w:t>
      </w:r>
      <w:proofErr w:type="spellEnd"/>
      <w:r w:rsidRPr="00AA0605">
        <w:rPr>
          <w:rFonts w:ascii="Times New Roman" w:hAnsi="Times New Roman" w:cs="Times New Roman"/>
          <w:i/>
          <w:iCs/>
          <w:lang w:val="en-GB"/>
        </w:rPr>
        <w:t xml:space="preserve"> of Race, Ethnicity, and Nationalism, </w:t>
      </w:r>
      <w:r w:rsidRPr="00AA0605">
        <w:rPr>
          <w:rFonts w:ascii="Times New Roman" w:hAnsi="Times New Roman" w:cs="Times New Roman"/>
          <w:lang w:val="en-GB"/>
        </w:rPr>
        <w:t xml:space="preserve">(New Jersey: John Wiley </w:t>
      </w:r>
      <w:r w:rsidR="00AA0605" w:rsidRPr="00AA0605">
        <w:rPr>
          <w:rFonts w:ascii="Times New Roman" w:hAnsi="Times New Roman" w:cs="Times New Roman"/>
          <w:lang w:val="en-GB"/>
        </w:rPr>
        <w:t>&amp; Sons Ltd, 2016) p.1.</w:t>
      </w:r>
    </w:p>
  </w:footnote>
  <w:footnote w:id="9">
    <w:p w14:paraId="5BD6B262" w14:textId="3E04A727" w:rsidR="00AA0605" w:rsidRPr="00AA0605" w:rsidRDefault="00AA0605">
      <w:pPr>
        <w:pStyle w:val="FootnoteText"/>
        <w:rPr>
          <w:rFonts w:ascii="Times New Roman" w:hAnsi="Times New Roman" w:cs="Times New Roman"/>
          <w:lang w:val="en-GB"/>
        </w:rPr>
      </w:pPr>
      <w:r w:rsidRPr="00AA0605">
        <w:rPr>
          <w:rStyle w:val="FootnoteReference"/>
          <w:rFonts w:ascii="Times New Roman" w:hAnsi="Times New Roman" w:cs="Times New Roman"/>
        </w:rPr>
        <w:footnoteRef/>
      </w:r>
      <w:r w:rsidRPr="00AA0605">
        <w:rPr>
          <w:rFonts w:ascii="Times New Roman" w:hAnsi="Times New Roman" w:cs="Times New Roman"/>
        </w:rPr>
        <w:t xml:space="preserve"> </w:t>
      </w:r>
      <w:r w:rsidRPr="00AA0605">
        <w:rPr>
          <w:rFonts w:ascii="Times New Roman" w:hAnsi="Times New Roman" w:cs="Times New Roman"/>
          <w:i/>
          <w:iCs/>
          <w:lang w:val="en-GB"/>
        </w:rPr>
        <w:t xml:space="preserve">Ibid, </w:t>
      </w:r>
      <w:r w:rsidRPr="00AA0605">
        <w:rPr>
          <w:rFonts w:ascii="Times New Roman" w:hAnsi="Times New Roman" w:cs="Times New Roman"/>
          <w:lang w:val="en-GB"/>
        </w:rPr>
        <w:t>p.1.</w:t>
      </w:r>
    </w:p>
  </w:footnote>
  <w:footnote w:id="10">
    <w:p w14:paraId="265B970C" w14:textId="65AC6FE1" w:rsidR="00B21659" w:rsidRPr="00B21659" w:rsidRDefault="00B21659">
      <w:pPr>
        <w:pStyle w:val="FootnoteText"/>
        <w:rPr>
          <w:lang w:val="en-GB"/>
        </w:rPr>
      </w:pPr>
      <w:r>
        <w:rPr>
          <w:rStyle w:val="FootnoteReference"/>
        </w:rPr>
        <w:footnoteRef/>
      </w:r>
      <w:r>
        <w:t xml:space="preserve"> </w:t>
      </w:r>
      <w:r w:rsidRPr="009D12DD">
        <w:rPr>
          <w:rFonts w:ascii="Times New Roman" w:hAnsi="Times New Roman" w:cs="Times New Roman"/>
          <w:lang w:val="en-GB"/>
        </w:rPr>
        <w:t xml:space="preserve">Jack Hunter, </w:t>
      </w:r>
      <w:r w:rsidRPr="009D12DD">
        <w:rPr>
          <w:rFonts w:ascii="Times New Roman" w:hAnsi="Times New Roman" w:cs="Times New Roman"/>
        </w:rPr>
        <w:t>‘Introduction</w:t>
      </w:r>
      <w:r>
        <w:rPr>
          <w:rFonts w:ascii="Times New Roman" w:hAnsi="Times New Roman" w:cs="Times New Roman"/>
        </w:rPr>
        <w:t xml:space="preserve"> Part 2’ </w:t>
      </w:r>
      <w:r w:rsidRPr="00902935">
        <w:rPr>
          <w:rFonts w:ascii="Times New Roman" w:hAnsi="Times New Roman" w:cs="Times New Roman"/>
          <w:lang w:val="en-GB"/>
        </w:rPr>
        <w:t xml:space="preserve">in </w:t>
      </w:r>
      <w:r w:rsidRPr="00902935">
        <w:rPr>
          <w:rFonts w:ascii="Times New Roman" w:hAnsi="Times New Roman" w:cs="Times New Roman"/>
          <w:i/>
          <w:iCs/>
          <w:lang w:val="en-GB"/>
        </w:rPr>
        <w:t xml:space="preserve">Sacred Geography: Conversations with Place, </w:t>
      </w:r>
      <w:r w:rsidRPr="00902935">
        <w:rPr>
          <w:rFonts w:ascii="Times New Roman" w:hAnsi="Times New Roman" w:cs="Times New Roman"/>
          <w:lang w:val="en-GB"/>
        </w:rPr>
        <w:t xml:space="preserve">eds. Bernadette Brady and Jack Hunter (Wales: Sophia Centre </w:t>
      </w:r>
      <w:r w:rsidRPr="00040B22">
        <w:rPr>
          <w:rFonts w:ascii="Times New Roman" w:hAnsi="Times New Roman" w:cs="Times New Roman"/>
          <w:lang w:val="en-GB"/>
        </w:rPr>
        <w:t>Press, 2024) p</w:t>
      </w:r>
      <w:r>
        <w:rPr>
          <w:rFonts w:ascii="Times New Roman" w:hAnsi="Times New Roman" w:cs="Times New Roman"/>
          <w:lang w:val="en-GB"/>
        </w:rPr>
        <w:t>.11.</w:t>
      </w:r>
    </w:p>
  </w:footnote>
  <w:footnote w:id="11">
    <w:p w14:paraId="4250F3A6" w14:textId="3F018659" w:rsidR="007A7E7F" w:rsidRPr="007A7E7F" w:rsidRDefault="007A7E7F">
      <w:pPr>
        <w:pStyle w:val="FootnoteText"/>
        <w:rPr>
          <w:lang w:val="en-GB"/>
        </w:rPr>
      </w:pPr>
      <w:r>
        <w:rPr>
          <w:rStyle w:val="FootnoteReference"/>
        </w:rPr>
        <w:footnoteRef/>
      </w:r>
      <w:r>
        <w:t xml:space="preserve"> </w:t>
      </w:r>
      <w:r w:rsidRPr="00FA4361">
        <w:rPr>
          <w:rFonts w:ascii="Times New Roman" w:hAnsi="Times New Roman" w:cs="Times New Roman"/>
        </w:rPr>
        <w:t xml:space="preserve">Emile Durkheim, </w:t>
      </w:r>
      <w:r w:rsidRPr="00FA4361">
        <w:rPr>
          <w:rFonts w:ascii="Times New Roman" w:hAnsi="Times New Roman" w:cs="Times New Roman"/>
          <w:i/>
          <w:iCs/>
        </w:rPr>
        <w:t>The Elementary Forms of Religious Life,</w:t>
      </w:r>
      <w:r w:rsidRPr="003B37C1">
        <w:rPr>
          <w:rFonts w:ascii="Times New Roman" w:hAnsi="Times New Roman" w:cs="Times New Roman"/>
        </w:rPr>
        <w:t xml:space="preserve"> trans</w:t>
      </w:r>
      <w:r w:rsidRPr="00FA4361">
        <w:rPr>
          <w:rFonts w:ascii="Times New Roman" w:hAnsi="Times New Roman" w:cs="Times New Roman"/>
          <w:i/>
          <w:iCs/>
        </w:rPr>
        <w:t xml:space="preserve">. </w:t>
      </w:r>
      <w:r w:rsidRPr="00FA4361">
        <w:rPr>
          <w:rFonts w:ascii="Times New Roman" w:hAnsi="Times New Roman" w:cs="Times New Roman"/>
        </w:rPr>
        <w:t xml:space="preserve">Karen Fields (New York: The Free Press, 1995) </w:t>
      </w:r>
      <w:r w:rsidRPr="00FA4361">
        <w:rPr>
          <w:rFonts w:ascii="Times New Roman" w:hAnsi="Times New Roman" w:cs="Times New Roman"/>
          <w:lang w:val="en-GB"/>
        </w:rPr>
        <w:t>p</w:t>
      </w:r>
      <w:r>
        <w:rPr>
          <w:rFonts w:ascii="Times New Roman" w:hAnsi="Times New Roman" w:cs="Times New Roman"/>
          <w:lang w:val="en-GB"/>
        </w:rPr>
        <w:t>.</w:t>
      </w:r>
      <w:r>
        <w:rPr>
          <w:rFonts w:ascii="Times New Roman" w:hAnsi="Times New Roman" w:cs="Times New Roman"/>
          <w:lang w:val="en-GB"/>
        </w:rPr>
        <w:t>314.</w:t>
      </w:r>
    </w:p>
  </w:footnote>
  <w:footnote w:id="12">
    <w:p w14:paraId="14EAE602" w14:textId="67120E01" w:rsidR="00CF02C9" w:rsidRPr="00CF02C9" w:rsidRDefault="00CF02C9">
      <w:pPr>
        <w:pStyle w:val="FootnoteText"/>
        <w:rPr>
          <w:lang w:val="en-GB"/>
        </w:rPr>
      </w:pPr>
      <w:r>
        <w:rPr>
          <w:rStyle w:val="FootnoteReference"/>
        </w:rPr>
        <w:footnoteRef/>
      </w:r>
      <w:r>
        <w:t xml:space="preserve"> </w:t>
      </w:r>
      <w:r w:rsidR="007A7E7F" w:rsidRPr="007A7E7F">
        <w:rPr>
          <w:rFonts w:ascii="Times New Roman" w:hAnsi="Times New Roman" w:cs="Times New Roman"/>
          <w:i/>
          <w:iCs/>
        </w:rPr>
        <w:t>Ibid</w:t>
      </w:r>
      <w:r w:rsidR="007A7E7F">
        <w:rPr>
          <w:rFonts w:ascii="Times New Roman" w:hAnsi="Times New Roman" w:cs="Times New Roman"/>
        </w:rPr>
        <w:t xml:space="preserve">, </w:t>
      </w:r>
      <w:r w:rsidRPr="00FA4361">
        <w:rPr>
          <w:rFonts w:ascii="Times New Roman" w:hAnsi="Times New Roman" w:cs="Times New Roman"/>
          <w:lang w:val="en-GB"/>
        </w:rPr>
        <w:t>p</w:t>
      </w:r>
      <w:r>
        <w:rPr>
          <w:rFonts w:ascii="Times New Roman" w:hAnsi="Times New Roman" w:cs="Times New Roman"/>
          <w:lang w:val="en-GB"/>
        </w:rPr>
        <w:t>.208.</w:t>
      </w:r>
    </w:p>
  </w:footnote>
  <w:footnote w:id="13">
    <w:p w14:paraId="72824926" w14:textId="3B918549" w:rsidR="00AC773B" w:rsidRPr="00AC773B" w:rsidRDefault="00AC773B">
      <w:pPr>
        <w:pStyle w:val="FootnoteText"/>
        <w:rPr>
          <w:rFonts w:ascii="Times New Roman" w:hAnsi="Times New Roman" w:cs="Times New Roman"/>
          <w:lang w:val="en-GB"/>
        </w:rPr>
      </w:pPr>
      <w:r>
        <w:rPr>
          <w:rStyle w:val="FootnoteReference"/>
        </w:rPr>
        <w:footnoteRef/>
      </w:r>
      <w:r>
        <w:t xml:space="preserve"> </w:t>
      </w:r>
      <w:r w:rsidRPr="00902935">
        <w:rPr>
          <w:rFonts w:ascii="Times New Roman" w:hAnsi="Times New Roman" w:cs="Times New Roman"/>
          <w:lang w:val="en-GB"/>
        </w:rPr>
        <w:t xml:space="preserve">Wendy Fay, ‘The Gnome, The Rock and The Pool – Sacredness in a Domestic Garden’, in </w:t>
      </w:r>
      <w:r w:rsidRPr="00902935">
        <w:rPr>
          <w:rFonts w:ascii="Times New Roman" w:hAnsi="Times New Roman" w:cs="Times New Roman"/>
          <w:i/>
          <w:iCs/>
          <w:lang w:val="en-GB"/>
        </w:rPr>
        <w:t xml:space="preserve">Sacred Geography: Conversations with Place, </w:t>
      </w:r>
      <w:r w:rsidRPr="00902935">
        <w:rPr>
          <w:rFonts w:ascii="Times New Roman" w:hAnsi="Times New Roman" w:cs="Times New Roman"/>
          <w:lang w:val="en-GB"/>
        </w:rPr>
        <w:t xml:space="preserve">eds. Bernadette Brady and Jack Hunter (Wales: Sophia Centre </w:t>
      </w:r>
      <w:r w:rsidRPr="00040B22">
        <w:rPr>
          <w:rFonts w:ascii="Times New Roman" w:hAnsi="Times New Roman" w:cs="Times New Roman"/>
          <w:lang w:val="en-GB"/>
        </w:rPr>
        <w:t>Press, 2024) p.144.</w:t>
      </w:r>
    </w:p>
  </w:footnote>
  <w:footnote w:id="14">
    <w:p w14:paraId="1B23F242" w14:textId="44DB661E" w:rsidR="00B75C1D" w:rsidRPr="00B75C1D" w:rsidRDefault="00B75C1D">
      <w:pPr>
        <w:pStyle w:val="FootnoteText"/>
        <w:rPr>
          <w:lang w:val="en-GB"/>
        </w:rPr>
      </w:pPr>
      <w:r>
        <w:rPr>
          <w:rStyle w:val="FootnoteReference"/>
        </w:rPr>
        <w:footnoteRef/>
      </w:r>
      <w:r>
        <w:t xml:space="preserve"> </w:t>
      </w:r>
      <w:r w:rsidRPr="00FA4361">
        <w:rPr>
          <w:rFonts w:ascii="Times New Roman" w:hAnsi="Times New Roman" w:cs="Times New Roman"/>
        </w:rPr>
        <w:t xml:space="preserve">Emile Durkheim, </w:t>
      </w:r>
      <w:r w:rsidRPr="00FA4361">
        <w:rPr>
          <w:rFonts w:ascii="Times New Roman" w:hAnsi="Times New Roman" w:cs="Times New Roman"/>
          <w:i/>
          <w:iCs/>
        </w:rPr>
        <w:t>The Elementary Forms of Religious Life,</w:t>
      </w:r>
      <w:r w:rsidRPr="003B37C1">
        <w:rPr>
          <w:rFonts w:ascii="Times New Roman" w:hAnsi="Times New Roman" w:cs="Times New Roman"/>
        </w:rPr>
        <w:t xml:space="preserve"> trans</w:t>
      </w:r>
      <w:r w:rsidRPr="00FA4361">
        <w:rPr>
          <w:rFonts w:ascii="Times New Roman" w:hAnsi="Times New Roman" w:cs="Times New Roman"/>
          <w:i/>
          <w:iCs/>
        </w:rPr>
        <w:t xml:space="preserve">. </w:t>
      </w:r>
      <w:r w:rsidRPr="00FA4361">
        <w:rPr>
          <w:rFonts w:ascii="Times New Roman" w:hAnsi="Times New Roman" w:cs="Times New Roman"/>
        </w:rPr>
        <w:t xml:space="preserve">Karen Fields (New York: The Free Press, 1995) </w:t>
      </w:r>
      <w:r w:rsidRPr="00FA4361">
        <w:rPr>
          <w:rFonts w:ascii="Times New Roman" w:hAnsi="Times New Roman" w:cs="Times New Roman"/>
          <w:lang w:val="en-GB"/>
        </w:rPr>
        <w:t>p</w:t>
      </w:r>
      <w:r>
        <w:rPr>
          <w:rFonts w:ascii="Times New Roman" w:hAnsi="Times New Roman" w:cs="Times New Roman"/>
          <w:lang w:val="en-GB"/>
        </w:rPr>
        <w:t>.</w:t>
      </w:r>
      <w:r>
        <w:rPr>
          <w:rFonts w:ascii="Times New Roman" w:hAnsi="Times New Roman" w:cs="Times New Roman"/>
          <w:lang w:val="en-GB"/>
        </w:rPr>
        <w:t>34.</w:t>
      </w:r>
    </w:p>
  </w:footnote>
  <w:footnote w:id="15">
    <w:p w14:paraId="049F0C56" w14:textId="0B4C34F3" w:rsidR="00C9470D" w:rsidRPr="0045367D" w:rsidRDefault="00C9470D">
      <w:pPr>
        <w:pStyle w:val="FootnoteText"/>
        <w:rPr>
          <w:rFonts w:ascii="Times New Roman" w:hAnsi="Times New Roman" w:cs="Times New Roman"/>
          <w:lang w:val="en-GB"/>
        </w:rPr>
      </w:pPr>
      <w:r w:rsidRPr="00FA4361">
        <w:rPr>
          <w:rStyle w:val="FootnoteReference"/>
          <w:rFonts w:ascii="Times New Roman" w:hAnsi="Times New Roman" w:cs="Times New Roman"/>
        </w:rPr>
        <w:footnoteRef/>
      </w:r>
      <w:r w:rsidRPr="00FA4361">
        <w:rPr>
          <w:rFonts w:ascii="Times New Roman" w:hAnsi="Times New Roman" w:cs="Times New Roman"/>
        </w:rPr>
        <w:t xml:space="preserve"> </w:t>
      </w:r>
      <w:r w:rsidR="0045367D">
        <w:rPr>
          <w:rFonts w:ascii="Times New Roman" w:hAnsi="Times New Roman" w:cs="Times New Roman"/>
          <w:i/>
          <w:iCs/>
        </w:rPr>
        <w:t xml:space="preserve">Ibid, </w:t>
      </w:r>
      <w:proofErr w:type="spellStart"/>
      <w:proofErr w:type="gramStart"/>
      <w:r w:rsidR="0045367D" w:rsidRPr="00FA4361">
        <w:rPr>
          <w:rFonts w:ascii="Times New Roman" w:hAnsi="Times New Roman" w:cs="Times New Roman"/>
          <w:lang w:val="en-GB"/>
        </w:rPr>
        <w:t>pp.xlvi</w:t>
      </w:r>
      <w:proofErr w:type="spellEnd"/>
      <w:proofErr w:type="gramEnd"/>
      <w:r w:rsidR="0045367D" w:rsidRPr="00FA4361">
        <w:rPr>
          <w:rFonts w:ascii="Times New Roman" w:hAnsi="Times New Roman" w:cs="Times New Roman"/>
          <w:lang w:val="en-GB"/>
        </w:rPr>
        <w:t>-</w:t>
      </w:r>
      <w:r w:rsidR="0045367D" w:rsidRPr="0045367D">
        <w:rPr>
          <w:rFonts w:ascii="Times New Roman" w:hAnsi="Times New Roman" w:cs="Times New Roman"/>
          <w:lang w:val="en-GB"/>
        </w:rPr>
        <w:t>v</w:t>
      </w:r>
      <w:r w:rsidR="0045367D" w:rsidRPr="00FA4361">
        <w:rPr>
          <w:rFonts w:ascii="Times New Roman" w:hAnsi="Times New Roman" w:cs="Times New Roman"/>
          <w:lang w:val="en-GB"/>
        </w:rPr>
        <w:t>.</w:t>
      </w:r>
    </w:p>
  </w:footnote>
  <w:footnote w:id="16">
    <w:p w14:paraId="0084B5B9" w14:textId="1C432CB1" w:rsidR="001D7B9D" w:rsidRPr="008A7EE1" w:rsidRDefault="001D7B9D">
      <w:pPr>
        <w:pStyle w:val="FootnoteText"/>
        <w:rPr>
          <w:rFonts w:ascii="Times New Roman" w:hAnsi="Times New Roman" w:cs="Times New Roman"/>
          <w:lang w:val="en-GB"/>
        </w:rPr>
      </w:pPr>
      <w:r w:rsidRPr="00935407">
        <w:rPr>
          <w:rStyle w:val="FootnoteReference"/>
          <w:rFonts w:ascii="Times New Roman" w:hAnsi="Times New Roman" w:cs="Times New Roman"/>
        </w:rPr>
        <w:footnoteRef/>
      </w:r>
      <w:r w:rsidRPr="00935407">
        <w:rPr>
          <w:rFonts w:ascii="Times New Roman" w:hAnsi="Times New Roman" w:cs="Times New Roman"/>
        </w:rPr>
        <w:t xml:space="preserve"> </w:t>
      </w:r>
      <w:r w:rsidRPr="00935407">
        <w:rPr>
          <w:rFonts w:ascii="Times New Roman" w:hAnsi="Times New Roman" w:cs="Times New Roman"/>
          <w:lang w:val="en-GB"/>
        </w:rPr>
        <w:t xml:space="preserve">David </w:t>
      </w:r>
      <w:r w:rsidRPr="008A7EE1">
        <w:rPr>
          <w:rFonts w:ascii="Times New Roman" w:hAnsi="Times New Roman" w:cs="Times New Roman"/>
          <w:lang w:val="en-GB"/>
        </w:rPr>
        <w:t xml:space="preserve">Gordon White, ‘Introduction’ in </w:t>
      </w:r>
      <w:r w:rsidRPr="008A7EE1">
        <w:rPr>
          <w:rFonts w:ascii="Times New Roman" w:hAnsi="Times New Roman" w:cs="Times New Roman"/>
          <w:i/>
          <w:iCs/>
          <w:lang w:val="en-GB"/>
        </w:rPr>
        <w:t xml:space="preserve">Yoga: Immortality and Freedom </w:t>
      </w:r>
      <w:r w:rsidRPr="008A7EE1">
        <w:rPr>
          <w:rFonts w:ascii="Times New Roman" w:hAnsi="Times New Roman" w:cs="Times New Roman"/>
          <w:lang w:val="en-GB"/>
        </w:rPr>
        <w:t xml:space="preserve">(New Jersey: Princeton University Press, 2009) </w:t>
      </w:r>
      <w:proofErr w:type="spellStart"/>
      <w:proofErr w:type="gramStart"/>
      <w:r w:rsidRPr="008A7EE1">
        <w:rPr>
          <w:rFonts w:ascii="Times New Roman" w:hAnsi="Times New Roman" w:cs="Times New Roman"/>
          <w:lang w:val="en-GB"/>
        </w:rPr>
        <w:t>p.</w:t>
      </w:r>
      <w:r w:rsidR="00935407" w:rsidRPr="008A7EE1">
        <w:rPr>
          <w:rFonts w:ascii="Times New Roman" w:hAnsi="Times New Roman" w:cs="Times New Roman"/>
          <w:lang w:val="en-GB"/>
        </w:rPr>
        <w:t>xiii</w:t>
      </w:r>
      <w:proofErr w:type="spellEnd"/>
      <w:r w:rsidR="00935407" w:rsidRPr="008A7EE1">
        <w:rPr>
          <w:rFonts w:ascii="Times New Roman" w:hAnsi="Times New Roman" w:cs="Times New Roman"/>
          <w:lang w:val="en-GB"/>
        </w:rPr>
        <w:t>.</w:t>
      </w:r>
      <w:proofErr w:type="gramEnd"/>
    </w:p>
  </w:footnote>
  <w:footnote w:id="17">
    <w:p w14:paraId="6275A02D" w14:textId="278DCD25" w:rsidR="0039239E" w:rsidRPr="008A7EE1" w:rsidRDefault="0039239E">
      <w:pPr>
        <w:pStyle w:val="FootnoteText"/>
        <w:rPr>
          <w:rFonts w:ascii="Times New Roman" w:hAnsi="Times New Roman" w:cs="Times New Roman"/>
          <w:lang w:val="en-GB"/>
        </w:rPr>
      </w:pPr>
      <w:r w:rsidRPr="008A7EE1">
        <w:rPr>
          <w:rStyle w:val="FootnoteReference"/>
          <w:rFonts w:ascii="Times New Roman" w:hAnsi="Times New Roman" w:cs="Times New Roman"/>
        </w:rPr>
        <w:footnoteRef/>
      </w:r>
      <w:r w:rsidRPr="008A7EE1">
        <w:rPr>
          <w:rFonts w:ascii="Times New Roman" w:hAnsi="Times New Roman" w:cs="Times New Roman"/>
        </w:rPr>
        <w:t xml:space="preserve"> </w:t>
      </w:r>
      <w:r w:rsidRPr="008A7EE1">
        <w:rPr>
          <w:rFonts w:ascii="Times New Roman" w:hAnsi="Times New Roman" w:cs="Times New Roman"/>
          <w:lang w:val="en-GB"/>
        </w:rPr>
        <w:t xml:space="preserve">Joseph M. Kitagawa, Wendy D. </w:t>
      </w:r>
      <w:proofErr w:type="gramStart"/>
      <w:r w:rsidRPr="008A7EE1">
        <w:rPr>
          <w:rFonts w:ascii="Times New Roman" w:hAnsi="Times New Roman" w:cs="Times New Roman"/>
          <w:lang w:val="en-GB"/>
        </w:rPr>
        <w:t>O’Flaherty</w:t>
      </w:r>
      <w:proofErr w:type="gramEnd"/>
      <w:r w:rsidRPr="008A7EE1">
        <w:rPr>
          <w:rFonts w:ascii="Times New Roman" w:hAnsi="Times New Roman" w:cs="Times New Roman"/>
          <w:lang w:val="en-GB"/>
        </w:rPr>
        <w:t xml:space="preserve"> and Frank E. Reynolds, ‘Mircea Eliade (1907-96) in </w:t>
      </w:r>
      <w:r w:rsidRPr="008A7EE1">
        <w:rPr>
          <w:rFonts w:ascii="Times New Roman" w:hAnsi="Times New Roman" w:cs="Times New Roman"/>
          <w:i/>
          <w:iCs/>
          <w:lang w:val="en-GB"/>
        </w:rPr>
        <w:t xml:space="preserve">History of Religions, </w:t>
      </w:r>
      <w:r w:rsidRPr="008A7EE1">
        <w:rPr>
          <w:rFonts w:ascii="Times New Roman" w:hAnsi="Times New Roman" w:cs="Times New Roman"/>
          <w:lang w:val="en-GB"/>
        </w:rPr>
        <w:t>vol.26 (1), (Chicago: University of Chicago Press, 1986). P.1.</w:t>
      </w:r>
    </w:p>
  </w:footnote>
  <w:footnote w:id="18">
    <w:p w14:paraId="38403DEB" w14:textId="1ACC7FEA" w:rsidR="0039239E" w:rsidRPr="0030726B" w:rsidRDefault="0039239E">
      <w:pPr>
        <w:pStyle w:val="FootnoteText"/>
        <w:rPr>
          <w:rFonts w:ascii="Times New Roman" w:hAnsi="Times New Roman" w:cs="Times New Roman"/>
          <w:lang w:val="en-GB"/>
        </w:rPr>
      </w:pPr>
      <w:r w:rsidRPr="0030726B">
        <w:rPr>
          <w:rStyle w:val="FootnoteReference"/>
          <w:rFonts w:ascii="Times New Roman" w:hAnsi="Times New Roman" w:cs="Times New Roman"/>
        </w:rPr>
        <w:footnoteRef/>
      </w:r>
      <w:r w:rsidRPr="0030726B">
        <w:rPr>
          <w:rFonts w:ascii="Times New Roman" w:hAnsi="Times New Roman" w:cs="Times New Roman"/>
        </w:rPr>
        <w:t xml:space="preserve"> </w:t>
      </w:r>
      <w:r w:rsidR="00935407" w:rsidRPr="0030726B">
        <w:rPr>
          <w:rFonts w:ascii="Times New Roman" w:hAnsi="Times New Roman" w:cs="Times New Roman"/>
          <w:i/>
          <w:iCs/>
          <w:lang w:val="en-GB"/>
        </w:rPr>
        <w:t xml:space="preserve">Ibid, </w:t>
      </w:r>
      <w:r w:rsidRPr="0030726B">
        <w:rPr>
          <w:rFonts w:ascii="Times New Roman" w:hAnsi="Times New Roman" w:cs="Times New Roman"/>
          <w:lang w:val="en-GB"/>
        </w:rPr>
        <w:t>P.1.</w:t>
      </w:r>
    </w:p>
  </w:footnote>
  <w:footnote w:id="19">
    <w:p w14:paraId="4DE05789" w14:textId="680AF051" w:rsidR="008A7EE1" w:rsidRPr="0030726B" w:rsidRDefault="008A7EE1">
      <w:pPr>
        <w:pStyle w:val="FootnoteText"/>
        <w:rPr>
          <w:rFonts w:ascii="Times New Roman" w:hAnsi="Times New Roman" w:cs="Times New Roman"/>
          <w:lang w:val="en-GB"/>
        </w:rPr>
      </w:pPr>
      <w:r w:rsidRPr="0030726B">
        <w:rPr>
          <w:rStyle w:val="FootnoteReference"/>
          <w:rFonts w:ascii="Times New Roman" w:hAnsi="Times New Roman" w:cs="Times New Roman"/>
        </w:rPr>
        <w:footnoteRef/>
      </w:r>
      <w:r w:rsidRPr="0030726B">
        <w:rPr>
          <w:rFonts w:ascii="Times New Roman" w:hAnsi="Times New Roman" w:cs="Times New Roman"/>
        </w:rPr>
        <w:t xml:space="preserve"> Mircea Eliade, </w:t>
      </w:r>
      <w:r w:rsidRPr="0030726B">
        <w:rPr>
          <w:rFonts w:ascii="Times New Roman" w:hAnsi="Times New Roman" w:cs="Times New Roman"/>
          <w:i/>
          <w:iCs/>
        </w:rPr>
        <w:t xml:space="preserve">The Sacred and the Profane </w:t>
      </w:r>
      <w:r w:rsidRPr="0030726B">
        <w:rPr>
          <w:rFonts w:ascii="Times New Roman" w:hAnsi="Times New Roman" w:cs="Times New Roman"/>
        </w:rPr>
        <w:t>(New York: Harcourt, 1987). P.26.</w:t>
      </w:r>
    </w:p>
  </w:footnote>
  <w:footnote w:id="20">
    <w:p w14:paraId="6C2EFC35" w14:textId="4C37F46B" w:rsidR="0030726B" w:rsidRPr="0030726B" w:rsidRDefault="0030726B">
      <w:pPr>
        <w:pStyle w:val="FootnoteText"/>
        <w:rPr>
          <w:lang w:val="en-GB"/>
        </w:rPr>
      </w:pPr>
      <w:r w:rsidRPr="0030726B">
        <w:rPr>
          <w:rStyle w:val="FootnoteReference"/>
          <w:rFonts w:ascii="Times New Roman" w:hAnsi="Times New Roman" w:cs="Times New Roman"/>
        </w:rPr>
        <w:footnoteRef/>
      </w:r>
      <w:r w:rsidRPr="0030726B">
        <w:rPr>
          <w:rFonts w:ascii="Times New Roman" w:hAnsi="Times New Roman" w:cs="Times New Roman"/>
        </w:rPr>
        <w:t xml:space="preserve"> </w:t>
      </w:r>
      <w:r w:rsidRPr="0030726B">
        <w:rPr>
          <w:rFonts w:ascii="Times New Roman" w:hAnsi="Times New Roman" w:cs="Times New Roman"/>
          <w:i/>
          <w:iCs/>
          <w:lang w:val="en-GB"/>
        </w:rPr>
        <w:t xml:space="preserve">Ibid, </w:t>
      </w:r>
      <w:r w:rsidRPr="0030726B">
        <w:rPr>
          <w:rFonts w:ascii="Times New Roman" w:hAnsi="Times New Roman" w:cs="Times New Roman"/>
          <w:lang w:val="en-GB"/>
        </w:rPr>
        <w:t>p.</w:t>
      </w:r>
      <w:r w:rsidR="00A33A43">
        <w:rPr>
          <w:rFonts w:ascii="Times New Roman" w:hAnsi="Times New Roman" w:cs="Times New Roman"/>
          <w:lang w:val="en-GB"/>
        </w:rPr>
        <w:t>11</w:t>
      </w:r>
      <w:r w:rsidRPr="0030726B">
        <w:rPr>
          <w:rFonts w:ascii="Times New Roman" w:hAnsi="Times New Roman" w:cs="Times New Roman"/>
          <w:lang w:val="en-GB"/>
        </w:rPr>
        <w:t>.</w:t>
      </w:r>
    </w:p>
  </w:footnote>
  <w:footnote w:id="21">
    <w:p w14:paraId="387229F9" w14:textId="62BE9C29" w:rsidR="00B815FB" w:rsidRPr="00B815FB" w:rsidRDefault="00B815FB">
      <w:pPr>
        <w:pStyle w:val="FootnoteText"/>
        <w:rPr>
          <w:rFonts w:ascii="Times New Roman" w:hAnsi="Times New Roman" w:cs="Times New Roman"/>
          <w:lang w:val="en-GB"/>
        </w:rPr>
      </w:pPr>
      <w:r w:rsidRPr="00B815FB">
        <w:rPr>
          <w:rStyle w:val="FootnoteReference"/>
          <w:rFonts w:ascii="Times New Roman" w:hAnsi="Times New Roman" w:cs="Times New Roman"/>
        </w:rPr>
        <w:footnoteRef/>
      </w:r>
      <w:r w:rsidRPr="00B815FB">
        <w:rPr>
          <w:rFonts w:ascii="Times New Roman" w:hAnsi="Times New Roman" w:cs="Times New Roman"/>
        </w:rPr>
        <w:t xml:space="preserve"> </w:t>
      </w:r>
      <w:r w:rsidRPr="00B815FB">
        <w:rPr>
          <w:rFonts w:ascii="Times New Roman" w:hAnsi="Times New Roman" w:cs="Times New Roman"/>
          <w:i/>
          <w:iCs/>
          <w:lang w:val="en-GB"/>
        </w:rPr>
        <w:t>Ibid</w:t>
      </w:r>
      <w:r w:rsidRPr="00B815FB">
        <w:rPr>
          <w:rFonts w:ascii="Times New Roman" w:hAnsi="Times New Roman" w:cs="Times New Roman"/>
          <w:lang w:val="en-GB"/>
        </w:rPr>
        <w:t>, p.36.</w:t>
      </w:r>
    </w:p>
  </w:footnote>
  <w:footnote w:id="22">
    <w:p w14:paraId="2984E499" w14:textId="2D7C2C98" w:rsidR="00B4338F" w:rsidRPr="00B4338F" w:rsidRDefault="00B4338F">
      <w:pPr>
        <w:pStyle w:val="FootnoteText"/>
        <w:rPr>
          <w:lang w:val="en-GB"/>
        </w:rPr>
      </w:pPr>
      <w:r>
        <w:rPr>
          <w:rStyle w:val="FootnoteReference"/>
        </w:rPr>
        <w:footnoteRef/>
      </w:r>
      <w:r>
        <w:t xml:space="preserve"> </w:t>
      </w:r>
      <w:r w:rsidRPr="00B4338F">
        <w:rPr>
          <w:rFonts w:ascii="Times New Roman" w:hAnsi="Times New Roman" w:cs="Times New Roman"/>
          <w:lang w:val="en-GB"/>
        </w:rPr>
        <w:t xml:space="preserve">Mircea Eliade, </w:t>
      </w:r>
      <w:r w:rsidRPr="00B4338F">
        <w:rPr>
          <w:rFonts w:ascii="Times New Roman" w:hAnsi="Times New Roman" w:cs="Times New Roman"/>
          <w:i/>
          <w:iCs/>
          <w:lang w:val="en-GB"/>
        </w:rPr>
        <w:t>The Myth of the Eternal Return: Cosmos and History</w:t>
      </w:r>
      <w:r w:rsidRPr="00B4338F">
        <w:rPr>
          <w:rFonts w:ascii="Times New Roman" w:hAnsi="Times New Roman" w:cs="Times New Roman"/>
          <w:lang w:val="en-GB"/>
        </w:rPr>
        <w:t>. Trans. Willard R. Trask (New Jersey: Princeton University Press, 1971) p.5.</w:t>
      </w:r>
    </w:p>
  </w:footnote>
  <w:footnote w:id="23">
    <w:p w14:paraId="79D16940" w14:textId="76057248" w:rsidR="00AB0A62" w:rsidRPr="00AB0A62" w:rsidRDefault="00AB0A62">
      <w:pPr>
        <w:pStyle w:val="FootnoteText"/>
        <w:rPr>
          <w:lang w:val="en-GB"/>
        </w:rPr>
      </w:pPr>
      <w:r>
        <w:rPr>
          <w:rStyle w:val="FootnoteReference"/>
        </w:rPr>
        <w:footnoteRef/>
      </w:r>
      <w:r>
        <w:t xml:space="preserve"> </w:t>
      </w:r>
      <w:r w:rsidRPr="0030726B">
        <w:rPr>
          <w:rFonts w:ascii="Times New Roman" w:hAnsi="Times New Roman" w:cs="Times New Roman"/>
        </w:rPr>
        <w:t xml:space="preserve">Mircea Eliade, </w:t>
      </w:r>
      <w:r w:rsidRPr="0030726B">
        <w:rPr>
          <w:rFonts w:ascii="Times New Roman" w:hAnsi="Times New Roman" w:cs="Times New Roman"/>
          <w:i/>
          <w:iCs/>
        </w:rPr>
        <w:t xml:space="preserve">The Sacred and the Profane </w:t>
      </w:r>
      <w:r w:rsidRPr="0030726B">
        <w:rPr>
          <w:rFonts w:ascii="Times New Roman" w:hAnsi="Times New Roman" w:cs="Times New Roman"/>
        </w:rPr>
        <w:t>(New York: Harcourt, 1987). P.2</w:t>
      </w:r>
      <w:r>
        <w:rPr>
          <w:rFonts w:ascii="Times New Roman" w:hAnsi="Times New Roman" w:cs="Times New Roman"/>
        </w:rPr>
        <w:t>2-23.</w:t>
      </w:r>
    </w:p>
  </w:footnote>
  <w:footnote w:id="24">
    <w:p w14:paraId="2FADE142" w14:textId="262A8446" w:rsidR="007F12D1" w:rsidRPr="007F12D1" w:rsidRDefault="007F12D1">
      <w:pPr>
        <w:pStyle w:val="FootnoteText"/>
        <w:rPr>
          <w:rFonts w:ascii="Times New Roman" w:hAnsi="Times New Roman" w:cs="Times New Roman"/>
          <w:i/>
          <w:iCs/>
          <w:lang w:val="en-GB"/>
        </w:rPr>
      </w:pPr>
      <w:r>
        <w:rPr>
          <w:rStyle w:val="FootnoteReference"/>
        </w:rPr>
        <w:footnoteRef/>
      </w:r>
      <w:r>
        <w:t xml:space="preserve"> </w:t>
      </w:r>
      <w:r>
        <w:rPr>
          <w:rFonts w:ascii="Times New Roman" w:hAnsi="Times New Roman" w:cs="Times New Roman"/>
          <w:i/>
          <w:iCs/>
          <w:lang w:val="en-GB"/>
        </w:rPr>
        <w:t xml:space="preserve">Ibid, </w:t>
      </w:r>
      <w:r w:rsidRPr="007F12D1">
        <w:rPr>
          <w:rFonts w:ascii="Times New Roman" w:hAnsi="Times New Roman" w:cs="Times New Roman"/>
          <w:lang w:val="en-GB"/>
        </w:rPr>
        <w:t>p.24.</w:t>
      </w:r>
    </w:p>
  </w:footnote>
  <w:footnote w:id="25">
    <w:p w14:paraId="2416AEB3" w14:textId="71BFE1DF" w:rsidR="002E1DB4" w:rsidRPr="002E1DB4" w:rsidRDefault="002E1DB4">
      <w:pPr>
        <w:pStyle w:val="FootnoteText"/>
        <w:rPr>
          <w:rFonts w:ascii="Times New Roman" w:hAnsi="Times New Roman" w:cs="Times New Roman"/>
          <w:lang w:val="en-GB"/>
        </w:rPr>
      </w:pPr>
      <w:r>
        <w:rPr>
          <w:rStyle w:val="FootnoteReference"/>
        </w:rPr>
        <w:footnoteRef/>
      </w:r>
      <w:r>
        <w:t xml:space="preserve"> </w:t>
      </w:r>
      <w:r w:rsidRPr="00902935">
        <w:rPr>
          <w:rFonts w:ascii="Times New Roman" w:hAnsi="Times New Roman" w:cs="Times New Roman"/>
          <w:lang w:val="en-GB"/>
        </w:rPr>
        <w:t xml:space="preserve">Wendy Fay, ‘The Gnome, The Rock and The Pool – Sacredness in a Domestic Garden’, in </w:t>
      </w:r>
      <w:r w:rsidRPr="00902935">
        <w:rPr>
          <w:rFonts w:ascii="Times New Roman" w:hAnsi="Times New Roman" w:cs="Times New Roman"/>
          <w:i/>
          <w:iCs/>
          <w:lang w:val="en-GB"/>
        </w:rPr>
        <w:t xml:space="preserve">Sacred Geography: Conversations with Place, </w:t>
      </w:r>
      <w:r w:rsidRPr="00902935">
        <w:rPr>
          <w:rFonts w:ascii="Times New Roman" w:hAnsi="Times New Roman" w:cs="Times New Roman"/>
          <w:lang w:val="en-GB"/>
        </w:rPr>
        <w:t xml:space="preserve">eds. Bernadette Brady and Jack Hunter (Wales: Sophia Centre </w:t>
      </w:r>
      <w:r w:rsidRPr="00040B22">
        <w:rPr>
          <w:rFonts w:ascii="Times New Roman" w:hAnsi="Times New Roman" w:cs="Times New Roman"/>
          <w:lang w:val="en-GB"/>
        </w:rPr>
        <w:t>Press, 2024) p.144.</w:t>
      </w:r>
    </w:p>
  </w:footnote>
  <w:footnote w:id="26">
    <w:p w14:paraId="2F6F5773" w14:textId="4453B334" w:rsidR="006131C8" w:rsidRPr="006131C8" w:rsidRDefault="006131C8">
      <w:pPr>
        <w:pStyle w:val="FootnoteText"/>
        <w:rPr>
          <w:rFonts w:ascii="Times New Roman" w:hAnsi="Times New Roman" w:cs="Times New Roman"/>
          <w:lang w:val="en-GB"/>
        </w:rPr>
      </w:pPr>
      <w:r w:rsidRPr="006131C8">
        <w:rPr>
          <w:rStyle w:val="FootnoteReference"/>
          <w:rFonts w:ascii="Times New Roman" w:hAnsi="Times New Roman" w:cs="Times New Roman"/>
        </w:rPr>
        <w:footnoteRef/>
      </w:r>
      <w:r w:rsidRPr="006131C8">
        <w:rPr>
          <w:rFonts w:ascii="Times New Roman" w:hAnsi="Times New Roman" w:cs="Times New Roman"/>
        </w:rPr>
        <w:t xml:space="preserve"> </w:t>
      </w:r>
      <w:r w:rsidRPr="006131C8">
        <w:rPr>
          <w:rFonts w:ascii="Times New Roman" w:hAnsi="Times New Roman" w:cs="Times New Roman"/>
          <w:lang w:val="en-GB"/>
        </w:rPr>
        <w:t xml:space="preserve">Lora O’Brien, </w:t>
      </w:r>
      <w:r w:rsidRPr="006131C8">
        <w:rPr>
          <w:rFonts w:ascii="Times New Roman" w:hAnsi="Times New Roman" w:cs="Times New Roman"/>
          <w:i/>
          <w:iCs/>
          <w:lang w:val="en-GB"/>
        </w:rPr>
        <w:t>How to Set Up an Alter for Irish Paganism</w:t>
      </w:r>
      <w:r w:rsidRPr="006131C8">
        <w:rPr>
          <w:rFonts w:ascii="Times New Roman" w:hAnsi="Times New Roman" w:cs="Times New Roman"/>
          <w:lang w:val="en-GB"/>
        </w:rPr>
        <w:t xml:space="preserve"> (2024) </w:t>
      </w:r>
      <w:r w:rsidRPr="006131C8">
        <w:rPr>
          <w:rFonts w:ascii="Times New Roman" w:hAnsi="Times New Roman" w:cs="Times New Roman"/>
          <w:lang w:val="en-GB"/>
        </w:rPr>
        <w:t>https://irishpagan.school/altar-for-irish-paganism/</w:t>
      </w:r>
      <w:r w:rsidRPr="006131C8">
        <w:rPr>
          <w:rFonts w:ascii="Times New Roman" w:hAnsi="Times New Roman" w:cs="Times New Roman"/>
          <w:lang w:val="en-GB"/>
        </w:rPr>
        <w:t xml:space="preserve"> [Accessed 24</w:t>
      </w:r>
      <w:r w:rsidRPr="006131C8">
        <w:rPr>
          <w:rFonts w:ascii="Times New Roman" w:hAnsi="Times New Roman" w:cs="Times New Roman"/>
          <w:vertAlign w:val="superscript"/>
          <w:lang w:val="en-GB"/>
        </w:rPr>
        <w:t>th</w:t>
      </w:r>
      <w:r w:rsidRPr="006131C8">
        <w:rPr>
          <w:rFonts w:ascii="Times New Roman" w:hAnsi="Times New Roman" w:cs="Times New Roman"/>
          <w:lang w:val="en-GB"/>
        </w:rPr>
        <w:t xml:space="preserve"> October 2025]. </w:t>
      </w:r>
    </w:p>
  </w:footnote>
  <w:footnote w:id="27">
    <w:p w14:paraId="367D8F3B" w14:textId="038A5230" w:rsidR="00F62423" w:rsidRPr="00F62423" w:rsidRDefault="00F62423">
      <w:pPr>
        <w:pStyle w:val="FootnoteText"/>
        <w:rPr>
          <w:rFonts w:ascii="Times New Roman" w:hAnsi="Times New Roman" w:cs="Times New Roman"/>
          <w:lang w:val="en-GB"/>
        </w:rPr>
      </w:pPr>
      <w:r>
        <w:rPr>
          <w:rStyle w:val="FootnoteReference"/>
        </w:rPr>
        <w:footnoteRef/>
      </w:r>
      <w:r>
        <w:t xml:space="preserve"> </w:t>
      </w:r>
      <w:r w:rsidRPr="00FA4361">
        <w:rPr>
          <w:rFonts w:ascii="Times New Roman" w:hAnsi="Times New Roman" w:cs="Times New Roman"/>
        </w:rPr>
        <w:t xml:space="preserve">Emile Durkheim, </w:t>
      </w:r>
      <w:r w:rsidRPr="00FA4361">
        <w:rPr>
          <w:rFonts w:ascii="Times New Roman" w:hAnsi="Times New Roman" w:cs="Times New Roman"/>
          <w:i/>
          <w:iCs/>
        </w:rPr>
        <w:t>The Elementary Forms of Religious Life,</w:t>
      </w:r>
      <w:r w:rsidRPr="003B37C1">
        <w:rPr>
          <w:rFonts w:ascii="Times New Roman" w:hAnsi="Times New Roman" w:cs="Times New Roman"/>
        </w:rPr>
        <w:t xml:space="preserve"> trans</w:t>
      </w:r>
      <w:r w:rsidRPr="00FA4361">
        <w:rPr>
          <w:rFonts w:ascii="Times New Roman" w:hAnsi="Times New Roman" w:cs="Times New Roman"/>
          <w:i/>
          <w:iCs/>
        </w:rPr>
        <w:t xml:space="preserve">. </w:t>
      </w:r>
      <w:r w:rsidRPr="00FA4361">
        <w:rPr>
          <w:rFonts w:ascii="Times New Roman" w:hAnsi="Times New Roman" w:cs="Times New Roman"/>
        </w:rPr>
        <w:t xml:space="preserve">Karen Fields (New York: The Free Press, 1995) </w:t>
      </w:r>
      <w:proofErr w:type="spellStart"/>
      <w:proofErr w:type="gramStart"/>
      <w:r w:rsidRPr="00FA4361">
        <w:rPr>
          <w:rFonts w:ascii="Times New Roman" w:hAnsi="Times New Roman" w:cs="Times New Roman"/>
          <w:lang w:val="en-GB"/>
        </w:rPr>
        <w:t>pp.xlvi</w:t>
      </w:r>
      <w:proofErr w:type="spellEnd"/>
      <w:proofErr w:type="gramEnd"/>
      <w:r w:rsidRPr="00FA4361">
        <w:rPr>
          <w:rFonts w:ascii="Times New Roman" w:hAnsi="Times New Roman" w:cs="Times New Roman"/>
          <w:lang w:val="en-GB"/>
        </w:rPr>
        <w:t>-</w:t>
      </w:r>
      <w:r>
        <w:rPr>
          <w:rFonts w:ascii="Times New Roman" w:hAnsi="Times New Roman" w:cs="Times New Roman"/>
          <w:lang w:val="en-GB"/>
        </w:rPr>
        <w:t>v.</w:t>
      </w:r>
    </w:p>
  </w:footnote>
  <w:footnote w:id="28">
    <w:p w14:paraId="4BB92082" w14:textId="46AD4B1A" w:rsidR="003C298D" w:rsidRPr="003C298D" w:rsidRDefault="003C298D">
      <w:pPr>
        <w:pStyle w:val="FootnoteText"/>
        <w:rPr>
          <w:lang w:val="en-GB"/>
        </w:rPr>
      </w:pPr>
      <w:r>
        <w:rPr>
          <w:rStyle w:val="FootnoteReference"/>
        </w:rPr>
        <w:footnoteRef/>
      </w:r>
      <w:r>
        <w:t xml:space="preserve"> </w:t>
      </w:r>
      <w:r w:rsidRPr="003C298D">
        <w:rPr>
          <w:rFonts w:ascii="Times New Roman" w:hAnsi="Times New Roman" w:cs="Times New Roman"/>
          <w:lang w:val="en-GB"/>
        </w:rPr>
        <w:t>Gil</w:t>
      </w:r>
      <w:r w:rsidR="008779C6">
        <w:rPr>
          <w:rFonts w:ascii="Times New Roman" w:hAnsi="Times New Roman" w:cs="Times New Roman"/>
          <w:lang w:val="en-GB"/>
        </w:rPr>
        <w:t>l</w:t>
      </w:r>
      <w:r w:rsidRPr="003C298D">
        <w:rPr>
          <w:rFonts w:ascii="Times New Roman" w:hAnsi="Times New Roman" w:cs="Times New Roman"/>
          <w:lang w:val="en-GB"/>
        </w:rPr>
        <w:t xml:space="preserve">ian Rose, Monica Degen and Begum </w:t>
      </w:r>
      <w:proofErr w:type="spellStart"/>
      <w:r w:rsidRPr="003C298D">
        <w:rPr>
          <w:rFonts w:ascii="Times New Roman" w:hAnsi="Times New Roman" w:cs="Times New Roman"/>
          <w:lang w:val="en-GB"/>
        </w:rPr>
        <w:t>Basdas</w:t>
      </w:r>
      <w:proofErr w:type="spellEnd"/>
      <w:r w:rsidRPr="003C298D">
        <w:rPr>
          <w:rFonts w:ascii="Times New Roman" w:hAnsi="Times New Roman" w:cs="Times New Roman"/>
          <w:lang w:val="en-GB"/>
        </w:rPr>
        <w:t xml:space="preserve">, “More on ‘big things’: Building Events and Feelings” in </w:t>
      </w:r>
      <w:r w:rsidRPr="003C298D">
        <w:rPr>
          <w:rFonts w:ascii="Times New Roman" w:hAnsi="Times New Roman" w:cs="Times New Roman"/>
          <w:i/>
          <w:iCs/>
          <w:lang w:val="en-GB"/>
        </w:rPr>
        <w:t xml:space="preserve">Transactions of the Institute of British Geographers, </w:t>
      </w:r>
      <w:r w:rsidRPr="003C298D">
        <w:rPr>
          <w:rFonts w:ascii="Times New Roman" w:hAnsi="Times New Roman" w:cs="Times New Roman"/>
          <w:lang w:val="en-GB"/>
        </w:rPr>
        <w:t>vol.35 (3), (</w:t>
      </w:r>
      <w:r>
        <w:rPr>
          <w:rFonts w:ascii="Times New Roman" w:hAnsi="Times New Roman" w:cs="Times New Roman"/>
          <w:lang w:val="en-GB"/>
        </w:rPr>
        <w:t xml:space="preserve">New Jersey: Wiley-Blackwell, </w:t>
      </w:r>
      <w:r w:rsidRPr="003C298D">
        <w:rPr>
          <w:rFonts w:ascii="Times New Roman" w:hAnsi="Times New Roman" w:cs="Times New Roman"/>
          <w:lang w:val="en-GB"/>
        </w:rPr>
        <w:t>2010) pp.334-49.</w:t>
      </w:r>
    </w:p>
  </w:footnote>
  <w:footnote w:id="29">
    <w:p w14:paraId="050488ED" w14:textId="582A4C39" w:rsidR="005151DD" w:rsidRPr="005151DD" w:rsidRDefault="005151DD">
      <w:pPr>
        <w:pStyle w:val="FootnoteText"/>
        <w:rPr>
          <w:lang w:val="en-GB"/>
        </w:rPr>
      </w:pPr>
      <w:r>
        <w:rPr>
          <w:rStyle w:val="FootnoteReference"/>
        </w:rPr>
        <w:footnoteRef/>
      </w:r>
      <w:r>
        <w:t xml:space="preserve"> </w:t>
      </w:r>
      <w:r w:rsidRPr="0030726B">
        <w:rPr>
          <w:rFonts w:ascii="Times New Roman" w:hAnsi="Times New Roman" w:cs="Times New Roman"/>
        </w:rPr>
        <w:t xml:space="preserve">Mircea Eliade, </w:t>
      </w:r>
      <w:r w:rsidRPr="0030726B">
        <w:rPr>
          <w:rFonts w:ascii="Times New Roman" w:hAnsi="Times New Roman" w:cs="Times New Roman"/>
          <w:i/>
          <w:iCs/>
        </w:rPr>
        <w:t xml:space="preserve">The Sacred and the Profane </w:t>
      </w:r>
      <w:r w:rsidRPr="0030726B">
        <w:rPr>
          <w:rFonts w:ascii="Times New Roman" w:hAnsi="Times New Roman" w:cs="Times New Roman"/>
        </w:rPr>
        <w:t>(New York: Harcourt, 1987). P.</w:t>
      </w:r>
      <w:r>
        <w:rPr>
          <w:rFonts w:ascii="Times New Roman" w:hAnsi="Times New Roman" w:cs="Times New Roman"/>
        </w:rPr>
        <w:t>36.</w:t>
      </w:r>
    </w:p>
  </w:footnote>
  <w:footnote w:id="30">
    <w:p w14:paraId="62C793E2" w14:textId="6002428B" w:rsidR="003B37C1" w:rsidRPr="003B37C1" w:rsidRDefault="003B37C1">
      <w:pPr>
        <w:pStyle w:val="FootnoteText"/>
        <w:rPr>
          <w:rFonts w:ascii="Times New Roman" w:hAnsi="Times New Roman" w:cs="Times New Roman"/>
          <w:lang w:val="en-GB"/>
        </w:rPr>
      </w:pPr>
      <w:r>
        <w:rPr>
          <w:rStyle w:val="FootnoteReference"/>
        </w:rPr>
        <w:footnoteRef/>
      </w:r>
      <w:r>
        <w:t xml:space="preserve"> </w:t>
      </w:r>
      <w:r w:rsidRPr="003B37C1">
        <w:rPr>
          <w:rFonts w:ascii="Times New Roman" w:hAnsi="Times New Roman" w:cs="Times New Roman"/>
          <w:lang w:val="en-GB"/>
        </w:rPr>
        <w:t xml:space="preserve">Bryan Rennie, ‘The Influence of Eastern Orthodox Christian Theology on Mircea Eliade’s Understanding of Religion’ in </w:t>
      </w:r>
      <w:r w:rsidRPr="003B37C1">
        <w:rPr>
          <w:rFonts w:ascii="Times New Roman" w:hAnsi="Times New Roman" w:cs="Times New Roman"/>
          <w:i/>
          <w:iCs/>
          <w:lang w:val="en-GB"/>
        </w:rPr>
        <w:t xml:space="preserve">Hermeneutics, Politics, and the History of Religions: The Contested Legacies of Joachim </w:t>
      </w:r>
      <w:proofErr w:type="spellStart"/>
      <w:r w:rsidRPr="003B37C1">
        <w:rPr>
          <w:rFonts w:ascii="Times New Roman" w:hAnsi="Times New Roman" w:cs="Times New Roman"/>
          <w:i/>
          <w:iCs/>
          <w:lang w:val="en-GB"/>
        </w:rPr>
        <w:t>Wach</w:t>
      </w:r>
      <w:proofErr w:type="spellEnd"/>
      <w:r w:rsidRPr="003B37C1">
        <w:rPr>
          <w:rFonts w:ascii="Times New Roman" w:hAnsi="Times New Roman" w:cs="Times New Roman"/>
          <w:i/>
          <w:iCs/>
          <w:lang w:val="en-GB"/>
        </w:rPr>
        <w:t xml:space="preserve"> and Mircea Eliade, </w:t>
      </w:r>
      <w:r w:rsidRPr="003B37C1">
        <w:rPr>
          <w:rFonts w:ascii="Times New Roman" w:hAnsi="Times New Roman" w:cs="Times New Roman"/>
          <w:lang w:val="en-GB"/>
        </w:rPr>
        <w:t xml:space="preserve">eds. Christian </w:t>
      </w:r>
      <w:proofErr w:type="spellStart"/>
      <w:r w:rsidRPr="003B37C1">
        <w:rPr>
          <w:rFonts w:ascii="Times New Roman" w:hAnsi="Times New Roman" w:cs="Times New Roman"/>
          <w:lang w:val="en-GB"/>
        </w:rPr>
        <w:t>Wedemeyer</w:t>
      </w:r>
      <w:proofErr w:type="spellEnd"/>
      <w:r w:rsidRPr="003B37C1">
        <w:rPr>
          <w:rFonts w:ascii="Times New Roman" w:hAnsi="Times New Roman" w:cs="Times New Roman"/>
          <w:lang w:val="en-GB"/>
        </w:rPr>
        <w:t xml:space="preserve"> and Wendy </w:t>
      </w:r>
      <w:proofErr w:type="spellStart"/>
      <w:r w:rsidRPr="003B37C1">
        <w:rPr>
          <w:rFonts w:ascii="Times New Roman" w:hAnsi="Times New Roman" w:cs="Times New Roman"/>
          <w:lang w:val="en-GB"/>
        </w:rPr>
        <w:t>Doniger</w:t>
      </w:r>
      <w:proofErr w:type="spellEnd"/>
      <w:r w:rsidRPr="003B37C1">
        <w:rPr>
          <w:rFonts w:ascii="Times New Roman" w:hAnsi="Times New Roman" w:cs="Times New Roman"/>
          <w:lang w:val="en-GB"/>
        </w:rPr>
        <w:t xml:space="preserve"> (Oxford: Oxford University Press, 2010) p</w:t>
      </w:r>
      <w:r>
        <w:rPr>
          <w:rFonts w:ascii="Times New Roman" w:hAnsi="Times New Roman" w:cs="Times New Roman"/>
          <w:lang w:val="en-GB"/>
        </w:rPr>
        <w:t>.197.</w:t>
      </w:r>
    </w:p>
  </w:footnote>
  <w:footnote w:id="31">
    <w:p w14:paraId="7607CEE3" w14:textId="15FDC7A5" w:rsidR="005151DD" w:rsidRPr="005151DD" w:rsidRDefault="005151DD">
      <w:pPr>
        <w:pStyle w:val="FootnoteText"/>
        <w:rPr>
          <w:rFonts w:ascii="Times New Roman" w:hAnsi="Times New Roman" w:cs="Times New Roman"/>
          <w:lang w:val="en-GB"/>
        </w:rPr>
      </w:pPr>
      <w:r>
        <w:rPr>
          <w:rStyle w:val="FootnoteReference"/>
        </w:rPr>
        <w:footnoteRef/>
      </w:r>
      <w:r>
        <w:t xml:space="preserve"> </w:t>
      </w:r>
      <w:r w:rsidRPr="00935407">
        <w:rPr>
          <w:rFonts w:ascii="Times New Roman" w:hAnsi="Times New Roman" w:cs="Times New Roman"/>
          <w:lang w:val="en-GB"/>
        </w:rPr>
        <w:t xml:space="preserve">David </w:t>
      </w:r>
      <w:r w:rsidRPr="008A7EE1">
        <w:rPr>
          <w:rFonts w:ascii="Times New Roman" w:hAnsi="Times New Roman" w:cs="Times New Roman"/>
          <w:lang w:val="en-GB"/>
        </w:rPr>
        <w:t xml:space="preserve">Gordon White, ‘Introduction’ in </w:t>
      </w:r>
      <w:r w:rsidRPr="008A7EE1">
        <w:rPr>
          <w:rFonts w:ascii="Times New Roman" w:hAnsi="Times New Roman" w:cs="Times New Roman"/>
          <w:i/>
          <w:iCs/>
          <w:lang w:val="en-GB"/>
        </w:rPr>
        <w:t xml:space="preserve">Yoga: Immortality and Freedom </w:t>
      </w:r>
      <w:r w:rsidRPr="008A7EE1">
        <w:rPr>
          <w:rFonts w:ascii="Times New Roman" w:hAnsi="Times New Roman" w:cs="Times New Roman"/>
          <w:lang w:val="en-GB"/>
        </w:rPr>
        <w:t xml:space="preserve">(New Jersey: Princeton University Press, 2009) </w:t>
      </w:r>
      <w:proofErr w:type="spellStart"/>
      <w:proofErr w:type="gramStart"/>
      <w:r w:rsidRPr="008A7EE1">
        <w:rPr>
          <w:rFonts w:ascii="Times New Roman" w:hAnsi="Times New Roman" w:cs="Times New Roman"/>
          <w:lang w:val="en-GB"/>
        </w:rPr>
        <w:t>p.xiii</w:t>
      </w:r>
      <w:proofErr w:type="spellEnd"/>
      <w:r w:rsidRPr="008A7EE1">
        <w:rPr>
          <w:rFonts w:ascii="Times New Roman" w:hAnsi="Times New Roman" w:cs="Times New Roman"/>
          <w:lang w:val="en-GB"/>
        </w:rPr>
        <w:t>.</w:t>
      </w:r>
      <w:proofErr w:type="gramEnd"/>
    </w:p>
  </w:footnote>
  <w:footnote w:id="32">
    <w:p w14:paraId="62D47CB6" w14:textId="40C747BF" w:rsidR="009C0484" w:rsidRPr="003B37C1" w:rsidRDefault="009C0484">
      <w:pPr>
        <w:pStyle w:val="FootnoteText"/>
        <w:rPr>
          <w:rFonts w:ascii="Times New Roman" w:hAnsi="Times New Roman" w:cs="Times New Roman"/>
          <w:lang w:val="en-GB"/>
        </w:rPr>
      </w:pPr>
      <w:r w:rsidRPr="003B37C1">
        <w:rPr>
          <w:rStyle w:val="FootnoteReference"/>
          <w:rFonts w:ascii="Times New Roman" w:hAnsi="Times New Roman" w:cs="Times New Roman"/>
        </w:rPr>
        <w:footnoteRef/>
      </w:r>
      <w:r w:rsidRPr="003B37C1">
        <w:rPr>
          <w:rFonts w:ascii="Times New Roman" w:hAnsi="Times New Roman" w:cs="Times New Roman"/>
        </w:rPr>
        <w:t xml:space="preserve"> </w:t>
      </w:r>
      <w:r w:rsidRPr="003B37C1">
        <w:rPr>
          <w:rFonts w:ascii="Times New Roman" w:hAnsi="Times New Roman" w:cs="Times New Roman"/>
          <w:lang w:val="en-GB"/>
        </w:rPr>
        <w:t xml:space="preserve">Bryan Rennie, ‘The Influence of Eastern Orthodox Christian Theology on Mircea Eliade’s Understanding of Religion’ in </w:t>
      </w:r>
      <w:r w:rsidR="003B37C1" w:rsidRPr="003B37C1">
        <w:rPr>
          <w:rFonts w:ascii="Times New Roman" w:hAnsi="Times New Roman" w:cs="Times New Roman"/>
          <w:i/>
          <w:iCs/>
          <w:lang w:val="en-GB"/>
        </w:rPr>
        <w:t xml:space="preserve">Hermeneutics, Politics, and the History of Religions: The Contested Legacies of Joachim </w:t>
      </w:r>
      <w:proofErr w:type="spellStart"/>
      <w:r w:rsidR="003B37C1" w:rsidRPr="003B37C1">
        <w:rPr>
          <w:rFonts w:ascii="Times New Roman" w:hAnsi="Times New Roman" w:cs="Times New Roman"/>
          <w:i/>
          <w:iCs/>
          <w:lang w:val="en-GB"/>
        </w:rPr>
        <w:t>Wach</w:t>
      </w:r>
      <w:proofErr w:type="spellEnd"/>
      <w:r w:rsidR="003B37C1" w:rsidRPr="003B37C1">
        <w:rPr>
          <w:rFonts w:ascii="Times New Roman" w:hAnsi="Times New Roman" w:cs="Times New Roman"/>
          <w:i/>
          <w:iCs/>
          <w:lang w:val="en-GB"/>
        </w:rPr>
        <w:t xml:space="preserve"> and Mircea Eliade, </w:t>
      </w:r>
      <w:r w:rsidR="003B37C1" w:rsidRPr="003B37C1">
        <w:rPr>
          <w:rFonts w:ascii="Times New Roman" w:hAnsi="Times New Roman" w:cs="Times New Roman"/>
          <w:lang w:val="en-GB"/>
        </w:rPr>
        <w:t xml:space="preserve">eds. Christian </w:t>
      </w:r>
      <w:proofErr w:type="spellStart"/>
      <w:r w:rsidR="003B37C1" w:rsidRPr="003B37C1">
        <w:rPr>
          <w:rFonts w:ascii="Times New Roman" w:hAnsi="Times New Roman" w:cs="Times New Roman"/>
          <w:lang w:val="en-GB"/>
        </w:rPr>
        <w:t>Wedemeyer</w:t>
      </w:r>
      <w:proofErr w:type="spellEnd"/>
      <w:r w:rsidR="003B37C1" w:rsidRPr="003B37C1">
        <w:rPr>
          <w:rFonts w:ascii="Times New Roman" w:hAnsi="Times New Roman" w:cs="Times New Roman"/>
          <w:lang w:val="en-GB"/>
        </w:rPr>
        <w:t xml:space="preserve"> and Wendy </w:t>
      </w:r>
      <w:proofErr w:type="spellStart"/>
      <w:r w:rsidR="003B37C1" w:rsidRPr="003B37C1">
        <w:rPr>
          <w:rFonts w:ascii="Times New Roman" w:hAnsi="Times New Roman" w:cs="Times New Roman"/>
          <w:lang w:val="en-GB"/>
        </w:rPr>
        <w:t>Doniger</w:t>
      </w:r>
      <w:proofErr w:type="spellEnd"/>
      <w:r w:rsidR="003B37C1" w:rsidRPr="003B37C1">
        <w:rPr>
          <w:rFonts w:ascii="Times New Roman" w:hAnsi="Times New Roman" w:cs="Times New Roman"/>
          <w:lang w:val="en-GB"/>
        </w:rPr>
        <w:t xml:space="preserve"> (Oxford: Oxford University Press, 2010) pp.197-214.</w:t>
      </w:r>
    </w:p>
  </w:footnote>
  <w:footnote w:id="33">
    <w:p w14:paraId="2D1E3D09" w14:textId="0084281B" w:rsidR="00B33000" w:rsidRPr="00B33000" w:rsidRDefault="00B33000">
      <w:pPr>
        <w:pStyle w:val="FootnoteText"/>
        <w:rPr>
          <w:lang w:val="en-GB"/>
        </w:rPr>
      </w:pPr>
      <w:r>
        <w:rPr>
          <w:rStyle w:val="FootnoteReference"/>
        </w:rPr>
        <w:footnoteRef/>
      </w:r>
      <w:r>
        <w:t xml:space="preserve"> </w:t>
      </w:r>
      <w:r w:rsidRPr="00B33000">
        <w:rPr>
          <w:rFonts w:ascii="Times New Roman" w:hAnsi="Times New Roman" w:cs="Times New Roman"/>
          <w:lang w:val="en-GB"/>
        </w:rPr>
        <w:t xml:space="preserve">Mircea Eliade, </w:t>
      </w:r>
      <w:r w:rsidRPr="00B33000">
        <w:rPr>
          <w:rFonts w:ascii="Times New Roman" w:hAnsi="Times New Roman" w:cs="Times New Roman"/>
          <w:i/>
          <w:iCs/>
          <w:lang w:val="en-GB"/>
        </w:rPr>
        <w:t>Yoga:</w:t>
      </w:r>
      <w:r w:rsidRPr="008A7EE1">
        <w:rPr>
          <w:rFonts w:ascii="Times New Roman" w:hAnsi="Times New Roman" w:cs="Times New Roman"/>
          <w:i/>
          <w:iCs/>
          <w:lang w:val="en-GB"/>
        </w:rPr>
        <w:t xml:space="preserve"> Immortality and Freedom </w:t>
      </w:r>
      <w:r w:rsidRPr="008A7EE1">
        <w:rPr>
          <w:rFonts w:ascii="Times New Roman" w:hAnsi="Times New Roman" w:cs="Times New Roman"/>
          <w:lang w:val="en-GB"/>
        </w:rPr>
        <w:t>(New Jersey: Princeton University Press, 2009)</w:t>
      </w:r>
      <w:r>
        <w:rPr>
          <w:rFonts w:ascii="Times New Roman" w:hAnsi="Times New Roman" w:cs="Times New Roman"/>
          <w:lang w:val="en-GB"/>
        </w:rPr>
        <w:t>.</w:t>
      </w:r>
    </w:p>
  </w:footnote>
  <w:footnote w:id="34">
    <w:p w14:paraId="4D1FFF79" w14:textId="6BE95FF3" w:rsidR="006C2744" w:rsidRPr="006C2744" w:rsidRDefault="006C2744">
      <w:pPr>
        <w:pStyle w:val="FootnoteText"/>
        <w:rPr>
          <w:lang w:val="en-GB"/>
        </w:rPr>
      </w:pPr>
      <w:r>
        <w:rPr>
          <w:rStyle w:val="FootnoteReference"/>
        </w:rPr>
        <w:footnoteRef/>
      </w:r>
      <w:r>
        <w:t xml:space="preserve"> </w:t>
      </w:r>
      <w:r w:rsidRPr="006C2744">
        <w:rPr>
          <w:rFonts w:ascii="Times New Roman" w:hAnsi="Times New Roman" w:cs="Times New Roman"/>
          <w:lang w:val="en-GB"/>
        </w:rPr>
        <w:t xml:space="preserve">David B. Barret and Todd M. Johnson, </w:t>
      </w:r>
      <w:r w:rsidRPr="006C2744">
        <w:rPr>
          <w:rFonts w:ascii="Times New Roman" w:hAnsi="Times New Roman" w:cs="Times New Roman"/>
          <w:i/>
          <w:iCs/>
          <w:lang w:val="en-GB"/>
        </w:rPr>
        <w:t xml:space="preserve">Annual Table of World Religions, 1900-2025 </w:t>
      </w:r>
      <w:r w:rsidRPr="006C2744">
        <w:rPr>
          <w:rFonts w:ascii="Times New Roman" w:hAnsi="Times New Roman" w:cs="Times New Roman"/>
          <w:lang w:val="en-GB"/>
        </w:rPr>
        <w:t xml:space="preserve">(2002) </w:t>
      </w:r>
      <w:r w:rsidRPr="006C2744">
        <w:rPr>
          <w:rFonts w:ascii="Times New Roman" w:hAnsi="Times New Roman" w:cs="Times New Roman"/>
          <w:lang w:val="en-GB"/>
        </w:rPr>
        <w:t>https://www.wnrf.org/cms/statuswr.shtml</w:t>
      </w:r>
      <w:r w:rsidRPr="006C2744">
        <w:rPr>
          <w:rFonts w:ascii="Times New Roman" w:hAnsi="Times New Roman" w:cs="Times New Roman"/>
          <w:lang w:val="en-GB"/>
        </w:rPr>
        <w:t xml:space="preserve"> [accessed 24th October 2025].</w:t>
      </w:r>
      <w:r>
        <w:rPr>
          <w:lang w:val="en-GB"/>
        </w:rPr>
        <w:t xml:space="preserve"> </w:t>
      </w:r>
    </w:p>
  </w:footnote>
  <w:footnote w:id="35">
    <w:p w14:paraId="739DB970" w14:textId="7049DC58" w:rsidR="002E2E02" w:rsidRPr="002D2259" w:rsidRDefault="002E2E02">
      <w:pPr>
        <w:pStyle w:val="FootnoteText"/>
        <w:rPr>
          <w:rFonts w:ascii="Times New Roman" w:hAnsi="Times New Roman" w:cs="Times New Roman"/>
          <w:lang w:val="en-GB"/>
        </w:rPr>
      </w:pPr>
      <w:r w:rsidRPr="002D2259">
        <w:rPr>
          <w:rStyle w:val="FootnoteReference"/>
          <w:rFonts w:ascii="Times New Roman" w:hAnsi="Times New Roman" w:cs="Times New Roman"/>
        </w:rPr>
        <w:footnoteRef/>
      </w:r>
      <w:r w:rsidRPr="002D2259">
        <w:rPr>
          <w:rFonts w:ascii="Times New Roman" w:hAnsi="Times New Roman" w:cs="Times New Roman"/>
        </w:rPr>
        <w:t xml:space="preserve"> </w:t>
      </w:r>
      <w:r w:rsidR="002D2259" w:rsidRPr="002D2259">
        <w:rPr>
          <w:rFonts w:ascii="Times New Roman" w:hAnsi="Times New Roman" w:cs="Times New Roman"/>
          <w:lang w:val="en-GB"/>
        </w:rPr>
        <w:t xml:space="preserve">Michael Prowse, </w:t>
      </w:r>
      <w:r w:rsidR="002D2259" w:rsidRPr="002D2259">
        <w:rPr>
          <w:rFonts w:ascii="Times New Roman" w:hAnsi="Times New Roman" w:cs="Times New Roman"/>
          <w:i/>
          <w:iCs/>
          <w:lang w:val="en-GB"/>
        </w:rPr>
        <w:t xml:space="preserve">Emile Durkheim </w:t>
      </w:r>
      <w:r w:rsidR="002D2259" w:rsidRPr="002D2259">
        <w:rPr>
          <w:rFonts w:ascii="Times New Roman" w:hAnsi="Times New Roman" w:cs="Times New Roman"/>
          <w:lang w:val="en-GB"/>
        </w:rPr>
        <w:t xml:space="preserve">(2005) </w:t>
      </w:r>
      <w:r w:rsidR="002D2259" w:rsidRPr="002D2259">
        <w:rPr>
          <w:rFonts w:ascii="Times New Roman" w:hAnsi="Times New Roman" w:cs="Times New Roman"/>
          <w:lang w:val="en-GB"/>
        </w:rPr>
        <w:t>https://www.prospectmagazine.co.uk/essays/56708/emile-durkheim#:~:text=Born%20in%20Epinal%20in%20Lorraine,by%20the%20Franco%2DPrussian%20war.</w:t>
      </w:r>
      <w:r w:rsidR="002D2259" w:rsidRPr="002D2259">
        <w:rPr>
          <w:rFonts w:ascii="Times New Roman" w:hAnsi="Times New Roman" w:cs="Times New Roman"/>
          <w:lang w:val="en-GB"/>
        </w:rPr>
        <w:t xml:space="preserve"> [accessed 24</w:t>
      </w:r>
      <w:r w:rsidR="002D2259" w:rsidRPr="002D2259">
        <w:rPr>
          <w:rFonts w:ascii="Times New Roman" w:hAnsi="Times New Roman" w:cs="Times New Roman"/>
          <w:vertAlign w:val="superscript"/>
          <w:lang w:val="en-GB"/>
        </w:rPr>
        <w:t>th</w:t>
      </w:r>
      <w:r w:rsidR="002D2259" w:rsidRPr="002D2259">
        <w:rPr>
          <w:rFonts w:ascii="Times New Roman" w:hAnsi="Times New Roman" w:cs="Times New Roman"/>
          <w:lang w:val="en-GB"/>
        </w:rPr>
        <w:t xml:space="preserve"> October 2025].</w:t>
      </w:r>
    </w:p>
  </w:footnote>
  <w:footnote w:id="36">
    <w:p w14:paraId="54C81EB3" w14:textId="70E105B3" w:rsidR="0081314A" w:rsidRPr="001D5C43" w:rsidRDefault="0081314A">
      <w:pPr>
        <w:pStyle w:val="FootnoteText"/>
        <w:rPr>
          <w:lang w:val="en-GB"/>
        </w:rPr>
      </w:pPr>
      <w:r>
        <w:rPr>
          <w:rStyle w:val="FootnoteReference"/>
        </w:rPr>
        <w:footnoteRef/>
      </w:r>
      <w:r>
        <w:t xml:space="preserve"> </w:t>
      </w:r>
      <w:r w:rsidRPr="001D5C43">
        <w:rPr>
          <w:rFonts w:ascii="Times New Roman" w:hAnsi="Times New Roman" w:cs="Times New Roman"/>
          <w:lang w:val="en-GB"/>
        </w:rPr>
        <w:t xml:space="preserve">Stephen </w:t>
      </w:r>
      <w:proofErr w:type="spellStart"/>
      <w:r w:rsidRPr="001D5C43">
        <w:rPr>
          <w:rFonts w:ascii="Times New Roman" w:hAnsi="Times New Roman" w:cs="Times New Roman"/>
          <w:lang w:val="en-GB"/>
        </w:rPr>
        <w:t>Lukes</w:t>
      </w:r>
      <w:proofErr w:type="spellEnd"/>
      <w:r w:rsidRPr="001D5C43">
        <w:rPr>
          <w:rFonts w:ascii="Times New Roman" w:hAnsi="Times New Roman" w:cs="Times New Roman"/>
          <w:lang w:val="en-GB"/>
        </w:rPr>
        <w:t xml:space="preserve">, ‘Is Durkheim’s understanding of religion compatible with believing?’ in </w:t>
      </w:r>
      <w:r w:rsidRPr="001D5C43">
        <w:rPr>
          <w:rFonts w:ascii="Times New Roman" w:hAnsi="Times New Roman" w:cs="Times New Roman"/>
          <w:i/>
          <w:iCs/>
          <w:lang w:val="en-GB"/>
        </w:rPr>
        <w:t>Religion</w:t>
      </w:r>
      <w:r w:rsidR="001D5C43" w:rsidRPr="001D5C43">
        <w:rPr>
          <w:rFonts w:ascii="Times New Roman" w:hAnsi="Times New Roman" w:cs="Times New Roman"/>
          <w:i/>
          <w:iCs/>
          <w:lang w:val="en-GB"/>
        </w:rPr>
        <w:t xml:space="preserve"> </w:t>
      </w:r>
      <w:r w:rsidR="001D5C43" w:rsidRPr="001D5C43">
        <w:rPr>
          <w:rFonts w:ascii="Times New Roman" w:hAnsi="Times New Roman" w:cs="Times New Roman"/>
          <w:lang w:val="en-GB"/>
        </w:rPr>
        <w:t>vol.42 (1), (Oxford: Routledge, 2012) p.51.</w:t>
      </w:r>
    </w:p>
  </w:footnote>
  <w:footnote w:id="37">
    <w:p w14:paraId="2222E963" w14:textId="66502726" w:rsidR="006131C8" w:rsidRPr="006131C8" w:rsidRDefault="006131C8">
      <w:pPr>
        <w:pStyle w:val="FootnoteText"/>
        <w:rPr>
          <w:rFonts w:ascii="Times New Roman" w:hAnsi="Times New Roman" w:cs="Times New Roman"/>
          <w:lang w:val="en-GB"/>
        </w:rPr>
      </w:pPr>
      <w:r>
        <w:rPr>
          <w:rStyle w:val="FootnoteReference"/>
        </w:rPr>
        <w:footnoteRef/>
      </w:r>
      <w:r>
        <w:t xml:space="preserve"> </w:t>
      </w:r>
      <w:r w:rsidRPr="003B37C1">
        <w:rPr>
          <w:rFonts w:ascii="Times New Roman" w:hAnsi="Times New Roman" w:cs="Times New Roman"/>
          <w:lang w:val="en-GB"/>
        </w:rPr>
        <w:t xml:space="preserve">Bryan Rennie, ‘The Influence of Eastern Orthodox Christian Theology on Mircea Eliade’s Understanding of Religion’ in </w:t>
      </w:r>
      <w:r w:rsidRPr="003B37C1">
        <w:rPr>
          <w:rFonts w:ascii="Times New Roman" w:hAnsi="Times New Roman" w:cs="Times New Roman"/>
          <w:i/>
          <w:iCs/>
          <w:lang w:val="en-GB"/>
        </w:rPr>
        <w:t xml:space="preserve">Hermeneutics, Politics, and the History of Religions: The Contested Legacies of Joachim </w:t>
      </w:r>
      <w:proofErr w:type="spellStart"/>
      <w:r w:rsidRPr="003B37C1">
        <w:rPr>
          <w:rFonts w:ascii="Times New Roman" w:hAnsi="Times New Roman" w:cs="Times New Roman"/>
          <w:i/>
          <w:iCs/>
          <w:lang w:val="en-GB"/>
        </w:rPr>
        <w:t>Wach</w:t>
      </w:r>
      <w:proofErr w:type="spellEnd"/>
      <w:r w:rsidRPr="003B37C1">
        <w:rPr>
          <w:rFonts w:ascii="Times New Roman" w:hAnsi="Times New Roman" w:cs="Times New Roman"/>
          <w:i/>
          <w:iCs/>
          <w:lang w:val="en-GB"/>
        </w:rPr>
        <w:t xml:space="preserve"> and Mircea Eliade, </w:t>
      </w:r>
      <w:r w:rsidRPr="003B37C1">
        <w:rPr>
          <w:rFonts w:ascii="Times New Roman" w:hAnsi="Times New Roman" w:cs="Times New Roman"/>
          <w:lang w:val="en-GB"/>
        </w:rPr>
        <w:t xml:space="preserve">eds. Christian </w:t>
      </w:r>
      <w:proofErr w:type="spellStart"/>
      <w:r w:rsidRPr="003B37C1">
        <w:rPr>
          <w:rFonts w:ascii="Times New Roman" w:hAnsi="Times New Roman" w:cs="Times New Roman"/>
          <w:lang w:val="en-GB"/>
        </w:rPr>
        <w:t>Wedemeyer</w:t>
      </w:r>
      <w:proofErr w:type="spellEnd"/>
      <w:r w:rsidRPr="003B37C1">
        <w:rPr>
          <w:rFonts w:ascii="Times New Roman" w:hAnsi="Times New Roman" w:cs="Times New Roman"/>
          <w:lang w:val="en-GB"/>
        </w:rPr>
        <w:t xml:space="preserve"> and Wendy </w:t>
      </w:r>
      <w:proofErr w:type="spellStart"/>
      <w:r w:rsidRPr="003B37C1">
        <w:rPr>
          <w:rFonts w:ascii="Times New Roman" w:hAnsi="Times New Roman" w:cs="Times New Roman"/>
          <w:lang w:val="en-GB"/>
        </w:rPr>
        <w:t>Doniger</w:t>
      </w:r>
      <w:proofErr w:type="spellEnd"/>
      <w:r w:rsidRPr="003B37C1">
        <w:rPr>
          <w:rFonts w:ascii="Times New Roman" w:hAnsi="Times New Roman" w:cs="Times New Roman"/>
          <w:lang w:val="en-GB"/>
        </w:rPr>
        <w:t xml:space="preserve"> (Oxford: Oxford University Press, 2010) p</w:t>
      </w:r>
      <w:r>
        <w:rPr>
          <w:rFonts w:ascii="Times New Roman" w:hAnsi="Times New Roman" w:cs="Times New Roman"/>
          <w:lang w:val="en-GB"/>
        </w:rPr>
        <w:t>.197.</w:t>
      </w:r>
    </w:p>
  </w:footnote>
  <w:footnote w:id="38">
    <w:p w14:paraId="4CF4D042" w14:textId="6DF98902" w:rsidR="000A6EDE" w:rsidRPr="000A6EDE" w:rsidRDefault="000A6EDE">
      <w:pPr>
        <w:pStyle w:val="FootnoteText"/>
        <w:rPr>
          <w:lang w:val="en-GB"/>
        </w:rPr>
      </w:pPr>
      <w:r>
        <w:rPr>
          <w:rStyle w:val="FootnoteReference"/>
        </w:rPr>
        <w:footnoteRef/>
      </w:r>
      <w:r>
        <w:t xml:space="preserve"> </w:t>
      </w:r>
      <w:r w:rsidRPr="00B33000">
        <w:rPr>
          <w:rFonts w:ascii="Times New Roman" w:hAnsi="Times New Roman" w:cs="Times New Roman"/>
          <w:lang w:val="en-GB"/>
        </w:rPr>
        <w:t xml:space="preserve">Mircea Eliade, </w:t>
      </w:r>
      <w:r w:rsidRPr="00B33000">
        <w:rPr>
          <w:rFonts w:ascii="Times New Roman" w:hAnsi="Times New Roman" w:cs="Times New Roman"/>
          <w:i/>
          <w:iCs/>
          <w:lang w:val="en-GB"/>
        </w:rPr>
        <w:t>Yoga:</w:t>
      </w:r>
      <w:r w:rsidRPr="008A7EE1">
        <w:rPr>
          <w:rFonts w:ascii="Times New Roman" w:hAnsi="Times New Roman" w:cs="Times New Roman"/>
          <w:i/>
          <w:iCs/>
          <w:lang w:val="en-GB"/>
        </w:rPr>
        <w:t xml:space="preserve"> Immortality and Freedom </w:t>
      </w:r>
      <w:r w:rsidRPr="008A7EE1">
        <w:rPr>
          <w:rFonts w:ascii="Times New Roman" w:hAnsi="Times New Roman" w:cs="Times New Roman"/>
          <w:lang w:val="en-GB"/>
        </w:rPr>
        <w:t>(New Jersey: Princeton University Press, 2009)</w:t>
      </w:r>
      <w:r>
        <w:rPr>
          <w:rFonts w:ascii="Times New Roman" w:hAnsi="Times New Roman" w:cs="Times New Roman"/>
          <w:lang w:val="en-GB"/>
        </w:rPr>
        <w:t>.</w:t>
      </w:r>
    </w:p>
  </w:footnote>
  <w:footnote w:id="39">
    <w:p w14:paraId="632E0795" w14:textId="016D4EA9" w:rsidR="008118CC" w:rsidRPr="008118CC" w:rsidRDefault="008118CC">
      <w:pPr>
        <w:pStyle w:val="FootnoteText"/>
        <w:rPr>
          <w:lang w:val="en-GB"/>
        </w:rPr>
      </w:pPr>
      <w:r>
        <w:rPr>
          <w:rStyle w:val="FootnoteReference"/>
        </w:rPr>
        <w:footnoteRef/>
      </w:r>
      <w:r>
        <w:t xml:space="preserve"> </w:t>
      </w:r>
      <w:r w:rsidRPr="0030726B">
        <w:rPr>
          <w:rFonts w:ascii="Times New Roman" w:hAnsi="Times New Roman" w:cs="Times New Roman"/>
        </w:rPr>
        <w:t xml:space="preserve">Mircea Eliade, </w:t>
      </w:r>
      <w:r w:rsidRPr="0030726B">
        <w:rPr>
          <w:rFonts w:ascii="Times New Roman" w:hAnsi="Times New Roman" w:cs="Times New Roman"/>
          <w:i/>
          <w:iCs/>
        </w:rPr>
        <w:t xml:space="preserve">The Sacred and the Profane </w:t>
      </w:r>
      <w:r w:rsidRPr="0030726B">
        <w:rPr>
          <w:rFonts w:ascii="Times New Roman" w:hAnsi="Times New Roman" w:cs="Times New Roman"/>
        </w:rPr>
        <w:t>(New York: Harcourt, 1987). P.</w:t>
      </w:r>
      <w:r>
        <w:rPr>
          <w:rFonts w:ascii="Times New Roman" w:hAnsi="Times New Roman" w:cs="Times New Roman"/>
        </w:rPr>
        <w:t>11.</w:t>
      </w:r>
    </w:p>
  </w:footnote>
  <w:footnote w:id="40">
    <w:p w14:paraId="789514CD" w14:textId="2D01993F" w:rsidR="00902935" w:rsidRPr="00040B22" w:rsidRDefault="00902935">
      <w:pPr>
        <w:pStyle w:val="FootnoteText"/>
        <w:rPr>
          <w:rFonts w:ascii="Times New Roman" w:hAnsi="Times New Roman" w:cs="Times New Roman"/>
          <w:lang w:val="en-GB"/>
        </w:rPr>
      </w:pPr>
      <w:r w:rsidRPr="00902935">
        <w:rPr>
          <w:rStyle w:val="FootnoteReference"/>
          <w:rFonts w:ascii="Times New Roman" w:hAnsi="Times New Roman" w:cs="Times New Roman"/>
        </w:rPr>
        <w:footnoteRef/>
      </w:r>
      <w:r w:rsidRPr="00902935">
        <w:rPr>
          <w:rFonts w:ascii="Times New Roman" w:hAnsi="Times New Roman" w:cs="Times New Roman"/>
        </w:rPr>
        <w:t xml:space="preserve"> </w:t>
      </w:r>
      <w:r w:rsidRPr="00902935">
        <w:rPr>
          <w:rFonts w:ascii="Times New Roman" w:hAnsi="Times New Roman" w:cs="Times New Roman"/>
          <w:lang w:val="en-GB"/>
        </w:rPr>
        <w:t xml:space="preserve">Wendy Fay, ‘The Gnome, The Rock and The Pool – Sacredness in a Domestic Garden’, in </w:t>
      </w:r>
      <w:r w:rsidRPr="00902935">
        <w:rPr>
          <w:rFonts w:ascii="Times New Roman" w:hAnsi="Times New Roman" w:cs="Times New Roman"/>
          <w:i/>
          <w:iCs/>
          <w:lang w:val="en-GB"/>
        </w:rPr>
        <w:t xml:space="preserve">Sacred Geography: Conversations with Place, </w:t>
      </w:r>
      <w:r w:rsidRPr="00902935">
        <w:rPr>
          <w:rFonts w:ascii="Times New Roman" w:hAnsi="Times New Roman" w:cs="Times New Roman"/>
          <w:lang w:val="en-GB"/>
        </w:rPr>
        <w:t xml:space="preserve">eds. Bernadette Brady and Jack Hunter (Wales: Sophia Centre </w:t>
      </w:r>
      <w:r w:rsidRPr="00040B22">
        <w:rPr>
          <w:rFonts w:ascii="Times New Roman" w:hAnsi="Times New Roman" w:cs="Times New Roman"/>
          <w:lang w:val="en-GB"/>
        </w:rPr>
        <w:t>Press, 2024) p.144.</w:t>
      </w:r>
    </w:p>
  </w:footnote>
  <w:footnote w:id="41">
    <w:p w14:paraId="5C076C3F" w14:textId="7348B327" w:rsidR="00040B22" w:rsidRPr="00040B22" w:rsidRDefault="00040B22">
      <w:pPr>
        <w:pStyle w:val="FootnoteText"/>
        <w:rPr>
          <w:lang w:val="en-GB"/>
        </w:rPr>
      </w:pPr>
      <w:r>
        <w:rPr>
          <w:rStyle w:val="FootnoteReference"/>
        </w:rPr>
        <w:footnoteRef/>
      </w:r>
      <w:r>
        <w:t xml:space="preserve"> </w:t>
      </w:r>
      <w:r w:rsidR="00285093" w:rsidRPr="00040B22">
        <w:rPr>
          <w:rFonts w:ascii="Times New Roman" w:hAnsi="Times New Roman" w:cs="Times New Roman"/>
          <w:lang w:val="en-GB"/>
        </w:rPr>
        <w:t xml:space="preserve">Rudolf Otto, </w:t>
      </w:r>
      <w:r w:rsidR="00285093" w:rsidRPr="00040B22">
        <w:rPr>
          <w:rFonts w:ascii="Times New Roman" w:hAnsi="Times New Roman" w:cs="Times New Roman"/>
          <w:i/>
          <w:iCs/>
          <w:lang w:val="en-GB"/>
        </w:rPr>
        <w:t>The Idea of the Holy</w:t>
      </w:r>
      <w:r w:rsidR="00285093">
        <w:rPr>
          <w:rFonts w:ascii="Times New Roman" w:hAnsi="Times New Roman" w:cs="Times New Roman"/>
          <w:i/>
          <w:iCs/>
          <w:lang w:val="en-GB"/>
        </w:rPr>
        <w:t>: An Inquiry into the Non-Rational Factor in the Idea of the Divine and Its Relation to the Rational</w:t>
      </w:r>
      <w:r w:rsidR="00285093" w:rsidRPr="00040B22">
        <w:rPr>
          <w:rFonts w:ascii="Times New Roman" w:hAnsi="Times New Roman" w:cs="Times New Roman"/>
          <w:i/>
          <w:iCs/>
          <w:lang w:val="en-GB"/>
        </w:rPr>
        <w:t xml:space="preserve"> </w:t>
      </w:r>
      <w:r w:rsidR="00285093" w:rsidRPr="00040B22">
        <w:rPr>
          <w:rFonts w:ascii="Times New Roman" w:hAnsi="Times New Roman" w:cs="Times New Roman"/>
          <w:lang w:val="en-GB"/>
        </w:rPr>
        <w:t>(London: Oxford University Press,</w:t>
      </w:r>
      <w:r w:rsidR="00285093">
        <w:rPr>
          <w:rFonts w:ascii="Times New Roman" w:hAnsi="Times New Roman" w:cs="Times New Roman"/>
          <w:lang w:val="en-GB"/>
        </w:rPr>
        <w:t xml:space="preserve"> 1970 [1917]) p.7.</w:t>
      </w:r>
    </w:p>
  </w:footnote>
  <w:footnote w:id="42">
    <w:p w14:paraId="0DF20EB0" w14:textId="31BED944" w:rsidR="00040B22" w:rsidRPr="00040B22" w:rsidRDefault="00040B22">
      <w:pPr>
        <w:pStyle w:val="FootnoteText"/>
        <w:rPr>
          <w:lang w:val="en-GB"/>
        </w:rPr>
      </w:pPr>
      <w:r w:rsidRPr="00040B22">
        <w:rPr>
          <w:rStyle w:val="FootnoteReference"/>
          <w:rFonts w:ascii="Times New Roman" w:hAnsi="Times New Roman" w:cs="Times New Roman"/>
        </w:rPr>
        <w:footnoteRef/>
      </w:r>
      <w:r w:rsidR="002B32AD">
        <w:rPr>
          <w:rFonts w:ascii="Times New Roman" w:hAnsi="Times New Roman" w:cs="Times New Roman"/>
          <w:i/>
          <w:iCs/>
          <w:lang w:val="en-GB"/>
        </w:rPr>
        <w:t xml:space="preserve"> Ibid,</w:t>
      </w:r>
      <w:r w:rsidRPr="00040B22">
        <w:rPr>
          <w:rFonts w:ascii="Times New Roman" w:hAnsi="Times New Roman" w:cs="Times New Roman"/>
          <w:lang w:val="en-GB"/>
        </w:rPr>
        <w:t xml:space="preserve"> pp.14-17.</w:t>
      </w:r>
    </w:p>
  </w:footnote>
  <w:footnote w:id="43">
    <w:p w14:paraId="680DC9CD" w14:textId="20112217" w:rsidR="00285093" w:rsidRPr="008C5040" w:rsidRDefault="00285093">
      <w:pPr>
        <w:pStyle w:val="FootnoteText"/>
        <w:rPr>
          <w:rFonts w:ascii="Times New Roman" w:hAnsi="Times New Roman" w:cs="Times New Roman"/>
          <w:lang w:val="en-GB"/>
        </w:rPr>
      </w:pPr>
      <w:r>
        <w:rPr>
          <w:rStyle w:val="FootnoteReference"/>
        </w:rPr>
        <w:footnoteRef/>
      </w:r>
      <w:r>
        <w:t xml:space="preserve"> </w:t>
      </w:r>
      <w:r w:rsidR="008C5040" w:rsidRPr="00FA4361">
        <w:rPr>
          <w:rFonts w:ascii="Times New Roman" w:hAnsi="Times New Roman" w:cs="Times New Roman"/>
        </w:rPr>
        <w:t xml:space="preserve">Emile Durkheim, </w:t>
      </w:r>
      <w:r w:rsidR="008C5040" w:rsidRPr="00FA4361">
        <w:rPr>
          <w:rFonts w:ascii="Times New Roman" w:hAnsi="Times New Roman" w:cs="Times New Roman"/>
          <w:i/>
          <w:iCs/>
        </w:rPr>
        <w:t>The Elementary Forms of Religious Life,</w:t>
      </w:r>
      <w:r w:rsidR="008C5040" w:rsidRPr="003B37C1">
        <w:rPr>
          <w:rFonts w:ascii="Times New Roman" w:hAnsi="Times New Roman" w:cs="Times New Roman"/>
        </w:rPr>
        <w:t xml:space="preserve"> trans</w:t>
      </w:r>
      <w:r w:rsidR="008C5040" w:rsidRPr="00FA4361">
        <w:rPr>
          <w:rFonts w:ascii="Times New Roman" w:hAnsi="Times New Roman" w:cs="Times New Roman"/>
          <w:i/>
          <w:iCs/>
        </w:rPr>
        <w:t xml:space="preserve">. </w:t>
      </w:r>
      <w:r w:rsidR="008C5040" w:rsidRPr="00FA4361">
        <w:rPr>
          <w:rFonts w:ascii="Times New Roman" w:hAnsi="Times New Roman" w:cs="Times New Roman"/>
        </w:rPr>
        <w:t xml:space="preserve">Karen Fields (New York: The Free Press, 1995) </w:t>
      </w:r>
      <w:r w:rsidR="008C5040" w:rsidRPr="00FA4361">
        <w:rPr>
          <w:rFonts w:ascii="Times New Roman" w:hAnsi="Times New Roman" w:cs="Times New Roman"/>
          <w:lang w:val="en-GB"/>
        </w:rPr>
        <w:t>p</w:t>
      </w:r>
      <w:r w:rsidR="008C5040">
        <w:rPr>
          <w:rFonts w:ascii="Times New Roman" w:hAnsi="Times New Roman" w:cs="Times New Roman"/>
          <w:lang w:val="en-GB"/>
        </w:rPr>
        <w:t>20.</w:t>
      </w:r>
    </w:p>
  </w:footnote>
  <w:footnote w:id="44">
    <w:p w14:paraId="7ABDC663" w14:textId="5C9F5B35" w:rsidR="000A107C" w:rsidRPr="000A107C" w:rsidRDefault="000A107C">
      <w:pPr>
        <w:pStyle w:val="FootnoteText"/>
        <w:rPr>
          <w:lang w:val="en-GB"/>
        </w:rPr>
      </w:pPr>
      <w:r>
        <w:rPr>
          <w:rStyle w:val="FootnoteReference"/>
        </w:rPr>
        <w:footnoteRef/>
      </w:r>
      <w:r>
        <w:t xml:space="preserve"> </w:t>
      </w:r>
      <w:r w:rsidRPr="000A107C">
        <w:rPr>
          <w:rFonts w:ascii="Times New Roman" w:hAnsi="Times New Roman" w:cs="Times New Roman"/>
          <w:lang w:val="en-GB"/>
        </w:rPr>
        <w:t xml:space="preserve">Sophie </w:t>
      </w:r>
      <w:proofErr w:type="spellStart"/>
      <w:r w:rsidRPr="000A107C">
        <w:rPr>
          <w:rFonts w:ascii="Times New Roman" w:hAnsi="Times New Roman" w:cs="Times New Roman"/>
          <w:lang w:val="en-GB"/>
        </w:rPr>
        <w:t>Ahava</w:t>
      </w:r>
      <w:proofErr w:type="spellEnd"/>
      <w:r w:rsidRPr="000A107C">
        <w:rPr>
          <w:rFonts w:ascii="Times New Roman" w:hAnsi="Times New Roman" w:cs="Times New Roman"/>
          <w:lang w:val="en-GB"/>
        </w:rPr>
        <w:t xml:space="preserve">, Nicholas </w:t>
      </w:r>
      <w:proofErr w:type="spellStart"/>
      <w:proofErr w:type="gramStart"/>
      <w:r w:rsidRPr="000A107C">
        <w:rPr>
          <w:rFonts w:ascii="Times New Roman" w:hAnsi="Times New Roman" w:cs="Times New Roman"/>
          <w:lang w:val="en-GB"/>
        </w:rPr>
        <w:t>Buccella</w:t>
      </w:r>
      <w:proofErr w:type="spellEnd"/>
      <w:proofErr w:type="gramEnd"/>
      <w:r w:rsidRPr="000A107C">
        <w:rPr>
          <w:rFonts w:ascii="Times New Roman" w:hAnsi="Times New Roman" w:cs="Times New Roman"/>
          <w:lang w:val="en-GB"/>
        </w:rPr>
        <w:t xml:space="preserve"> and Olivia Mason-Lucas, ‘The Power of Human Experience Within Sacred Space’, in </w:t>
      </w:r>
      <w:r w:rsidRPr="000A107C">
        <w:rPr>
          <w:rFonts w:ascii="Times New Roman" w:hAnsi="Times New Roman" w:cs="Times New Roman"/>
          <w:i/>
          <w:iCs/>
          <w:lang w:val="en-GB"/>
        </w:rPr>
        <w:t xml:space="preserve">Sacred Spaces: An Introduction to the Geographic Study of Religions and Belief Systems, </w:t>
      </w:r>
      <w:r w:rsidRPr="000A107C">
        <w:rPr>
          <w:rFonts w:ascii="Times New Roman" w:hAnsi="Times New Roman" w:cs="Times New Roman"/>
          <w:lang w:val="en-GB"/>
        </w:rPr>
        <w:t>eds. Caitlin Finlayson (Montreal: Pressbooks, 2024) pp.1-10.</w:t>
      </w:r>
    </w:p>
  </w:footnote>
  <w:footnote w:id="45">
    <w:p w14:paraId="5209557B" w14:textId="7FB564B9" w:rsidR="000A6EDE" w:rsidRPr="000A6EDE" w:rsidRDefault="000A6EDE">
      <w:pPr>
        <w:pStyle w:val="FootnoteText"/>
        <w:rPr>
          <w:lang w:val="en-GB"/>
        </w:rPr>
      </w:pPr>
      <w:r>
        <w:rPr>
          <w:rStyle w:val="FootnoteReference"/>
        </w:rPr>
        <w:footnoteRef/>
      </w:r>
      <w:r>
        <w:t xml:space="preserve"> </w:t>
      </w:r>
      <w:r w:rsidRPr="00350B70">
        <w:rPr>
          <w:rFonts w:ascii="Times New Roman" w:hAnsi="Times New Roman" w:cs="Times New Roman"/>
          <w:lang w:val="en-GB"/>
        </w:rPr>
        <w:t xml:space="preserve">Belden C. Lane, </w:t>
      </w:r>
      <w:r w:rsidRPr="00350B70">
        <w:rPr>
          <w:rFonts w:ascii="Times New Roman" w:hAnsi="Times New Roman" w:cs="Times New Roman"/>
          <w:i/>
          <w:iCs/>
          <w:lang w:val="en-GB"/>
        </w:rPr>
        <w:t xml:space="preserve">Landscapes of the Sacred: Geography and Narrative in American Spirituality </w:t>
      </w:r>
      <w:r w:rsidRPr="00350B70">
        <w:rPr>
          <w:rFonts w:ascii="Times New Roman" w:hAnsi="Times New Roman" w:cs="Times New Roman"/>
          <w:lang w:val="en-GB"/>
        </w:rPr>
        <w:t>(London: John Hopkins University Press, 2001) p.1</w:t>
      </w:r>
      <w:r>
        <w:rPr>
          <w:rFonts w:ascii="Times New Roman" w:hAnsi="Times New Roman" w:cs="Times New Roman"/>
          <w:lang w:val="en-GB"/>
        </w:rPr>
        <w:t>9.</w:t>
      </w:r>
    </w:p>
  </w:footnote>
  <w:footnote w:id="46">
    <w:p w14:paraId="4AA8B758" w14:textId="0FDEDE5E" w:rsidR="005D57C6" w:rsidRPr="005D57C6" w:rsidRDefault="005D57C6">
      <w:pPr>
        <w:pStyle w:val="FootnoteText"/>
        <w:rPr>
          <w:lang w:val="en-GB"/>
        </w:rPr>
      </w:pPr>
      <w:r>
        <w:rPr>
          <w:rStyle w:val="FootnoteReference"/>
        </w:rPr>
        <w:footnoteRef/>
      </w:r>
      <w:r>
        <w:t xml:space="preserve"> </w:t>
      </w:r>
      <w:r w:rsidR="000A6EDE" w:rsidRPr="000A6EDE">
        <w:rPr>
          <w:rFonts w:ascii="Times New Roman" w:hAnsi="Times New Roman" w:cs="Times New Roman"/>
          <w:i/>
          <w:iCs/>
          <w:lang w:val="en-GB"/>
        </w:rPr>
        <w:t>Ibid</w:t>
      </w:r>
      <w:r w:rsidR="000A6EDE">
        <w:rPr>
          <w:rFonts w:ascii="Times New Roman" w:hAnsi="Times New Roman" w:cs="Times New Roman"/>
          <w:lang w:val="en-GB"/>
        </w:rPr>
        <w:t>,</w:t>
      </w:r>
      <w:r w:rsidRPr="00350B70">
        <w:rPr>
          <w:rFonts w:ascii="Times New Roman" w:hAnsi="Times New Roman" w:cs="Times New Roman"/>
          <w:lang w:val="en-GB"/>
        </w:rPr>
        <w:t xml:space="preserve"> p.1</w:t>
      </w:r>
      <w:r>
        <w:rPr>
          <w:rFonts w:ascii="Times New Roman" w:hAnsi="Times New Roman" w:cs="Times New Roman"/>
          <w:lang w:val="en-GB"/>
        </w:rPr>
        <w:t>9.</w:t>
      </w:r>
    </w:p>
  </w:footnote>
  <w:footnote w:id="47">
    <w:p w14:paraId="3B7E58B5" w14:textId="42566C94" w:rsidR="00DD15D6" w:rsidRPr="00350B70" w:rsidRDefault="00DD15D6">
      <w:pPr>
        <w:pStyle w:val="FootnoteText"/>
        <w:rPr>
          <w:lang w:val="en-GB"/>
        </w:rPr>
      </w:pPr>
      <w:r>
        <w:rPr>
          <w:rStyle w:val="FootnoteReference"/>
        </w:rPr>
        <w:footnoteRef/>
      </w:r>
      <w:r>
        <w:t xml:space="preserve"> </w:t>
      </w:r>
      <w:r w:rsidR="005D57C6">
        <w:rPr>
          <w:rFonts w:ascii="Times New Roman" w:hAnsi="Times New Roman" w:cs="Times New Roman"/>
          <w:i/>
          <w:iCs/>
          <w:lang w:val="en-GB"/>
        </w:rPr>
        <w:t xml:space="preserve">Ibid, </w:t>
      </w:r>
      <w:r w:rsidR="00350B70" w:rsidRPr="00350B70">
        <w:rPr>
          <w:rFonts w:ascii="Times New Roman" w:hAnsi="Times New Roman" w:cs="Times New Roman"/>
          <w:lang w:val="en-GB"/>
        </w:rPr>
        <w:t>p.15.</w:t>
      </w:r>
    </w:p>
  </w:footnote>
  <w:footnote w:id="48">
    <w:p w14:paraId="6F3DAC64" w14:textId="4B7B532C" w:rsidR="00463D75" w:rsidRPr="00463D75" w:rsidRDefault="00463D75">
      <w:pPr>
        <w:pStyle w:val="FootnoteText"/>
        <w:rPr>
          <w:lang w:val="en-GB"/>
        </w:rPr>
      </w:pPr>
      <w:r>
        <w:rPr>
          <w:rStyle w:val="FootnoteReference"/>
        </w:rPr>
        <w:footnoteRef/>
      </w:r>
      <w:r>
        <w:t xml:space="preserve"> </w:t>
      </w:r>
      <w:r w:rsidRPr="00463D75">
        <w:rPr>
          <w:rFonts w:ascii="Times New Roman" w:hAnsi="Times New Roman" w:cs="Times New Roman"/>
          <w:lang w:val="en-GB"/>
        </w:rPr>
        <w:t xml:space="preserve">Christopher Tilley, </w:t>
      </w:r>
      <w:r w:rsidRPr="00463D75">
        <w:rPr>
          <w:rFonts w:ascii="Times New Roman" w:hAnsi="Times New Roman" w:cs="Times New Roman"/>
          <w:i/>
          <w:iCs/>
          <w:lang w:val="en-GB"/>
        </w:rPr>
        <w:t xml:space="preserve">A Phenomenology of Landscape: Places, </w:t>
      </w:r>
      <w:proofErr w:type="gramStart"/>
      <w:r w:rsidRPr="00463D75">
        <w:rPr>
          <w:rFonts w:ascii="Times New Roman" w:hAnsi="Times New Roman" w:cs="Times New Roman"/>
          <w:i/>
          <w:iCs/>
          <w:lang w:val="en-GB"/>
        </w:rPr>
        <w:t>Paths</w:t>
      </w:r>
      <w:proofErr w:type="gramEnd"/>
      <w:r w:rsidRPr="00463D75">
        <w:rPr>
          <w:rFonts w:ascii="Times New Roman" w:hAnsi="Times New Roman" w:cs="Times New Roman"/>
          <w:i/>
          <w:iCs/>
          <w:lang w:val="en-GB"/>
        </w:rPr>
        <w:t xml:space="preserve"> and Monuments </w:t>
      </w:r>
      <w:r w:rsidRPr="00463D75">
        <w:rPr>
          <w:rFonts w:ascii="Times New Roman" w:hAnsi="Times New Roman" w:cs="Times New Roman"/>
          <w:lang w:val="en-GB"/>
        </w:rPr>
        <w:t>(London: Bloomsbury Publishing, 1997) p.24.</w:t>
      </w:r>
    </w:p>
  </w:footnote>
  <w:footnote w:id="49">
    <w:p w14:paraId="230BCC30" w14:textId="7FB7E2B0" w:rsidR="008B64CE" w:rsidRPr="00F43A7F" w:rsidRDefault="008B64CE">
      <w:pPr>
        <w:pStyle w:val="FootnoteText"/>
        <w:rPr>
          <w:lang w:val="en-GB"/>
        </w:rPr>
      </w:pPr>
      <w:r>
        <w:rPr>
          <w:rStyle w:val="FootnoteReference"/>
        </w:rPr>
        <w:footnoteRef/>
      </w:r>
      <w:r>
        <w:t xml:space="preserve"> </w:t>
      </w:r>
      <w:r w:rsidRPr="00F43A7F">
        <w:rPr>
          <w:rFonts w:ascii="Times New Roman" w:hAnsi="Times New Roman" w:cs="Times New Roman"/>
          <w:lang w:val="en-GB"/>
        </w:rPr>
        <w:t xml:space="preserve">Christine Simmonds-Moore, ‘Liminal Spaces </w:t>
      </w:r>
      <w:proofErr w:type="gramStart"/>
      <w:r w:rsidRPr="00F43A7F">
        <w:rPr>
          <w:rFonts w:ascii="Times New Roman" w:hAnsi="Times New Roman" w:cs="Times New Roman"/>
          <w:lang w:val="en-GB"/>
        </w:rPr>
        <w:t>And</w:t>
      </w:r>
      <w:proofErr w:type="gramEnd"/>
      <w:r w:rsidRPr="00F43A7F">
        <w:rPr>
          <w:rFonts w:ascii="Times New Roman" w:hAnsi="Times New Roman" w:cs="Times New Roman"/>
          <w:lang w:val="en-GB"/>
        </w:rPr>
        <w:t xml:space="preserve"> Liminal Minds: Boundary Thinness And </w:t>
      </w:r>
      <w:r w:rsidR="00F43A7F" w:rsidRPr="00F43A7F">
        <w:rPr>
          <w:rFonts w:ascii="Times New Roman" w:hAnsi="Times New Roman" w:cs="Times New Roman"/>
          <w:lang w:val="en-GB"/>
        </w:rPr>
        <w:t xml:space="preserve">Participatory Eco-consciousness’, in </w:t>
      </w:r>
      <w:r w:rsidR="00F43A7F" w:rsidRPr="00F43A7F">
        <w:rPr>
          <w:rFonts w:ascii="Times New Roman" w:hAnsi="Times New Roman" w:cs="Times New Roman"/>
          <w:i/>
          <w:iCs/>
          <w:lang w:val="en-GB"/>
        </w:rPr>
        <w:t xml:space="preserve">Greening The Paranormal: Exploring The Ecology Of Everyday Experience </w:t>
      </w:r>
      <w:r w:rsidR="00F43A7F" w:rsidRPr="00F43A7F">
        <w:rPr>
          <w:rFonts w:ascii="Times New Roman" w:hAnsi="Times New Roman" w:cs="Times New Roman"/>
          <w:lang w:val="en-GB"/>
        </w:rPr>
        <w:t>ed. Jack Hunter (Milton Keynes: August Night Press, 2019) p.120.</w:t>
      </w:r>
    </w:p>
  </w:footnote>
  <w:footnote w:id="50">
    <w:p w14:paraId="4EF7844A" w14:textId="7AE3A66B" w:rsidR="008C12D4" w:rsidRPr="008C12D4" w:rsidRDefault="008C12D4">
      <w:pPr>
        <w:pStyle w:val="FootnoteText"/>
        <w:rPr>
          <w:lang w:val="en-GB"/>
        </w:rPr>
      </w:pPr>
      <w:r>
        <w:rPr>
          <w:rStyle w:val="FootnoteReference"/>
        </w:rPr>
        <w:footnoteRef/>
      </w:r>
      <w:r>
        <w:t xml:space="preserve"> </w:t>
      </w:r>
      <w:r w:rsidRPr="0030726B">
        <w:rPr>
          <w:rFonts w:ascii="Times New Roman" w:hAnsi="Times New Roman" w:cs="Times New Roman"/>
        </w:rPr>
        <w:t xml:space="preserve">Mircea Eliade, </w:t>
      </w:r>
      <w:r w:rsidRPr="0030726B">
        <w:rPr>
          <w:rFonts w:ascii="Times New Roman" w:hAnsi="Times New Roman" w:cs="Times New Roman"/>
          <w:i/>
          <w:iCs/>
        </w:rPr>
        <w:t xml:space="preserve">The Sacred and the Profane </w:t>
      </w:r>
      <w:r w:rsidRPr="0030726B">
        <w:rPr>
          <w:rFonts w:ascii="Times New Roman" w:hAnsi="Times New Roman" w:cs="Times New Roman"/>
        </w:rPr>
        <w:t>(New York: Harcourt, 1987). P.2</w:t>
      </w:r>
      <w:r>
        <w:rPr>
          <w:rFonts w:ascii="Times New Roman" w:hAnsi="Times New Roman" w:cs="Times New Roman"/>
        </w:rPr>
        <w:t>4.</w:t>
      </w:r>
    </w:p>
  </w:footnote>
  <w:footnote w:id="51">
    <w:p w14:paraId="4A0B3A3A" w14:textId="2DAE6F37" w:rsidR="00D66454" w:rsidRPr="00D66454" w:rsidRDefault="00D66454">
      <w:pPr>
        <w:pStyle w:val="FootnoteText"/>
        <w:rPr>
          <w:rFonts w:ascii="Times New Roman" w:hAnsi="Times New Roman" w:cs="Times New Roman"/>
          <w:lang w:val="en-GB"/>
        </w:rPr>
      </w:pPr>
      <w:r>
        <w:rPr>
          <w:rStyle w:val="FootnoteReference"/>
        </w:rPr>
        <w:footnoteRef/>
      </w:r>
      <w:r>
        <w:t xml:space="preserve"> </w:t>
      </w:r>
      <w:r w:rsidRPr="006B7946">
        <w:rPr>
          <w:rFonts w:ascii="Times New Roman" w:hAnsi="Times New Roman" w:cs="Times New Roman"/>
          <w:lang w:val="en-GB"/>
        </w:rPr>
        <w:t xml:space="preserve">Matthew T. Evans, ‘The Sacred: Differentiating, Clarifying and Extending Concepts’, in </w:t>
      </w:r>
      <w:r w:rsidRPr="006B7946">
        <w:rPr>
          <w:rFonts w:ascii="Times New Roman" w:hAnsi="Times New Roman" w:cs="Times New Roman"/>
          <w:i/>
          <w:iCs/>
          <w:lang w:val="en-GB"/>
        </w:rPr>
        <w:t xml:space="preserve">Review of Religious Research </w:t>
      </w:r>
      <w:r w:rsidRPr="006B7946">
        <w:rPr>
          <w:rFonts w:ascii="Times New Roman" w:hAnsi="Times New Roman" w:cs="Times New Roman"/>
          <w:lang w:val="en-GB"/>
        </w:rPr>
        <w:t xml:space="preserve">vol.45 (1), (London: Sage Publications Ltd, 2003). </w:t>
      </w:r>
      <w:r w:rsidRPr="006B7946">
        <w:rPr>
          <w:rFonts w:ascii="Times New Roman" w:hAnsi="Times New Roman" w:cs="Times New Roman"/>
          <w:lang w:val="en-GB"/>
        </w:rPr>
        <w:t>P</w:t>
      </w:r>
      <w:r>
        <w:rPr>
          <w:rFonts w:ascii="Times New Roman" w:hAnsi="Times New Roman" w:cs="Times New Roman"/>
          <w:lang w:val="en-GB"/>
        </w:rPr>
        <w:t>41.</w:t>
      </w:r>
    </w:p>
  </w:footnote>
  <w:footnote w:id="52">
    <w:p w14:paraId="40C9B2C2" w14:textId="32958E9C" w:rsidR="008F6A9B" w:rsidRPr="008F6A9B" w:rsidRDefault="008F6A9B">
      <w:pPr>
        <w:pStyle w:val="FootnoteText"/>
        <w:rPr>
          <w:lang w:val="en-GB"/>
        </w:rPr>
      </w:pPr>
      <w:r>
        <w:rPr>
          <w:rStyle w:val="FootnoteReference"/>
        </w:rPr>
        <w:footnoteRef/>
      </w:r>
      <w:r>
        <w:t xml:space="preserve"> </w:t>
      </w:r>
      <w:r>
        <w:rPr>
          <w:rFonts w:ascii="Times New Roman" w:hAnsi="Times New Roman" w:cs="Times New Roman"/>
        </w:rPr>
        <w:t xml:space="preserve">Bernadette Brady, ‘Introduction Part 1’ </w:t>
      </w:r>
      <w:r w:rsidRPr="00902935">
        <w:rPr>
          <w:rFonts w:ascii="Times New Roman" w:hAnsi="Times New Roman" w:cs="Times New Roman"/>
          <w:lang w:val="en-GB"/>
        </w:rPr>
        <w:t xml:space="preserve">in </w:t>
      </w:r>
      <w:r w:rsidRPr="00902935">
        <w:rPr>
          <w:rFonts w:ascii="Times New Roman" w:hAnsi="Times New Roman" w:cs="Times New Roman"/>
          <w:i/>
          <w:iCs/>
          <w:lang w:val="en-GB"/>
        </w:rPr>
        <w:t xml:space="preserve">Sacred Geography: Conversations with Place, </w:t>
      </w:r>
      <w:r w:rsidRPr="00902935">
        <w:rPr>
          <w:rFonts w:ascii="Times New Roman" w:hAnsi="Times New Roman" w:cs="Times New Roman"/>
          <w:lang w:val="en-GB"/>
        </w:rPr>
        <w:t xml:space="preserve">eds. Bernadette Brady and Jack Hunter (Wales: Sophia Centre </w:t>
      </w:r>
      <w:r w:rsidRPr="00040B22">
        <w:rPr>
          <w:rFonts w:ascii="Times New Roman" w:hAnsi="Times New Roman" w:cs="Times New Roman"/>
          <w:lang w:val="en-GB"/>
        </w:rPr>
        <w:t>Press, 2024) p</w:t>
      </w:r>
      <w:r>
        <w:rPr>
          <w:rFonts w:ascii="Times New Roman" w:hAnsi="Times New Roman" w:cs="Times New Roman"/>
          <w:lang w:val="en-GB"/>
        </w:rPr>
        <w:t>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awtDQysDAyMLU0MjdT0lEKTi0uzszPAykwrAUAE6ZZCywAAAA="/>
  </w:docVars>
  <w:rsids>
    <w:rsidRoot w:val="004142B1"/>
    <w:rsid w:val="00001257"/>
    <w:rsid w:val="0001495D"/>
    <w:rsid w:val="00025436"/>
    <w:rsid w:val="000358BB"/>
    <w:rsid w:val="00040B22"/>
    <w:rsid w:val="00051D6A"/>
    <w:rsid w:val="00052C8D"/>
    <w:rsid w:val="00067237"/>
    <w:rsid w:val="0007544E"/>
    <w:rsid w:val="00090258"/>
    <w:rsid w:val="0009244B"/>
    <w:rsid w:val="000A107C"/>
    <w:rsid w:val="000A670A"/>
    <w:rsid w:val="000A6EDE"/>
    <w:rsid w:val="000D6229"/>
    <w:rsid w:val="000E704F"/>
    <w:rsid w:val="0010574C"/>
    <w:rsid w:val="0010681E"/>
    <w:rsid w:val="00115936"/>
    <w:rsid w:val="00116AA9"/>
    <w:rsid w:val="0012061A"/>
    <w:rsid w:val="0012233B"/>
    <w:rsid w:val="00140FC3"/>
    <w:rsid w:val="00141948"/>
    <w:rsid w:val="00147059"/>
    <w:rsid w:val="00147A43"/>
    <w:rsid w:val="0016312A"/>
    <w:rsid w:val="0016536B"/>
    <w:rsid w:val="001820F9"/>
    <w:rsid w:val="001B461A"/>
    <w:rsid w:val="001B6CD5"/>
    <w:rsid w:val="001D5C43"/>
    <w:rsid w:val="001D7B9D"/>
    <w:rsid w:val="00204949"/>
    <w:rsid w:val="00207E4A"/>
    <w:rsid w:val="0022418F"/>
    <w:rsid w:val="00237623"/>
    <w:rsid w:val="00254CB0"/>
    <w:rsid w:val="002635A1"/>
    <w:rsid w:val="00274600"/>
    <w:rsid w:val="00275E42"/>
    <w:rsid w:val="00285093"/>
    <w:rsid w:val="002A7B8E"/>
    <w:rsid w:val="002B06D7"/>
    <w:rsid w:val="002B32AD"/>
    <w:rsid w:val="002B3B56"/>
    <w:rsid w:val="002B41AC"/>
    <w:rsid w:val="002B71BC"/>
    <w:rsid w:val="002C1350"/>
    <w:rsid w:val="002C53B9"/>
    <w:rsid w:val="002D2259"/>
    <w:rsid w:val="002D7734"/>
    <w:rsid w:val="002E0552"/>
    <w:rsid w:val="002E1B15"/>
    <w:rsid w:val="002E1DB4"/>
    <w:rsid w:val="002E2E02"/>
    <w:rsid w:val="002F5506"/>
    <w:rsid w:val="002F7F19"/>
    <w:rsid w:val="00300CB1"/>
    <w:rsid w:val="0030726B"/>
    <w:rsid w:val="00316F8D"/>
    <w:rsid w:val="0033465A"/>
    <w:rsid w:val="0033690F"/>
    <w:rsid w:val="00350B70"/>
    <w:rsid w:val="00354150"/>
    <w:rsid w:val="00354652"/>
    <w:rsid w:val="00360EAA"/>
    <w:rsid w:val="00372DB9"/>
    <w:rsid w:val="0039239E"/>
    <w:rsid w:val="003A2669"/>
    <w:rsid w:val="003B01DA"/>
    <w:rsid w:val="003B37C1"/>
    <w:rsid w:val="003C298D"/>
    <w:rsid w:val="003D457F"/>
    <w:rsid w:val="00401CF3"/>
    <w:rsid w:val="0040348E"/>
    <w:rsid w:val="004034ED"/>
    <w:rsid w:val="00407F5E"/>
    <w:rsid w:val="004113F1"/>
    <w:rsid w:val="004142B1"/>
    <w:rsid w:val="00417F7D"/>
    <w:rsid w:val="00427A11"/>
    <w:rsid w:val="00434655"/>
    <w:rsid w:val="0045367D"/>
    <w:rsid w:val="0045521A"/>
    <w:rsid w:val="00463D75"/>
    <w:rsid w:val="00475670"/>
    <w:rsid w:val="00486A23"/>
    <w:rsid w:val="00494574"/>
    <w:rsid w:val="00497045"/>
    <w:rsid w:val="004A3CBD"/>
    <w:rsid w:val="004A5BD4"/>
    <w:rsid w:val="004B39E9"/>
    <w:rsid w:val="004B4CC9"/>
    <w:rsid w:val="004E7DCA"/>
    <w:rsid w:val="004F7595"/>
    <w:rsid w:val="00503E96"/>
    <w:rsid w:val="005151DD"/>
    <w:rsid w:val="00520F13"/>
    <w:rsid w:val="00523EB4"/>
    <w:rsid w:val="00530078"/>
    <w:rsid w:val="005318D3"/>
    <w:rsid w:val="005425D9"/>
    <w:rsid w:val="005542F3"/>
    <w:rsid w:val="00583F0E"/>
    <w:rsid w:val="005D57C6"/>
    <w:rsid w:val="005F2A70"/>
    <w:rsid w:val="006049C2"/>
    <w:rsid w:val="006104D2"/>
    <w:rsid w:val="006131C8"/>
    <w:rsid w:val="00617D41"/>
    <w:rsid w:val="00634225"/>
    <w:rsid w:val="00645CE5"/>
    <w:rsid w:val="00650558"/>
    <w:rsid w:val="006518FB"/>
    <w:rsid w:val="00665180"/>
    <w:rsid w:val="0067625E"/>
    <w:rsid w:val="0068256F"/>
    <w:rsid w:val="00692A1F"/>
    <w:rsid w:val="00694D26"/>
    <w:rsid w:val="006A2846"/>
    <w:rsid w:val="006B2391"/>
    <w:rsid w:val="006B7946"/>
    <w:rsid w:val="006C1EEE"/>
    <w:rsid w:val="006C2744"/>
    <w:rsid w:val="006C4176"/>
    <w:rsid w:val="006C6302"/>
    <w:rsid w:val="006C7BD4"/>
    <w:rsid w:val="006D3CF5"/>
    <w:rsid w:val="006D5E8B"/>
    <w:rsid w:val="006E1E73"/>
    <w:rsid w:val="006E7792"/>
    <w:rsid w:val="00703F04"/>
    <w:rsid w:val="00721AC9"/>
    <w:rsid w:val="00722FBE"/>
    <w:rsid w:val="00727040"/>
    <w:rsid w:val="007405E1"/>
    <w:rsid w:val="00745EBC"/>
    <w:rsid w:val="00752E43"/>
    <w:rsid w:val="0076018F"/>
    <w:rsid w:val="00760606"/>
    <w:rsid w:val="00761181"/>
    <w:rsid w:val="00774A88"/>
    <w:rsid w:val="007838B0"/>
    <w:rsid w:val="00790505"/>
    <w:rsid w:val="00793AB7"/>
    <w:rsid w:val="00793C30"/>
    <w:rsid w:val="0079680C"/>
    <w:rsid w:val="007A0E33"/>
    <w:rsid w:val="007A3342"/>
    <w:rsid w:val="007A6C04"/>
    <w:rsid w:val="007A6C86"/>
    <w:rsid w:val="007A6F5C"/>
    <w:rsid w:val="007A7E7F"/>
    <w:rsid w:val="007B067E"/>
    <w:rsid w:val="007B2642"/>
    <w:rsid w:val="007B4B78"/>
    <w:rsid w:val="007C0F1C"/>
    <w:rsid w:val="007C1928"/>
    <w:rsid w:val="007F12D1"/>
    <w:rsid w:val="00802737"/>
    <w:rsid w:val="00803AF1"/>
    <w:rsid w:val="008055B1"/>
    <w:rsid w:val="008110F8"/>
    <w:rsid w:val="008118CC"/>
    <w:rsid w:val="0081314A"/>
    <w:rsid w:val="0083160A"/>
    <w:rsid w:val="0084057E"/>
    <w:rsid w:val="00844860"/>
    <w:rsid w:val="00844F0E"/>
    <w:rsid w:val="00850111"/>
    <w:rsid w:val="008606B1"/>
    <w:rsid w:val="00862108"/>
    <w:rsid w:val="00877794"/>
    <w:rsid w:val="008779C6"/>
    <w:rsid w:val="00877FD3"/>
    <w:rsid w:val="008846D9"/>
    <w:rsid w:val="00884E41"/>
    <w:rsid w:val="008A7EE1"/>
    <w:rsid w:val="008B64CE"/>
    <w:rsid w:val="008B64EC"/>
    <w:rsid w:val="008C12D4"/>
    <w:rsid w:val="008C5040"/>
    <w:rsid w:val="008C740F"/>
    <w:rsid w:val="008D03BB"/>
    <w:rsid w:val="008E1456"/>
    <w:rsid w:val="008F33CB"/>
    <w:rsid w:val="008F6A9B"/>
    <w:rsid w:val="00902935"/>
    <w:rsid w:val="00922C4E"/>
    <w:rsid w:val="00933201"/>
    <w:rsid w:val="00935407"/>
    <w:rsid w:val="009534AF"/>
    <w:rsid w:val="009538F7"/>
    <w:rsid w:val="009561A8"/>
    <w:rsid w:val="00960AF1"/>
    <w:rsid w:val="009635E9"/>
    <w:rsid w:val="009645AF"/>
    <w:rsid w:val="00972DD3"/>
    <w:rsid w:val="00972EB2"/>
    <w:rsid w:val="00976AF7"/>
    <w:rsid w:val="00984344"/>
    <w:rsid w:val="00984C7E"/>
    <w:rsid w:val="009872CF"/>
    <w:rsid w:val="00994F78"/>
    <w:rsid w:val="00997437"/>
    <w:rsid w:val="009A3EE8"/>
    <w:rsid w:val="009C0484"/>
    <w:rsid w:val="009D12DD"/>
    <w:rsid w:val="009D157D"/>
    <w:rsid w:val="009D1FFC"/>
    <w:rsid w:val="009F0BA6"/>
    <w:rsid w:val="009F2CBE"/>
    <w:rsid w:val="00A04FA2"/>
    <w:rsid w:val="00A14C58"/>
    <w:rsid w:val="00A16943"/>
    <w:rsid w:val="00A33A43"/>
    <w:rsid w:val="00A4401A"/>
    <w:rsid w:val="00A56543"/>
    <w:rsid w:val="00A6141D"/>
    <w:rsid w:val="00A63B06"/>
    <w:rsid w:val="00A8262A"/>
    <w:rsid w:val="00A91387"/>
    <w:rsid w:val="00A9258A"/>
    <w:rsid w:val="00A958A3"/>
    <w:rsid w:val="00AA0605"/>
    <w:rsid w:val="00AA7F52"/>
    <w:rsid w:val="00AB0A62"/>
    <w:rsid w:val="00AB3148"/>
    <w:rsid w:val="00AB4A20"/>
    <w:rsid w:val="00AC32B3"/>
    <w:rsid w:val="00AC773B"/>
    <w:rsid w:val="00AD6BD9"/>
    <w:rsid w:val="00AD7847"/>
    <w:rsid w:val="00AE5C05"/>
    <w:rsid w:val="00AE648A"/>
    <w:rsid w:val="00AF13F6"/>
    <w:rsid w:val="00AF424A"/>
    <w:rsid w:val="00B15EA3"/>
    <w:rsid w:val="00B1652E"/>
    <w:rsid w:val="00B21659"/>
    <w:rsid w:val="00B2762A"/>
    <w:rsid w:val="00B33000"/>
    <w:rsid w:val="00B4338F"/>
    <w:rsid w:val="00B63281"/>
    <w:rsid w:val="00B728EA"/>
    <w:rsid w:val="00B75C1D"/>
    <w:rsid w:val="00B761EC"/>
    <w:rsid w:val="00B815FB"/>
    <w:rsid w:val="00B87109"/>
    <w:rsid w:val="00B87A2F"/>
    <w:rsid w:val="00B90E27"/>
    <w:rsid w:val="00BA73EF"/>
    <w:rsid w:val="00BD3972"/>
    <w:rsid w:val="00BE1C0E"/>
    <w:rsid w:val="00C328CB"/>
    <w:rsid w:val="00C60B0B"/>
    <w:rsid w:val="00C81EDC"/>
    <w:rsid w:val="00C872A7"/>
    <w:rsid w:val="00C909CF"/>
    <w:rsid w:val="00C9470D"/>
    <w:rsid w:val="00CB5836"/>
    <w:rsid w:val="00CC6632"/>
    <w:rsid w:val="00CD26C1"/>
    <w:rsid w:val="00CF02C9"/>
    <w:rsid w:val="00D011E9"/>
    <w:rsid w:val="00D069E7"/>
    <w:rsid w:val="00D1056E"/>
    <w:rsid w:val="00D20DBB"/>
    <w:rsid w:val="00D34D0B"/>
    <w:rsid w:val="00D352C8"/>
    <w:rsid w:val="00D45460"/>
    <w:rsid w:val="00D6604A"/>
    <w:rsid w:val="00D66454"/>
    <w:rsid w:val="00D7420B"/>
    <w:rsid w:val="00D759EE"/>
    <w:rsid w:val="00D76884"/>
    <w:rsid w:val="00DB79E1"/>
    <w:rsid w:val="00DC09B3"/>
    <w:rsid w:val="00DC6066"/>
    <w:rsid w:val="00DD15D6"/>
    <w:rsid w:val="00DD543E"/>
    <w:rsid w:val="00E20E01"/>
    <w:rsid w:val="00E251FE"/>
    <w:rsid w:val="00E42F93"/>
    <w:rsid w:val="00E50575"/>
    <w:rsid w:val="00E5468E"/>
    <w:rsid w:val="00E75F88"/>
    <w:rsid w:val="00EC026A"/>
    <w:rsid w:val="00EC55F9"/>
    <w:rsid w:val="00EE316A"/>
    <w:rsid w:val="00EE50CC"/>
    <w:rsid w:val="00EE5749"/>
    <w:rsid w:val="00EF2463"/>
    <w:rsid w:val="00F04F84"/>
    <w:rsid w:val="00F100F1"/>
    <w:rsid w:val="00F16D05"/>
    <w:rsid w:val="00F21028"/>
    <w:rsid w:val="00F277B5"/>
    <w:rsid w:val="00F315FA"/>
    <w:rsid w:val="00F364AD"/>
    <w:rsid w:val="00F43A7F"/>
    <w:rsid w:val="00F513D9"/>
    <w:rsid w:val="00F53F53"/>
    <w:rsid w:val="00F56F13"/>
    <w:rsid w:val="00F6129D"/>
    <w:rsid w:val="00F62274"/>
    <w:rsid w:val="00F62423"/>
    <w:rsid w:val="00F82D77"/>
    <w:rsid w:val="00F97DF4"/>
    <w:rsid w:val="00FA3599"/>
    <w:rsid w:val="00FA4361"/>
    <w:rsid w:val="00FA5B06"/>
    <w:rsid w:val="00FB08B1"/>
    <w:rsid w:val="00FC2DA4"/>
    <w:rsid w:val="00FD32ED"/>
    <w:rsid w:val="00FD4FF1"/>
    <w:rsid w:val="00FE47BF"/>
    <w:rsid w:val="00FF28AC"/>
    <w:rsid w:val="00FF7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98757D"/>
  <w15:docId w15:val="{43B22290-ACCB-4C80-89F8-78B6EB66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EB4"/>
  </w:style>
  <w:style w:type="paragraph" w:styleId="Heading3">
    <w:name w:val="heading 3"/>
    <w:basedOn w:val="Normal"/>
    <w:link w:val="Heading3Char"/>
    <w:semiHidden/>
    <w:unhideWhenUsed/>
    <w:qFormat/>
    <w:rsid w:val="002F7F19"/>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42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2B1"/>
    <w:rPr>
      <w:rFonts w:ascii="Segoe UI" w:hAnsi="Segoe UI" w:cs="Segoe UI"/>
      <w:sz w:val="18"/>
      <w:szCs w:val="18"/>
    </w:rPr>
  </w:style>
  <w:style w:type="paragraph" w:styleId="FootnoteText">
    <w:name w:val="footnote text"/>
    <w:basedOn w:val="Normal"/>
    <w:link w:val="FootnoteTextChar"/>
    <w:uiPriority w:val="99"/>
    <w:unhideWhenUsed/>
    <w:rsid w:val="004142B1"/>
    <w:pPr>
      <w:spacing w:after="0" w:line="240" w:lineRule="auto"/>
    </w:pPr>
    <w:rPr>
      <w:sz w:val="20"/>
      <w:szCs w:val="20"/>
    </w:rPr>
  </w:style>
  <w:style w:type="character" w:customStyle="1" w:styleId="FootnoteTextChar">
    <w:name w:val="Footnote Text Char"/>
    <w:basedOn w:val="DefaultParagraphFont"/>
    <w:link w:val="FootnoteText"/>
    <w:uiPriority w:val="99"/>
    <w:rsid w:val="004142B1"/>
    <w:rPr>
      <w:sz w:val="20"/>
      <w:szCs w:val="20"/>
    </w:rPr>
  </w:style>
  <w:style w:type="character" w:styleId="FootnoteReference">
    <w:name w:val="footnote reference"/>
    <w:basedOn w:val="DefaultParagraphFont"/>
    <w:uiPriority w:val="99"/>
    <w:semiHidden/>
    <w:unhideWhenUsed/>
    <w:rsid w:val="004142B1"/>
    <w:rPr>
      <w:vertAlign w:val="superscript"/>
    </w:rPr>
  </w:style>
  <w:style w:type="character" w:styleId="Hyperlink">
    <w:name w:val="Hyperlink"/>
    <w:rsid w:val="004142B1"/>
    <w:rPr>
      <w:color w:val="0000FF"/>
      <w:u w:val="single"/>
    </w:rPr>
  </w:style>
  <w:style w:type="character" w:customStyle="1" w:styleId="Heading3Char">
    <w:name w:val="Heading 3 Char"/>
    <w:basedOn w:val="DefaultParagraphFont"/>
    <w:link w:val="Heading3"/>
    <w:semiHidden/>
    <w:rsid w:val="002F7F19"/>
    <w:rPr>
      <w:rFonts w:ascii="Tahoma" w:eastAsia="Times New Roman" w:hAnsi="Tahoma" w:cs="Tahoma"/>
      <w:b/>
      <w:bCs/>
      <w:sz w:val="20"/>
      <w:szCs w:val="20"/>
      <w:lang w:val="en-GB" w:eastAsia="zh-CN"/>
    </w:rPr>
  </w:style>
  <w:style w:type="paragraph" w:styleId="NormalWeb">
    <w:name w:val="Normal (Web)"/>
    <w:basedOn w:val="Normal"/>
    <w:uiPriority w:val="99"/>
    <w:unhideWhenUsed/>
    <w:rsid w:val="002F7F19"/>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803A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AF1"/>
  </w:style>
  <w:style w:type="paragraph" w:styleId="Footer">
    <w:name w:val="footer"/>
    <w:basedOn w:val="Normal"/>
    <w:link w:val="FooterChar"/>
    <w:uiPriority w:val="99"/>
    <w:unhideWhenUsed/>
    <w:rsid w:val="00803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AF1"/>
  </w:style>
  <w:style w:type="character" w:customStyle="1" w:styleId="UnresolvedMention1">
    <w:name w:val="Unresolved Mention1"/>
    <w:basedOn w:val="DefaultParagraphFont"/>
    <w:uiPriority w:val="99"/>
    <w:semiHidden/>
    <w:unhideWhenUsed/>
    <w:rsid w:val="0010574C"/>
    <w:rPr>
      <w:color w:val="605E5C"/>
      <w:shd w:val="clear" w:color="auto" w:fill="E1DFDD"/>
    </w:rPr>
  </w:style>
  <w:style w:type="character" w:styleId="UnresolvedMention">
    <w:name w:val="Unresolved Mention"/>
    <w:basedOn w:val="DefaultParagraphFont"/>
    <w:uiPriority w:val="99"/>
    <w:semiHidden/>
    <w:unhideWhenUsed/>
    <w:rsid w:val="00520F13"/>
    <w:rPr>
      <w:color w:val="605E5C"/>
      <w:shd w:val="clear" w:color="auto" w:fill="E1DFDD"/>
    </w:rPr>
  </w:style>
  <w:style w:type="character" w:styleId="FollowedHyperlink">
    <w:name w:val="FollowedHyperlink"/>
    <w:basedOn w:val="DefaultParagraphFont"/>
    <w:uiPriority w:val="99"/>
    <w:semiHidden/>
    <w:unhideWhenUsed/>
    <w:rsid w:val="006B7946"/>
    <w:rPr>
      <w:color w:val="954F72" w:themeColor="followedHyperlink"/>
      <w:u w:val="single"/>
    </w:rPr>
  </w:style>
  <w:style w:type="character" w:styleId="Emphasis">
    <w:name w:val="Emphasis"/>
    <w:basedOn w:val="DefaultParagraphFont"/>
    <w:uiPriority w:val="20"/>
    <w:qFormat/>
    <w:rsid w:val="009872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8207">
      <w:bodyDiv w:val="1"/>
      <w:marLeft w:val="0"/>
      <w:marRight w:val="0"/>
      <w:marTop w:val="0"/>
      <w:marBottom w:val="0"/>
      <w:divBdr>
        <w:top w:val="none" w:sz="0" w:space="0" w:color="auto"/>
        <w:left w:val="none" w:sz="0" w:space="0" w:color="auto"/>
        <w:bottom w:val="none" w:sz="0" w:space="0" w:color="auto"/>
        <w:right w:val="none" w:sz="0" w:space="0" w:color="auto"/>
      </w:divBdr>
    </w:div>
    <w:div w:id="905261763">
      <w:bodyDiv w:val="1"/>
      <w:marLeft w:val="0"/>
      <w:marRight w:val="0"/>
      <w:marTop w:val="0"/>
      <w:marBottom w:val="0"/>
      <w:divBdr>
        <w:top w:val="none" w:sz="0" w:space="0" w:color="auto"/>
        <w:left w:val="none" w:sz="0" w:space="0" w:color="auto"/>
        <w:bottom w:val="none" w:sz="0" w:space="0" w:color="auto"/>
        <w:right w:val="none" w:sz="0" w:space="0" w:color="auto"/>
      </w:divBdr>
    </w:div>
    <w:div w:id="1139883549">
      <w:bodyDiv w:val="1"/>
      <w:marLeft w:val="0"/>
      <w:marRight w:val="0"/>
      <w:marTop w:val="0"/>
      <w:marBottom w:val="0"/>
      <w:divBdr>
        <w:top w:val="none" w:sz="0" w:space="0" w:color="auto"/>
        <w:left w:val="none" w:sz="0" w:space="0" w:color="auto"/>
        <w:bottom w:val="none" w:sz="0" w:space="0" w:color="auto"/>
        <w:right w:val="none" w:sz="0" w:space="0" w:color="auto"/>
      </w:divBdr>
    </w:div>
    <w:div w:id="1444958616">
      <w:bodyDiv w:val="1"/>
      <w:marLeft w:val="0"/>
      <w:marRight w:val="0"/>
      <w:marTop w:val="0"/>
      <w:marBottom w:val="0"/>
      <w:divBdr>
        <w:top w:val="none" w:sz="0" w:space="0" w:color="auto"/>
        <w:left w:val="none" w:sz="0" w:space="0" w:color="auto"/>
        <w:bottom w:val="none" w:sz="0" w:space="0" w:color="auto"/>
        <w:right w:val="none" w:sz="0" w:space="0" w:color="auto"/>
      </w:divBdr>
    </w:div>
    <w:div w:id="1459689625">
      <w:bodyDiv w:val="1"/>
      <w:marLeft w:val="0"/>
      <w:marRight w:val="0"/>
      <w:marTop w:val="0"/>
      <w:marBottom w:val="0"/>
      <w:divBdr>
        <w:top w:val="none" w:sz="0" w:space="0" w:color="auto"/>
        <w:left w:val="none" w:sz="0" w:space="0" w:color="auto"/>
        <w:bottom w:val="none" w:sz="0" w:space="0" w:color="auto"/>
        <w:right w:val="none" w:sz="0" w:space="0" w:color="auto"/>
      </w:divBdr>
    </w:div>
    <w:div w:id="175874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F89B0-5776-4B5E-8721-1C3D2F4C6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3316</Words>
  <Characters>17610</Characters>
  <Application>Microsoft Office Word</Application>
  <DocSecurity>0</DocSecurity>
  <Lines>489</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Harrer</dc:creator>
  <cp:lastModifiedBy>Luke Collin</cp:lastModifiedBy>
  <cp:revision>3</cp:revision>
  <dcterms:created xsi:type="dcterms:W3CDTF">2025-11-11T22:30:00Z</dcterms:created>
  <dcterms:modified xsi:type="dcterms:W3CDTF">2025-11-11T22:33:00Z</dcterms:modified>
</cp:coreProperties>
</file>