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4B31F1" w:rsidP="00DD5969" w:rsidRDefault="004B31F1" w14:paraId="123E6CB8" w14:textId="77777777">
      <w:pPr>
        <w:spacing w:before="212"/>
        <w:rPr>
          <w:rFonts w:ascii="Arial" w:hAnsi="Arial" w:cs="Arial"/>
          <w:b/>
          <w:sz w:val="48"/>
          <w:szCs w:val="48"/>
        </w:rPr>
      </w:pPr>
    </w:p>
    <w:p w:rsidRPr="005175DB" w:rsidR="00DD5969" w:rsidP="166ABB76" w:rsidRDefault="004B31F1" w14:paraId="5B9AE89A" w14:textId="11D34D43">
      <w:pPr>
        <w:spacing w:before="212"/>
        <w:rPr>
          <w:rFonts w:ascii="Arial" w:hAnsi="Arial" w:cs="Arial"/>
          <w:sz w:val="48"/>
          <w:szCs w:val="48"/>
        </w:rPr>
      </w:pPr>
      <w:r w:rsidRPr="166ABB76">
        <w:rPr>
          <w:rFonts w:ascii="Arial" w:hAnsi="Arial" w:cs="Arial"/>
          <w:b/>
          <w:bCs/>
          <w:sz w:val="48"/>
          <w:szCs w:val="48"/>
        </w:rPr>
        <w:t>Module Name:</w:t>
      </w:r>
      <w:r w:rsidRPr="166ABB76" w:rsidR="7E45A39A">
        <w:rPr>
          <w:rFonts w:ascii="Arial" w:hAnsi="Arial" w:cs="Arial"/>
          <w:b/>
          <w:bCs/>
          <w:sz w:val="48"/>
          <w:szCs w:val="48"/>
        </w:rPr>
        <w:t xml:space="preserve"> </w:t>
      </w:r>
      <w:r w:rsidR="005175DB">
        <w:rPr>
          <w:rFonts w:ascii="Arial" w:hAnsi="Arial" w:cs="Arial"/>
          <w:sz w:val="48"/>
          <w:szCs w:val="48"/>
        </w:rPr>
        <w:t>Academic Skills in the Digital Era</w:t>
      </w:r>
    </w:p>
    <w:p w:rsidRPr="004B31F1" w:rsidR="00347EA1" w:rsidP="00DD5969" w:rsidRDefault="004B31F1" w14:paraId="5051A2D5" w14:textId="2FEC62F2">
      <w:pPr>
        <w:spacing w:before="212"/>
        <w:rPr>
          <w:rFonts w:ascii="Arial" w:hAnsi="Arial" w:cs="Arial"/>
          <w:b/>
          <w:bCs/>
          <w:sz w:val="48"/>
          <w:szCs w:val="48"/>
        </w:rPr>
      </w:pPr>
      <w:r w:rsidRPr="004B31F1">
        <w:rPr>
          <w:rFonts w:ascii="Arial" w:hAnsi="Arial" w:cs="Arial"/>
          <w:b/>
          <w:bCs/>
          <w:sz w:val="48"/>
          <w:szCs w:val="48"/>
        </w:rPr>
        <w:t xml:space="preserve">Module Code:  </w:t>
      </w:r>
      <w:r w:rsidRPr="005175DB" w:rsidR="005175DB">
        <w:rPr>
          <w:rFonts w:ascii="Arial" w:hAnsi="Arial" w:cs="Arial"/>
          <w:sz w:val="48"/>
          <w:szCs w:val="48"/>
        </w:rPr>
        <w:t>BMSW4013</w:t>
      </w:r>
    </w:p>
    <w:p w:rsidR="007B2315" w:rsidP="68A97992" w:rsidRDefault="004B31F1" w14:paraId="1F9B4BA3" w14:textId="7F3B4D9E">
      <w:pPr>
        <w:spacing w:before="212"/>
        <w:rPr>
          <w:rFonts w:ascii="Arial" w:hAnsi="Arial" w:cs="Arial"/>
          <w:b w:val="1"/>
          <w:bCs w:val="1"/>
          <w:sz w:val="48"/>
          <w:szCs w:val="48"/>
        </w:rPr>
      </w:pPr>
      <w:r w:rsidRPr="63E40EA1" w:rsidR="004B31F1">
        <w:rPr>
          <w:rFonts w:ascii="Arial" w:hAnsi="Arial" w:cs="Arial"/>
          <w:b w:val="1"/>
          <w:bCs w:val="1"/>
          <w:sz w:val="48"/>
          <w:szCs w:val="48"/>
        </w:rPr>
        <w:t>Assignment Name:</w:t>
      </w:r>
      <w:r w:rsidRPr="63E40EA1" w:rsidR="007B2315">
        <w:rPr>
          <w:rFonts w:ascii="Arial" w:hAnsi="Arial" w:cs="Arial"/>
          <w:b w:val="1"/>
          <w:bCs w:val="1"/>
          <w:sz w:val="48"/>
          <w:szCs w:val="48"/>
        </w:rPr>
        <w:t xml:space="preserve"> </w:t>
      </w:r>
      <w:r w:rsidRPr="63E40EA1" w:rsidR="36DE03E9">
        <w:rPr>
          <w:rFonts w:ascii="Arial" w:hAnsi="Arial" w:cs="Arial"/>
          <w:b w:val="1"/>
          <w:bCs w:val="1"/>
          <w:sz w:val="48"/>
          <w:szCs w:val="48"/>
        </w:rPr>
        <w:t>Reflection Essay</w:t>
      </w:r>
    </w:p>
    <w:p w:rsidRPr="004B31F1" w:rsidR="00DD5969" w:rsidP="63E40EA1" w:rsidRDefault="004B31F1" w14:paraId="0D16D138" w14:textId="3F62C823">
      <w:pPr>
        <w:spacing w:before="3"/>
        <w:rPr>
          <w:rFonts w:ascii="Arial" w:hAnsi="Arial" w:cs="Arial"/>
          <w:b w:val="1"/>
          <w:bCs w:val="1"/>
          <w:sz w:val="48"/>
          <w:szCs w:val="48"/>
        </w:rPr>
      </w:pPr>
      <w:r w:rsidRPr="63E40EA1" w:rsidR="004B31F1">
        <w:rPr>
          <w:rFonts w:ascii="Arial" w:hAnsi="Arial" w:cs="Arial"/>
          <w:b w:val="1"/>
          <w:bCs w:val="1"/>
          <w:sz w:val="48"/>
          <w:szCs w:val="48"/>
        </w:rPr>
        <w:t>Student Name:</w:t>
      </w:r>
      <w:r w:rsidRPr="63E40EA1" w:rsidR="476BE0A1">
        <w:rPr>
          <w:rFonts w:ascii="Arial" w:hAnsi="Arial" w:cs="Arial"/>
          <w:b w:val="1"/>
          <w:bCs w:val="1"/>
          <w:sz w:val="48"/>
          <w:szCs w:val="48"/>
        </w:rPr>
        <w:t xml:space="preserve"> Leighton Wall </w:t>
      </w:r>
    </w:p>
    <w:p w:rsidRPr="004B31F1" w:rsidR="00DD5969" w:rsidP="63E40EA1" w:rsidRDefault="004B31F1" w14:paraId="18107AFF" w14:textId="1691EBB8">
      <w:pPr>
        <w:pStyle w:val="Normal"/>
        <w:spacing w:before="3"/>
        <w:rPr>
          <w:rFonts w:ascii="Aptos" w:hAnsi="Aptos" w:eastAsia="Aptos" w:cs="Aptos"/>
          <w:noProof w:val="0"/>
          <w:color w:val="000000" w:themeColor="text1" w:themeTint="FF" w:themeShade="FF"/>
          <w:sz w:val="24"/>
          <w:szCs w:val="24"/>
          <w:lang w:val="en-GB"/>
        </w:rPr>
      </w:pPr>
      <w:r w:rsidRPr="63E40EA1" w:rsidR="004B31F1">
        <w:rPr>
          <w:rFonts w:ascii="Arial" w:hAnsi="Arial" w:cs="Arial"/>
          <w:b w:val="1"/>
          <w:bCs w:val="1"/>
          <w:sz w:val="48"/>
          <w:szCs w:val="48"/>
        </w:rPr>
        <w:t>Student Number:</w:t>
      </w:r>
      <w:r w:rsidRPr="63E40EA1" w:rsidR="272370FF">
        <w:rPr>
          <w:rFonts w:ascii="Arial" w:hAnsi="Arial" w:cs="Arial"/>
          <w:b w:val="1"/>
          <w:bCs w:val="1"/>
          <w:sz w:val="48"/>
          <w:szCs w:val="48"/>
        </w:rPr>
        <w:t xml:space="preserve"> 2431752</w:t>
      </w:r>
    </w:p>
    <w:p w:rsidRPr="004B31F1" w:rsidR="00DD5969" w:rsidP="63E40EA1" w:rsidRDefault="004B31F1" w14:paraId="4FD52B0A" w14:textId="11743245">
      <w:pPr>
        <w:rPr>
          <w:rFonts w:ascii="Arial" w:hAnsi="Arial" w:cs="Arial"/>
          <w:sz w:val="48"/>
          <w:szCs w:val="48"/>
        </w:rPr>
      </w:pPr>
      <w:r w:rsidRPr="63E40EA1" w:rsidR="004B31F1">
        <w:rPr>
          <w:rFonts w:ascii="Arial" w:hAnsi="Arial" w:cs="Arial"/>
          <w:b w:val="1"/>
          <w:bCs w:val="1"/>
          <w:sz w:val="48"/>
          <w:szCs w:val="48"/>
        </w:rPr>
        <w:t>Lecturer:</w:t>
      </w:r>
      <w:r w:rsidRPr="63E40EA1" w:rsidR="004A5959">
        <w:rPr>
          <w:rFonts w:ascii="Arial" w:hAnsi="Arial" w:cs="Arial"/>
          <w:b w:val="1"/>
          <w:bCs w:val="1"/>
          <w:sz w:val="48"/>
          <w:szCs w:val="48"/>
        </w:rPr>
        <w:t xml:space="preserve"> </w:t>
      </w:r>
      <w:r w:rsidRPr="63E40EA1" w:rsidR="51DB1BB3">
        <w:rPr>
          <w:rFonts w:ascii="Arial" w:hAnsi="Arial" w:cs="Arial"/>
          <w:b w:val="1"/>
          <w:bCs w:val="1"/>
          <w:sz w:val="48"/>
          <w:szCs w:val="48"/>
        </w:rPr>
        <w:t xml:space="preserve">Ffion Cumberland </w:t>
      </w:r>
      <w:r>
        <w:br/>
      </w:r>
      <w:r w:rsidRPr="63E40EA1" w:rsidR="004B31F1">
        <w:rPr>
          <w:rFonts w:ascii="Arial" w:hAnsi="Arial" w:cs="Arial"/>
          <w:b w:val="1"/>
          <w:bCs w:val="1"/>
          <w:sz w:val="48"/>
          <w:szCs w:val="48"/>
        </w:rPr>
        <w:t>Deadline:</w:t>
      </w:r>
      <w:r w:rsidRPr="63E40EA1" w:rsidR="004A5959">
        <w:rPr>
          <w:rFonts w:ascii="Arial" w:hAnsi="Arial" w:cs="Arial"/>
          <w:b w:val="1"/>
          <w:bCs w:val="1"/>
          <w:sz w:val="48"/>
          <w:szCs w:val="48"/>
        </w:rPr>
        <w:t xml:space="preserve"> </w:t>
      </w:r>
      <w:r w:rsidRPr="63E40EA1" w:rsidR="670467C9">
        <w:rPr>
          <w:rFonts w:ascii="Arial" w:hAnsi="Arial" w:cs="Arial"/>
          <w:b w:val="1"/>
          <w:bCs w:val="1"/>
          <w:sz w:val="48"/>
          <w:szCs w:val="48"/>
        </w:rPr>
        <w:t>Monday 8</w:t>
      </w:r>
      <w:r w:rsidRPr="63E40EA1" w:rsidR="670467C9">
        <w:rPr>
          <w:rFonts w:ascii="Arial" w:hAnsi="Arial" w:cs="Arial"/>
          <w:b w:val="1"/>
          <w:bCs w:val="1"/>
          <w:sz w:val="48"/>
          <w:szCs w:val="48"/>
          <w:vertAlign w:val="superscript"/>
        </w:rPr>
        <w:t>th</w:t>
      </w:r>
      <w:r w:rsidRPr="63E40EA1" w:rsidR="670467C9">
        <w:rPr>
          <w:rFonts w:ascii="Arial" w:hAnsi="Arial" w:cs="Arial"/>
          <w:b w:val="1"/>
          <w:bCs w:val="1"/>
          <w:sz w:val="48"/>
          <w:szCs w:val="48"/>
        </w:rPr>
        <w:t xml:space="preserve"> December 23:59</w:t>
      </w:r>
    </w:p>
    <w:p w:rsidR="63E40EA1" w:rsidP="63E40EA1" w:rsidRDefault="63E40EA1" w14:paraId="6340822F" w14:textId="3D25E1EF">
      <w:pPr>
        <w:rPr>
          <w:rFonts w:ascii="Arial" w:hAnsi="Arial" w:cs="Arial"/>
          <w:b w:val="1"/>
          <w:bCs w:val="1"/>
          <w:sz w:val="48"/>
          <w:szCs w:val="48"/>
        </w:rPr>
      </w:pPr>
    </w:p>
    <w:p w:rsidR="7D890E7A" w:rsidP="63E40EA1" w:rsidRDefault="7D890E7A" w14:paraId="310D1DD4" w14:textId="20A067D0">
      <w:pPr>
        <w:rPr>
          <w:rFonts w:ascii="Arial" w:hAnsi="Arial" w:cs="Arial"/>
          <w:b w:val="1"/>
          <w:bCs w:val="1"/>
          <w:sz w:val="32"/>
          <w:szCs w:val="32"/>
        </w:rPr>
      </w:pPr>
      <w:r w:rsidRPr="63E40EA1" w:rsidR="7D890E7A">
        <w:rPr>
          <w:rFonts w:ascii="Arial" w:hAnsi="Arial" w:cs="Arial"/>
          <w:b w:val="1"/>
          <w:bCs w:val="1"/>
          <w:sz w:val="32"/>
          <w:szCs w:val="32"/>
        </w:rPr>
        <w:t>Wordcount: 1500</w:t>
      </w:r>
    </w:p>
    <w:p w:rsidR="7D890E7A" w:rsidP="63E40EA1" w:rsidRDefault="7D890E7A" w14:paraId="2808C282" w14:textId="374481C9">
      <w:pPr>
        <w:rPr>
          <w:b w:val="1"/>
          <w:bCs w:val="1"/>
          <w:sz w:val="32"/>
          <w:szCs w:val="32"/>
        </w:rPr>
      </w:pPr>
      <w:r w:rsidRPr="63E40EA1" w:rsidR="7D890E7A">
        <w:rPr>
          <w:b w:val="1"/>
          <w:bCs w:val="1"/>
          <w:sz w:val="32"/>
          <w:szCs w:val="32"/>
        </w:rPr>
        <w:t xml:space="preserve">AI Acknowledgement  </w:t>
      </w:r>
    </w:p>
    <w:p w:rsidR="7D890E7A" w:rsidP="63E40EA1" w:rsidRDefault="7D890E7A" w14:paraId="6AC95E6E" w14:textId="647C79CB">
      <w:pPr>
        <w:rPr>
          <w:rFonts w:ascii="Arial" w:hAnsi="Arial" w:cs="Arial"/>
          <w:b w:val="1"/>
          <w:bCs w:val="1"/>
          <w:highlight w:val="yellow"/>
          <w:u w:val="single"/>
        </w:rPr>
      </w:pPr>
      <w:r w:rsidRPr="63E40EA1" w:rsidR="7D890E7A">
        <w:rPr>
          <w:rFonts w:ascii="Arial" w:hAnsi="Arial" w:cs="Arial"/>
          <w:b w:val="1"/>
          <w:bCs w:val="1"/>
          <w:highlight w:val="yellow"/>
          <w:u w:val="single"/>
        </w:rPr>
        <w:t>Examples of statements If you have not used AI</w:t>
      </w:r>
    </w:p>
    <w:p w:rsidR="7D890E7A" w:rsidP="63E40EA1" w:rsidRDefault="7D890E7A" w14:paraId="0AFE8553" w14:textId="6F6F237C">
      <w:pPr>
        <w:rPr>
          <w:rFonts w:ascii="Arial" w:hAnsi="Arial" w:cs="Arial"/>
        </w:rPr>
      </w:pPr>
      <w:r w:rsidRPr="63E40EA1" w:rsidR="7D890E7A">
        <w:rPr>
          <w:rFonts w:ascii="Arial" w:hAnsi="Arial" w:cs="Arial"/>
        </w:rPr>
        <w:t xml:space="preserve">I confirm that I have not presented any AI generated materials as my own work. </w:t>
      </w:r>
    </w:p>
    <w:p w:rsidR="7D890E7A" w:rsidP="63E40EA1" w:rsidRDefault="7D890E7A" w14:paraId="45508430" w14:textId="67A7023D">
      <w:pPr>
        <w:rPr>
          <w:rFonts w:ascii="Arial" w:hAnsi="Arial" w:cs="Arial"/>
        </w:rPr>
      </w:pPr>
      <w:r w:rsidRPr="63E40EA1" w:rsidR="7D890E7A">
        <w:rPr>
          <w:rFonts w:ascii="Arial" w:hAnsi="Arial" w:cs="Arial"/>
        </w:rPr>
        <w:t>I confirm that I have copies of my drafts, notes, and other resources I used, which I may be asked to provide in evidence.</w:t>
      </w:r>
    </w:p>
    <w:p w:rsidR="0538C0E1" w:rsidP="63E40EA1" w:rsidRDefault="0538C0E1" w14:paraId="62087694" w14:textId="36DED4E8">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Academic and digital skills are essential for undergraduate students in today’s higher education environment, as they support effective learning, communication, and professional development. Skills such as academic writing, referencing, presentation skills, and digital research are fundamental for academic success and future employability (Cotrell,2019; JISC,2022). Universities increasingly expect students to work independently, evaluate academic sources critically, and present information clearly using appropriate digital tools. Developing these skills early in university study is therefore crucial for successful academic progression and long-term career development. early in academic study is crucial for successful progression throughout a degree programme. </w:t>
      </w:r>
    </w:p>
    <w:p w:rsidR="0538C0E1" w:rsidP="63E40EA1" w:rsidRDefault="0538C0E1" w14:paraId="7944D195" w14:textId="7F0679E3">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The purpose of this reflective essay is to evaluate my academic and digital skills development during the first ten weeks of my undergraduate course. The reflection focuses specifically on presentation skills, academic writing, and referencing, which I found particularly challenging. Gibbs’ Reflective Cycle (1968) is used as a framework to structure this reflection, allowing consideration of my experiences, feelings, evaluation, analysis, and future action planning. This reflection will identify what went well, the challenges I faced, and how I plan to continue improving these essential skills.</w:t>
      </w:r>
    </w:p>
    <w:p w:rsidR="63E40EA1" w:rsidP="63E40EA1" w:rsidRDefault="63E40EA1" w14:paraId="0F0B033D" w14:textId="3830E7CC">
      <w:pPr>
        <w:rPr>
          <w:rFonts w:ascii="Arial" w:hAnsi="Arial" w:cs="Arial"/>
        </w:rPr>
      </w:pPr>
    </w:p>
    <w:p w:rsidR="0538C0E1" w:rsidP="63E40EA1" w:rsidRDefault="0538C0E1" w14:paraId="0BBA1F81" w14:textId="5BD29473">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Description </w:t>
      </w:r>
    </w:p>
    <w:p w:rsidR="0538C0E1" w:rsidP="63E40EA1" w:rsidRDefault="0538C0E1" w14:paraId="2423C045" w14:textId="360BB135">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Over the past ten weeks, I have developed several academic and digital skills through lectures, workshops, and assessment activities. The three skills I struggled with most were presentation skills, academic writing, and referencing. </w:t>
      </w:r>
    </w:p>
    <w:p w:rsidR="0538C0E1" w:rsidP="63E40EA1" w:rsidRDefault="0538C0E1" w14:paraId="6B7826D1" w14:textId="258E0761">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In week three, I attended an academic skills workshop focused on Havard referencing. During this session, the tutor demonstrated how to use in-text citations correctly and how to compile a reference list. We were given a task to find three resources in relation to the question “What are the challenges and opportunities for students in the digital era, and how can they adapt to succeed?”</w:t>
      </w:r>
    </w:p>
    <w:p w:rsidR="63E40EA1" w:rsidP="63E40EA1" w:rsidRDefault="63E40EA1" w14:paraId="4ED6086F" w14:textId="482DECAE">
      <w:pPr>
        <w:spacing w:before="240" w:beforeAutospacing="off" w:after="240" w:afterAutospacing="off"/>
        <w:rPr>
          <w:rFonts w:ascii="Aptos" w:hAnsi="Aptos" w:eastAsia="Aptos" w:cs="Aptos"/>
          <w:noProof w:val="0"/>
          <w:color w:val="000000" w:themeColor="text1" w:themeTint="FF" w:themeShade="FF"/>
          <w:sz w:val="24"/>
          <w:szCs w:val="24"/>
          <w:lang w:val="en-GB"/>
        </w:rPr>
      </w:pPr>
    </w:p>
    <w:p w:rsidR="0538C0E1" w:rsidP="63E40EA1" w:rsidRDefault="0538C0E1" w14:paraId="480FD71F" w14:textId="05C38558">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I found this task challenging because I struggled to understand how to format in-text citations correctly and how to organise </w:t>
      </w:r>
      <w:r w:rsidRPr="63E40EA1" w:rsidR="7DDBB682">
        <w:rPr>
          <w:rFonts w:ascii="Aptos" w:hAnsi="Aptos" w:eastAsia="Aptos" w:cs="Aptos"/>
          <w:noProof w:val="0"/>
          <w:color w:val="000000" w:themeColor="text1" w:themeTint="FF" w:themeShade="FF"/>
          <w:sz w:val="24"/>
          <w:szCs w:val="24"/>
          <w:lang w:val="en-GB"/>
        </w:rPr>
        <w:t>t</w:t>
      </w:r>
      <w:r w:rsidRPr="63E40EA1" w:rsidR="0538C0E1">
        <w:rPr>
          <w:rFonts w:ascii="Aptos" w:hAnsi="Aptos" w:eastAsia="Aptos" w:cs="Aptos"/>
          <w:noProof w:val="0"/>
          <w:color w:val="000000" w:themeColor="text1" w:themeTint="FF" w:themeShade="FF"/>
          <w:sz w:val="24"/>
          <w:szCs w:val="24"/>
          <w:lang w:val="en-GB"/>
        </w:rPr>
        <w:t xml:space="preserve">he reference list alphabetically. Despite the difficulty, this activity introduced me to academic conventions and highlighted the importance of correct referencing. </w:t>
      </w:r>
    </w:p>
    <w:p w:rsidR="0538C0E1" w:rsidP="63E40EA1" w:rsidRDefault="0538C0E1" w14:paraId="36B6DBD1" w14:textId="17F34DE4">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Another significant experience was the presentation task, which involved creating a PowerPoint presentation. This included a mock presentation and a final assessed presentation, requiring independent research, slide design, and verbal delivery. Due to poor planning, I missed the mock presentation, which reduced my opportunity to practice and receive feedback. This negatively affected my confidence during the final presentation. </w:t>
      </w:r>
    </w:p>
    <w:p w:rsidR="0538C0E1" w:rsidP="63E40EA1" w:rsidRDefault="0538C0E1" w14:paraId="08170BAA" w14:textId="590B076A">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My academic writing skills also developed through weekly written activities and feedback. I learned how to structure paragraphs logically, write in an academic tone, and support arguments with evidence. These experiences helped me understand the difference between academic writing at university level and previous educational writing styles</w:t>
      </w:r>
    </w:p>
    <w:p w:rsidR="63E40EA1" w:rsidP="63E40EA1" w:rsidRDefault="63E40EA1" w14:paraId="07B8163F" w14:textId="7AB8C5D5">
      <w:pPr>
        <w:rPr>
          <w:rFonts w:ascii="Arial" w:hAnsi="Arial" w:cs="Arial"/>
        </w:rPr>
      </w:pPr>
    </w:p>
    <w:p w:rsidR="0538C0E1" w:rsidP="63E40EA1" w:rsidRDefault="0538C0E1" w14:paraId="73701EA4" w14:textId="102A7E5C">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Feelings </w:t>
      </w:r>
    </w:p>
    <w:p w:rsidR="0538C0E1" w:rsidP="63E40EA1" w:rsidRDefault="0538C0E1" w14:paraId="39A28AFF" w14:textId="11263BFA">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Before the presentation and referencing workshops, I felt stressed and anxious. I was worried about making mistakes and lacked confidence in my academic abilities. Using the Feelings Wheel, these emotions were associated with fear and uncertainty. However, I also felt determined, as I understood that these skills were necessary for my academic success. </w:t>
      </w:r>
    </w:p>
    <w:p w:rsidR="0538C0E1" w:rsidP="63E40EA1" w:rsidRDefault="0538C0E1" w14:paraId="0DD12A12" w14:textId="1B57DE3D">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During the presentation and referencing tasks, I felt nervous, exposed, and vulnerable, particularly during my final presentation. Speaking in front of peers made me feel uncomfortable, and I worried about being judged. At the same time, I felt curious and optimistic as I began learning how to use digital tools such as PowerPoint and online referencing guides. </w:t>
      </w:r>
    </w:p>
    <w:p w:rsidR="0538C0E1" w:rsidP="63E40EA1" w:rsidRDefault="0538C0E1" w14:paraId="4DD12802" w14:textId="2C313F26">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After completing the tasks, my emotions changed significantly. I felt happy, proud, free, successful. Although the process was challenging, completing my first university level presentation and improving my understanding of referencing increased my confidence. Cottrell (2019) suggests that many undergraduate students experience anxiety during their first presentations, which helped me realise that my feelings were normal and part of academic learning.</w:t>
      </w:r>
    </w:p>
    <w:p w:rsidR="63E40EA1" w:rsidP="63E40EA1" w:rsidRDefault="63E40EA1" w14:paraId="2500CF29" w14:textId="6AFE241F">
      <w:pPr>
        <w:rPr>
          <w:rFonts w:ascii="Arial" w:hAnsi="Arial" w:cs="Arial"/>
        </w:rPr>
      </w:pPr>
    </w:p>
    <w:p w:rsidR="0538C0E1" w:rsidP="63E40EA1" w:rsidRDefault="0538C0E1" w14:paraId="1846F7C4" w14:textId="31999B42">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Evaluation</w:t>
      </w:r>
    </w:p>
    <w:p w:rsidR="0538C0E1" w:rsidP="63E40EA1" w:rsidRDefault="0538C0E1" w14:paraId="18EC2DEC" w14:textId="150B44E8">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Several aspects of my academic and digital skill development went well. A key positive factor was active engagement in lectures and workshops. Attending sessions helped clarify expectations and improved my understanding of academic standards. The referencing workshop was particularly beneficial, as it introduced a clear structure that supported my learning. </w:t>
      </w:r>
    </w:p>
    <w:p w:rsidR="0538C0E1" w:rsidP="63E40EA1" w:rsidRDefault="0538C0E1" w14:paraId="3EBD8B47" w14:textId="2777E454">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Study groups also contributed positively to my development. Discussing assignments with peers allowed me to share ideas, clarify difficult concepts, and build confidence. Using the module handbook helped me understand assessment requirements more clearly, reducing uncertainty. </w:t>
      </w:r>
    </w:p>
    <w:p w:rsidR="0538C0E1" w:rsidP="63E40EA1" w:rsidRDefault="0538C0E1" w14:paraId="1A4C9BA6" w14:textId="1239E69C">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Conducting research using academic databases improved my digital literacy and enabled access to credible sources rather than unreliable websites. However, not everything went well. I missed some lectures, which affected my understanding of tasks. I also left work until the last minute, increasing stress and limiting preparation time. </w:t>
      </w:r>
    </w:p>
    <w:p w:rsidR="0538C0E1" w:rsidP="63E40EA1" w:rsidRDefault="0538C0E1" w14:paraId="68C80BCE" w14:textId="60BC03AE">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I failed to submit drafts for feedback, reducing opportunities to improve. Missing the mock presentation was a significant disadvantage, as it limited practice and confidence. At times, I did not fully understand referencing expectations and avoided asking for help, highlighting weaknesses in time management and confidence.</w:t>
      </w:r>
    </w:p>
    <w:p w:rsidR="63E40EA1" w:rsidP="63E40EA1" w:rsidRDefault="63E40EA1" w14:paraId="102F8DF3" w14:textId="1D011138">
      <w:pPr>
        <w:rPr>
          <w:rFonts w:ascii="Arial" w:hAnsi="Arial" w:cs="Arial"/>
        </w:rPr>
      </w:pPr>
    </w:p>
    <w:p w:rsidR="0538C0E1" w:rsidP="63E40EA1" w:rsidRDefault="0538C0E1" w14:paraId="1D04939B" w14:textId="4D6E8F5E">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Analysis</w:t>
      </w:r>
    </w:p>
    <w:p w:rsidR="0538C0E1" w:rsidP="63E40EA1" w:rsidRDefault="0538C0E1" w14:paraId="1E228F42" w14:textId="4DD045DF">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The successes experienced were largely due to effective engagement and study strategies. Attending lectures and participating in workshops provided direct guidance from tutors, supporting understanding. Biggs and Tang (2011) highlight that active engagement significantly improves learning outcomes, which reflects my experience. </w:t>
      </w:r>
    </w:p>
    <w:p w:rsidR="0538C0E1" w:rsidP="63E40EA1" w:rsidRDefault="0538C0E1" w14:paraId="2DCC38AA" w14:textId="24671278">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Study groups enhanced learning through discussion and peer support, while consistent research practice improved academic writing quality. Repeated use of digital tools increased confidence, supporting JISC (2022), which states that digital capability develops through continuous practice and reflection. </w:t>
      </w:r>
    </w:p>
    <w:p w:rsidR="0538C0E1" w:rsidP="63E40EA1" w:rsidRDefault="0538C0E1" w14:paraId="2B01CE7F" w14:textId="10983E00">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Challenges primarily resulted from poor time management and prioritisation. I underestimated how long tasks would take and focused on less important activities. Covey (2004) explains that effective time management involves prioritising important tasks, which I failed to do consistently. </w:t>
      </w:r>
    </w:p>
    <w:p w:rsidR="0538C0E1" w:rsidP="63E40EA1" w:rsidRDefault="0538C0E1" w14:paraId="0B8968AA" w14:textId="6BFBFA36">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Attendance also affected my learning, as missing lectures meant missing instructions. My reluctance to ask for support was influenced by fear of judgment and lack of confidence. According to Gibbs (1968), reflection supports awareness of behaviours that hinder learning. Presentation anxiety also impacted my confidence; however, Lucas (2015) suggests that repeated exposure improves public speaking skills, meaning this challenge contributed positively to long term development. </w:t>
      </w:r>
    </w:p>
    <w:p w:rsidR="0538C0E1" w:rsidP="63E40EA1" w:rsidRDefault="0538C0E1" w14:paraId="6A53E7EB" w14:textId="6DCD646A">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Attendance also affected my learning, as missing lectures meant missing instructions. My reluctance to ask for support was influenced by fear of judgement and lack of confidence. According to Gibbs (1968), reflection supports awareness of behaviours that hinder learning. Presentation anxiety also </w:t>
      </w:r>
      <w:r w:rsidRPr="63E40EA1" w:rsidR="0538C0E1">
        <w:rPr>
          <w:rFonts w:ascii="Aptos" w:hAnsi="Aptos" w:eastAsia="Aptos" w:cs="Aptos"/>
          <w:noProof w:val="0"/>
          <w:color w:val="000000" w:themeColor="text1" w:themeTint="FF" w:themeShade="FF"/>
          <w:sz w:val="24"/>
          <w:szCs w:val="24"/>
          <w:lang w:val="en-GB"/>
        </w:rPr>
        <w:t>impacted</w:t>
      </w:r>
      <w:r w:rsidRPr="63E40EA1" w:rsidR="0538C0E1">
        <w:rPr>
          <w:rFonts w:ascii="Aptos" w:hAnsi="Aptos" w:eastAsia="Aptos" w:cs="Aptos"/>
          <w:noProof w:val="0"/>
          <w:color w:val="000000" w:themeColor="text1" w:themeTint="FF" w:themeShade="FF"/>
          <w:sz w:val="24"/>
          <w:szCs w:val="24"/>
          <w:lang w:val="en-GB"/>
        </w:rPr>
        <w:t xml:space="preserve"> my confidence; however, Lucas (2015) suggests that repeated exposure improves public speaking skills, meaning this challenge contributed positively to long-term development.</w:t>
      </w:r>
    </w:p>
    <w:p w:rsidR="63E40EA1" w:rsidP="63E40EA1" w:rsidRDefault="63E40EA1" w14:paraId="5DB6002D" w14:textId="27E5C2B6">
      <w:pPr>
        <w:pStyle w:val="Normal"/>
        <w:rPr>
          <w:rFonts w:ascii="Aptos" w:hAnsi="Aptos" w:eastAsia="Aptos" w:cs="Aptos"/>
          <w:noProof w:val="0"/>
          <w:color w:val="000000" w:themeColor="text1" w:themeTint="FF" w:themeShade="FF"/>
          <w:sz w:val="24"/>
          <w:szCs w:val="24"/>
          <w:lang w:val="en-GB"/>
        </w:rPr>
      </w:pPr>
    </w:p>
    <w:p w:rsidR="0538C0E1" w:rsidP="63E40EA1" w:rsidRDefault="0538C0E1" w14:paraId="57DF82E5" w14:textId="674277BE">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Summary</w:t>
      </w:r>
    </w:p>
    <w:p w:rsidR="0538C0E1" w:rsidP="63E40EA1" w:rsidRDefault="0538C0E1" w14:paraId="4CB6DC87" w14:textId="57A43FFA">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This reflection </w:t>
      </w:r>
      <w:r w:rsidRPr="63E40EA1" w:rsidR="0538C0E1">
        <w:rPr>
          <w:rFonts w:ascii="Aptos" w:hAnsi="Aptos" w:eastAsia="Aptos" w:cs="Aptos"/>
          <w:noProof w:val="0"/>
          <w:color w:val="000000" w:themeColor="text1" w:themeTint="FF" w:themeShade="FF"/>
          <w:sz w:val="24"/>
          <w:szCs w:val="24"/>
          <w:lang w:val="en-GB"/>
        </w:rPr>
        <w:t>identified</w:t>
      </w:r>
      <w:r w:rsidRPr="63E40EA1" w:rsidR="0538C0E1">
        <w:rPr>
          <w:rFonts w:ascii="Aptos" w:hAnsi="Aptos" w:eastAsia="Aptos" w:cs="Aptos"/>
          <w:noProof w:val="0"/>
          <w:color w:val="000000" w:themeColor="text1" w:themeTint="FF" w:themeShade="FF"/>
          <w:sz w:val="24"/>
          <w:szCs w:val="24"/>
          <w:lang w:val="en-GB"/>
        </w:rPr>
        <w:t xml:space="preserve"> key learning points. Presentation skills improved through experience, though confidence requires further development. Referencing skills strengthened through workshops but require </w:t>
      </w:r>
      <w:r w:rsidRPr="63E40EA1" w:rsidR="56EB8D54">
        <w:rPr>
          <w:rFonts w:ascii="Aptos" w:hAnsi="Aptos" w:eastAsia="Aptos" w:cs="Aptos"/>
          <w:noProof w:val="0"/>
          <w:color w:val="000000" w:themeColor="text1" w:themeTint="FF" w:themeShade="FF"/>
          <w:sz w:val="24"/>
          <w:szCs w:val="24"/>
          <w:lang w:val="en-GB"/>
        </w:rPr>
        <w:t>continued practice</w:t>
      </w:r>
      <w:r w:rsidRPr="63E40EA1" w:rsidR="0538C0E1">
        <w:rPr>
          <w:rFonts w:ascii="Aptos" w:hAnsi="Aptos" w:eastAsia="Aptos" w:cs="Aptos"/>
          <w:noProof w:val="0"/>
          <w:color w:val="000000" w:themeColor="text1" w:themeTint="FF" w:themeShade="FF"/>
          <w:sz w:val="24"/>
          <w:szCs w:val="24"/>
          <w:lang w:val="en-GB"/>
        </w:rPr>
        <w:t xml:space="preserve">. Poor time management and missed attendance negatively affected performance, while engagement, study groups, and digital research supported development. </w:t>
      </w:r>
    </w:p>
    <w:p w:rsidR="0538C0E1" w:rsidP="63E40EA1" w:rsidRDefault="0538C0E1" w14:paraId="6944C107" w14:textId="7907C11C">
      <w:pPr>
        <w:pStyle w:val="Normal"/>
      </w:pPr>
      <w:r w:rsidRPr="63E40EA1" w:rsidR="0538C0E1">
        <w:rPr>
          <w:rFonts w:ascii="Aptos" w:hAnsi="Aptos" w:eastAsia="Aptos" w:cs="Aptos"/>
          <w:noProof w:val="0"/>
          <w:color w:val="000000" w:themeColor="text1" w:themeTint="FF" w:themeShade="FF"/>
          <w:sz w:val="24"/>
          <w:szCs w:val="24"/>
          <w:lang w:val="en-GB"/>
        </w:rPr>
        <w:t>management and missed attendance negatively affected performance, while engagement, study groups, and digital research supported development.</w:t>
      </w:r>
    </w:p>
    <w:p w:rsidR="63E40EA1" w:rsidP="63E40EA1" w:rsidRDefault="63E40EA1" w14:paraId="71BF6A3A" w14:textId="090E5166">
      <w:pPr>
        <w:pStyle w:val="Normal"/>
        <w:rPr>
          <w:rFonts w:ascii="Aptos" w:hAnsi="Aptos" w:eastAsia="Aptos" w:cs="Aptos"/>
          <w:noProof w:val="0"/>
          <w:color w:val="000000" w:themeColor="text1" w:themeTint="FF" w:themeShade="FF"/>
          <w:sz w:val="24"/>
          <w:szCs w:val="24"/>
          <w:lang w:val="en-GB"/>
        </w:rPr>
      </w:pPr>
    </w:p>
    <w:p w:rsidR="0538C0E1" w:rsidP="63E40EA1" w:rsidRDefault="0538C0E1" w14:paraId="0B52E479" w14:textId="10A4A04E">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Conclusion </w:t>
      </w:r>
    </w:p>
    <w:p w:rsidR="0538C0E1" w:rsidP="63E40EA1" w:rsidRDefault="0538C0E1" w14:paraId="770DA337" w14:textId="20325215">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In conclusion, during my first term at university, I developed essential academic and digital skills, particularly referencing and academic writing, which I previously understood only at a basic level. Presentation skills were the most challenging but provided valuable confidence development. Reflection allowed identification of strengths, such as determination, and weaknesses, including time management and support seeking. I recognise that greater preparation, practice, and engagement would have improved outcomes. Nevertheless, the progress achieved demonstrates my ability to grow and adapt. These skills are essential for continued academic success and future professional development.</w:t>
      </w:r>
    </w:p>
    <w:p w:rsidR="63E40EA1" w:rsidP="63E40EA1" w:rsidRDefault="63E40EA1" w14:paraId="366D9157" w14:textId="2BEFB1D3">
      <w:pPr>
        <w:pStyle w:val="Normal"/>
        <w:rPr>
          <w:rFonts w:ascii="Aptos" w:hAnsi="Aptos" w:eastAsia="Aptos" w:cs="Aptos"/>
          <w:noProof w:val="0"/>
          <w:color w:val="000000" w:themeColor="text1" w:themeTint="FF" w:themeShade="FF"/>
          <w:sz w:val="24"/>
          <w:szCs w:val="24"/>
          <w:lang w:val="en-GB"/>
        </w:rPr>
      </w:pPr>
    </w:p>
    <w:p w:rsidR="0538C0E1" w:rsidP="63E40EA1" w:rsidRDefault="0538C0E1" w14:paraId="4C47364E" w14:textId="6CCEA877">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Action Plan</w:t>
      </w:r>
    </w:p>
    <w:p w:rsidR="0538C0E1" w:rsidP="63E40EA1" w:rsidRDefault="0538C0E1" w14:paraId="756924DC" w14:textId="420436FC">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In the short term, I aim to improve my PowerPoint and presentation skills. I will enhance slide design and delivery confidence, measuring progress through lecturer feedback. This is achievable through regular practice and support and relevant to future assessments. </w:t>
      </w:r>
    </w:p>
    <w:p w:rsidR="0538C0E1" w:rsidP="63E40EA1" w:rsidRDefault="0538C0E1" w14:paraId="501EF43C" w14:textId="6563D70C">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I aim to confidently deliver a presentation by the end of term three. I will also improve academic writing and referencing by attending workshops and submitting drafts. Time management will improve through weekly study schedules using the Pomodoro technique. </w:t>
      </w:r>
    </w:p>
    <w:p w:rsidR="0538C0E1" w:rsidP="63E40EA1" w:rsidRDefault="0538C0E1" w14:paraId="7A24B2AA" w14:textId="799CB722">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Long-term, I aim to achieve a distinction-level degree and speak confidently in front of forty people by the end of my studies.</w:t>
      </w:r>
    </w:p>
    <w:p w:rsidR="63E40EA1" w:rsidP="63E40EA1" w:rsidRDefault="63E40EA1" w14:paraId="0777A6EA" w14:textId="3C46A344">
      <w:pPr>
        <w:spacing w:before="240" w:beforeAutospacing="off" w:after="240" w:afterAutospacing="off"/>
        <w:rPr>
          <w:rFonts w:ascii="Aptos" w:hAnsi="Aptos" w:eastAsia="Aptos" w:cs="Aptos"/>
          <w:noProof w:val="0"/>
          <w:color w:val="000000" w:themeColor="text1" w:themeTint="FF" w:themeShade="FF"/>
          <w:sz w:val="24"/>
          <w:szCs w:val="24"/>
          <w:lang w:val="en-GB"/>
        </w:rPr>
      </w:pPr>
    </w:p>
    <w:p w:rsidR="63E40EA1" w:rsidP="63E40EA1" w:rsidRDefault="63E40EA1" w14:paraId="666D619C" w14:textId="5CDBB390">
      <w:pPr>
        <w:spacing w:before="240" w:beforeAutospacing="off" w:after="240" w:afterAutospacing="off"/>
        <w:ind w:left="0"/>
        <w:rPr>
          <w:rFonts w:ascii="Aptos" w:hAnsi="Aptos" w:eastAsia="Aptos" w:cs="Aptos"/>
          <w:noProof w:val="0"/>
          <w:color w:val="000000" w:themeColor="text1" w:themeTint="FF" w:themeShade="FF"/>
          <w:sz w:val="24"/>
          <w:szCs w:val="24"/>
          <w:lang w:val="en-GB"/>
        </w:rPr>
      </w:pPr>
    </w:p>
    <w:p w:rsidR="0538C0E1" w:rsidP="63E40EA1" w:rsidRDefault="0538C0E1" w14:paraId="49445199" w14:textId="7BD419B2">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References </w:t>
      </w:r>
    </w:p>
    <w:p w:rsidR="0538C0E1" w:rsidP="63E40EA1" w:rsidRDefault="0538C0E1" w14:paraId="5088498A" w14:textId="79D381CC">
      <w:pPr>
        <w:spacing w:before="240" w:beforeAutospacing="off" w:after="240" w:afterAutospacing="off"/>
        <w:rPr>
          <w:rFonts w:ascii="Aptos" w:hAnsi="Aptos" w:eastAsia="Aptos" w:cs="Aptos"/>
          <w:noProof w:val="0"/>
          <w:color w:val="000000" w:themeColor="text1" w:themeTint="FF" w:themeShade="FF"/>
          <w:sz w:val="24"/>
          <w:szCs w:val="24"/>
          <w:lang w:val="en-GB"/>
        </w:rPr>
      </w:pPr>
      <w:r w:rsidRPr="63E40EA1" w:rsidR="0538C0E1">
        <w:rPr>
          <w:rFonts w:ascii="Aptos" w:hAnsi="Aptos" w:eastAsia="Aptos" w:cs="Aptos"/>
          <w:noProof w:val="0"/>
          <w:color w:val="000000" w:themeColor="text1" w:themeTint="FF" w:themeShade="FF"/>
          <w:sz w:val="24"/>
          <w:szCs w:val="24"/>
          <w:lang w:val="en-GB"/>
        </w:rPr>
        <w:t xml:space="preserve">Biggs, J. and Tang, C. (2011). </w:t>
      </w:r>
      <w:r w:rsidRPr="63E40EA1" w:rsidR="0538C0E1">
        <w:rPr>
          <w:rFonts w:ascii="Aptos" w:hAnsi="Aptos" w:eastAsia="Aptos" w:cs="Aptos"/>
          <w:i w:val="1"/>
          <w:iCs w:val="1"/>
          <w:noProof w:val="0"/>
          <w:color w:val="000000" w:themeColor="text1" w:themeTint="FF" w:themeShade="FF"/>
          <w:sz w:val="24"/>
          <w:szCs w:val="24"/>
          <w:lang w:val="en-GB"/>
        </w:rPr>
        <w:t>Teaching for Quality Learning at University</w:t>
      </w:r>
      <w:r w:rsidRPr="63E40EA1" w:rsidR="0538C0E1">
        <w:rPr>
          <w:rFonts w:ascii="Aptos" w:hAnsi="Aptos" w:eastAsia="Aptos" w:cs="Aptos"/>
          <w:noProof w:val="0"/>
          <w:color w:val="000000" w:themeColor="text1" w:themeTint="FF" w:themeShade="FF"/>
          <w:sz w:val="24"/>
          <w:szCs w:val="24"/>
          <w:lang w:val="en-GB"/>
        </w:rPr>
        <w:t>. 4th ed. Maidenhead: Open University Press.</w:t>
      </w:r>
      <w:r>
        <w:br/>
      </w:r>
      <w:r w:rsidRPr="63E40EA1" w:rsidR="0538C0E1">
        <w:rPr>
          <w:rFonts w:ascii="Aptos" w:hAnsi="Aptos" w:eastAsia="Aptos" w:cs="Aptos"/>
          <w:noProof w:val="0"/>
          <w:color w:val="000000" w:themeColor="text1" w:themeTint="FF" w:themeShade="FF"/>
          <w:sz w:val="24"/>
          <w:szCs w:val="24"/>
          <w:lang w:val="en-GB"/>
        </w:rPr>
        <w:t xml:space="preserve">Cottrell, S. (2019). </w:t>
      </w:r>
      <w:r w:rsidRPr="63E40EA1" w:rsidR="0538C0E1">
        <w:rPr>
          <w:rFonts w:ascii="Aptos" w:hAnsi="Aptos" w:eastAsia="Aptos" w:cs="Aptos"/>
          <w:i w:val="1"/>
          <w:iCs w:val="1"/>
          <w:noProof w:val="0"/>
          <w:color w:val="000000" w:themeColor="text1" w:themeTint="FF" w:themeShade="FF"/>
          <w:sz w:val="24"/>
          <w:szCs w:val="24"/>
          <w:lang w:val="en-GB"/>
        </w:rPr>
        <w:t>The Study Skills Handbook</w:t>
      </w:r>
      <w:r w:rsidRPr="63E40EA1" w:rsidR="0538C0E1">
        <w:rPr>
          <w:rFonts w:ascii="Aptos" w:hAnsi="Aptos" w:eastAsia="Aptos" w:cs="Aptos"/>
          <w:noProof w:val="0"/>
          <w:color w:val="000000" w:themeColor="text1" w:themeTint="FF" w:themeShade="FF"/>
          <w:sz w:val="24"/>
          <w:szCs w:val="24"/>
          <w:lang w:val="en-GB"/>
        </w:rPr>
        <w:t>. 5th ed. London: Palgrave.</w:t>
      </w:r>
      <w:r>
        <w:br/>
      </w:r>
      <w:r w:rsidRPr="63E40EA1" w:rsidR="0538C0E1">
        <w:rPr>
          <w:rFonts w:ascii="Aptos" w:hAnsi="Aptos" w:eastAsia="Aptos" w:cs="Aptos"/>
          <w:noProof w:val="0"/>
          <w:color w:val="000000" w:themeColor="text1" w:themeTint="FF" w:themeShade="FF"/>
          <w:sz w:val="24"/>
          <w:szCs w:val="24"/>
          <w:lang w:val="en-GB"/>
        </w:rPr>
        <w:t xml:space="preserve">Covey, S. R. (2004). </w:t>
      </w:r>
      <w:r w:rsidRPr="63E40EA1" w:rsidR="0538C0E1">
        <w:rPr>
          <w:rFonts w:ascii="Aptos" w:hAnsi="Aptos" w:eastAsia="Aptos" w:cs="Aptos"/>
          <w:i w:val="1"/>
          <w:iCs w:val="1"/>
          <w:noProof w:val="0"/>
          <w:color w:val="000000" w:themeColor="text1" w:themeTint="FF" w:themeShade="FF"/>
          <w:sz w:val="24"/>
          <w:szCs w:val="24"/>
          <w:lang w:val="en-GB"/>
        </w:rPr>
        <w:t>The 7 Habits of Highly Effective People</w:t>
      </w:r>
      <w:r w:rsidRPr="63E40EA1" w:rsidR="0538C0E1">
        <w:rPr>
          <w:rFonts w:ascii="Aptos" w:hAnsi="Aptos" w:eastAsia="Aptos" w:cs="Aptos"/>
          <w:noProof w:val="0"/>
          <w:color w:val="000000" w:themeColor="text1" w:themeTint="FF" w:themeShade="FF"/>
          <w:sz w:val="24"/>
          <w:szCs w:val="24"/>
          <w:lang w:val="en-GB"/>
        </w:rPr>
        <w:t>. London: Simon &amp; Schuster.</w:t>
      </w:r>
      <w:r>
        <w:br/>
      </w:r>
      <w:r w:rsidRPr="63E40EA1" w:rsidR="0538C0E1">
        <w:rPr>
          <w:rFonts w:ascii="Aptos" w:hAnsi="Aptos" w:eastAsia="Aptos" w:cs="Aptos"/>
          <w:noProof w:val="0"/>
          <w:color w:val="000000" w:themeColor="text1" w:themeTint="FF" w:themeShade="FF"/>
          <w:sz w:val="24"/>
          <w:szCs w:val="24"/>
          <w:lang w:val="en-GB"/>
        </w:rPr>
        <w:t xml:space="preserve">Gibbs, G. (1968). </w:t>
      </w:r>
      <w:r w:rsidRPr="63E40EA1" w:rsidR="0538C0E1">
        <w:rPr>
          <w:rFonts w:ascii="Aptos" w:hAnsi="Aptos" w:eastAsia="Aptos" w:cs="Aptos"/>
          <w:i w:val="1"/>
          <w:iCs w:val="1"/>
          <w:noProof w:val="0"/>
          <w:color w:val="000000" w:themeColor="text1" w:themeTint="FF" w:themeShade="FF"/>
          <w:sz w:val="24"/>
          <w:szCs w:val="24"/>
          <w:lang w:val="en-GB"/>
        </w:rPr>
        <w:t>Learning by Doing: A Guide to Teaching and Learning Methods</w:t>
      </w:r>
      <w:r w:rsidRPr="63E40EA1" w:rsidR="0538C0E1">
        <w:rPr>
          <w:rFonts w:ascii="Aptos" w:hAnsi="Aptos" w:eastAsia="Aptos" w:cs="Aptos"/>
          <w:noProof w:val="0"/>
          <w:color w:val="000000" w:themeColor="text1" w:themeTint="FF" w:themeShade="FF"/>
          <w:sz w:val="24"/>
          <w:szCs w:val="24"/>
          <w:lang w:val="en-GB"/>
        </w:rPr>
        <w:t>. Oxford: Oxford Polytechnic.</w:t>
      </w:r>
      <w:r>
        <w:br/>
      </w:r>
      <w:r w:rsidRPr="63E40EA1" w:rsidR="0538C0E1">
        <w:rPr>
          <w:rFonts w:ascii="Aptos" w:hAnsi="Aptos" w:eastAsia="Aptos" w:cs="Aptos"/>
          <w:noProof w:val="0"/>
          <w:color w:val="000000" w:themeColor="text1" w:themeTint="FF" w:themeShade="FF"/>
          <w:sz w:val="24"/>
          <w:szCs w:val="24"/>
          <w:lang w:val="en-GB"/>
        </w:rPr>
        <w:t xml:space="preserve">JISC. (2022). </w:t>
      </w:r>
      <w:r w:rsidRPr="63E40EA1" w:rsidR="0538C0E1">
        <w:rPr>
          <w:rFonts w:ascii="Aptos" w:hAnsi="Aptos" w:eastAsia="Aptos" w:cs="Aptos"/>
          <w:i w:val="1"/>
          <w:iCs w:val="1"/>
          <w:noProof w:val="0"/>
          <w:color w:val="000000" w:themeColor="text1" w:themeTint="FF" w:themeShade="FF"/>
          <w:sz w:val="24"/>
          <w:szCs w:val="24"/>
          <w:lang w:val="en-GB"/>
        </w:rPr>
        <w:t>Building Digital Skills for Higher Education Students</w:t>
      </w:r>
      <w:r w:rsidRPr="63E40EA1" w:rsidR="0538C0E1">
        <w:rPr>
          <w:rFonts w:ascii="Aptos" w:hAnsi="Aptos" w:eastAsia="Aptos" w:cs="Aptos"/>
          <w:noProof w:val="0"/>
          <w:color w:val="000000" w:themeColor="text1" w:themeTint="FF" w:themeShade="FF"/>
          <w:sz w:val="24"/>
          <w:szCs w:val="24"/>
          <w:lang w:val="en-GB"/>
        </w:rPr>
        <w:t>. London: JISC.</w:t>
      </w:r>
      <w:r>
        <w:br/>
      </w:r>
      <w:r w:rsidRPr="63E40EA1" w:rsidR="0538C0E1">
        <w:rPr>
          <w:rFonts w:ascii="Aptos" w:hAnsi="Aptos" w:eastAsia="Aptos" w:cs="Aptos"/>
          <w:noProof w:val="0"/>
          <w:color w:val="000000" w:themeColor="text1" w:themeTint="FF" w:themeShade="FF"/>
          <w:sz w:val="24"/>
          <w:szCs w:val="24"/>
          <w:lang w:val="en-GB"/>
        </w:rPr>
        <w:t xml:space="preserve">Lucas, S. E. (2015). </w:t>
      </w:r>
      <w:r w:rsidRPr="63E40EA1" w:rsidR="0538C0E1">
        <w:rPr>
          <w:rFonts w:ascii="Aptos" w:hAnsi="Aptos" w:eastAsia="Aptos" w:cs="Aptos"/>
          <w:i w:val="1"/>
          <w:iCs w:val="1"/>
          <w:noProof w:val="0"/>
          <w:color w:val="000000" w:themeColor="text1" w:themeTint="FF" w:themeShade="FF"/>
          <w:sz w:val="24"/>
          <w:szCs w:val="24"/>
          <w:lang w:val="en-GB"/>
        </w:rPr>
        <w:t>The Art of Public Speaking</w:t>
      </w:r>
      <w:r w:rsidRPr="63E40EA1" w:rsidR="0538C0E1">
        <w:rPr>
          <w:rFonts w:ascii="Aptos" w:hAnsi="Aptos" w:eastAsia="Aptos" w:cs="Aptos"/>
          <w:noProof w:val="0"/>
          <w:color w:val="000000" w:themeColor="text1" w:themeTint="FF" w:themeShade="FF"/>
          <w:sz w:val="24"/>
          <w:szCs w:val="24"/>
          <w:lang w:val="en-GB"/>
        </w:rPr>
        <w:t>. 12th ed. New York: McGraw-Hill.</w:t>
      </w:r>
    </w:p>
    <w:p w:rsidR="63E40EA1" w:rsidP="63E40EA1" w:rsidRDefault="63E40EA1" w14:paraId="03235BAC" w14:textId="429B9E3C">
      <w:pPr>
        <w:spacing w:before="240" w:beforeAutospacing="off" w:after="240" w:afterAutospacing="off"/>
        <w:rPr>
          <w:rFonts w:ascii="Aptos" w:hAnsi="Aptos" w:eastAsia="Aptos" w:cs="Aptos"/>
          <w:noProof w:val="0"/>
          <w:color w:val="000000" w:themeColor="text1" w:themeTint="FF" w:themeShade="FF"/>
          <w:sz w:val="24"/>
          <w:szCs w:val="24"/>
          <w:lang w:val="en-GB"/>
        </w:rPr>
      </w:pPr>
    </w:p>
    <w:p w:rsidR="63E40EA1" w:rsidP="63E40EA1" w:rsidRDefault="63E40EA1" w14:paraId="4B318C83" w14:textId="4D4601C0">
      <w:pPr>
        <w:pStyle w:val="Normal"/>
        <w:rPr>
          <w:rFonts w:ascii="Aptos" w:hAnsi="Aptos" w:eastAsia="Aptos" w:cs="Aptos"/>
          <w:noProof w:val="0"/>
          <w:color w:val="000000" w:themeColor="text1" w:themeTint="FF" w:themeShade="FF"/>
          <w:sz w:val="24"/>
          <w:szCs w:val="24"/>
          <w:lang w:val="en-GB"/>
        </w:rPr>
      </w:pPr>
    </w:p>
    <w:p w:rsidR="003C40D8" w:rsidP="00DD5969" w:rsidRDefault="003C40D8" w14:paraId="6A6E872E" w14:textId="77777777"/>
    <w:p w:rsidRPr="00CB0C71" w:rsidR="00CB0C71" w:rsidP="00DD5969" w:rsidRDefault="00CB0C71" w14:paraId="001055CE" w14:textId="429A6FFD">
      <w:pPr>
        <w:rPr>
          <w:rFonts w:ascii="Arial" w:hAnsi="Arial" w:cs="Arial"/>
          <w:b w:val="1"/>
          <w:bCs w:val="1"/>
          <w:color w:val="FF0000"/>
        </w:rPr>
        <w:sectPr w:rsidRPr="00CB0C71" w:rsidR="00CB0C71">
          <w:pgSz w:w="11906" w:h="16838" w:orient="portrait"/>
          <w:pgMar w:top="1440" w:right="1440" w:bottom="1440" w:left="1440" w:header="708" w:footer="708" w:gutter="0"/>
          <w:cols w:space="708"/>
          <w:docGrid w:linePitch="360"/>
        </w:sectPr>
      </w:pPr>
    </w:p>
    <w:p w:rsidR="004A5959" w:rsidP="007B2315" w:rsidRDefault="004A5959" w14:paraId="3BEA7BC4" w14:textId="77777777">
      <w:pPr>
        <w:rPr>
          <w:rFonts w:ascii="Arial" w:hAnsi="Arial" w:cs="Arial"/>
          <w:b/>
          <w:bCs/>
        </w:rPr>
      </w:pPr>
    </w:p>
    <w:p w:rsidRPr="007B2315" w:rsidR="007B2315" w:rsidP="007B2315" w:rsidRDefault="007B2315" w14:paraId="46DB9E42" w14:textId="411D86D6">
      <w:pPr>
        <w:rPr>
          <w:rFonts w:ascii="Arial" w:hAnsi="Arial" w:cs="Arial"/>
          <w:b w:val="1"/>
          <w:bCs w:val="1"/>
        </w:rPr>
        <w:sectPr w:rsidR="005175DB">
          <w:pgSz w:w="11906" w:h="16838" w:orient="portrait"/>
          <w:pgMar w:top="1440" w:right="1440" w:bottom="1440" w:left="1440" w:header="708" w:footer="708" w:gutter="0"/>
          <w:cols w:space="708"/>
          <w:docGrid w:linePitch="360"/>
        </w:sectPr>
      </w:pPr>
      <w:r w:rsidRPr="63E40EA1" w:rsidR="007B2315">
        <w:rPr>
          <w:rFonts w:ascii="Arial" w:hAnsi="Arial" w:cs="Arial"/>
          <w:b w:val="1"/>
          <w:bCs w:val="1"/>
        </w:rPr>
        <w:t>I</w:t>
      </w:r>
    </w:p>
    <w:bookmarkStart w:name="_Hlk198804837" w:id="0"/>
    <w:bookmarkEnd w:id="0"/>
    <w:bookmarkStart w:name="_Hlk198805034" w:id="1"/>
    <w:bookmarkEnd w:id="1"/>
    <w:p w:rsidRPr="007B2315" w:rsidR="007B2315" w:rsidP="007B2315" w:rsidRDefault="007B2315" w14:paraId="1784A96D" w14:textId="6937DE33"/>
    <w:p w:rsidRPr="003C40D8" w:rsidR="000C541C" w:rsidP="00DD5969" w:rsidRDefault="000C541C" w14:paraId="4DF22479" w14:textId="77777777"/>
    <w:p w:rsidR="000C541C" w:rsidP="00DD5969" w:rsidRDefault="000C541C" w14:paraId="6204DAEB" w14:textId="77777777">
      <w:pPr>
        <w:rPr>
          <w:sz w:val="16"/>
          <w:szCs w:val="16"/>
        </w:rPr>
      </w:pPr>
    </w:p>
    <w:p w:rsidR="000C541C" w:rsidP="00DD5969" w:rsidRDefault="000C541C" w14:paraId="5144E418" w14:textId="77777777">
      <w:pPr>
        <w:rPr>
          <w:sz w:val="16"/>
          <w:szCs w:val="16"/>
        </w:rPr>
      </w:pPr>
    </w:p>
    <w:p w:rsidRPr="00B103B9" w:rsidR="000C541C" w:rsidP="00DD5969" w:rsidRDefault="000C541C" w14:paraId="2AE1CF9A" w14:textId="77777777">
      <w:pPr>
        <w:rPr>
          <w:sz w:val="16"/>
          <w:szCs w:val="16"/>
        </w:rPr>
      </w:pPr>
    </w:p>
    <w:sectPr w:rsidRPr="00B103B9" w:rsidR="000C541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4168" w:rsidP="00CB0C71" w:rsidRDefault="002B4168" w14:paraId="4C37D4C8" w14:textId="77777777">
      <w:pPr>
        <w:spacing w:after="0" w:line="240" w:lineRule="auto"/>
      </w:pPr>
      <w:r>
        <w:separator/>
      </w:r>
    </w:p>
  </w:endnote>
  <w:endnote w:type="continuationSeparator" w:id="0">
    <w:p w:rsidR="002B4168" w:rsidP="00CB0C71" w:rsidRDefault="002B4168" w14:paraId="10E010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4168" w:rsidP="00CB0C71" w:rsidRDefault="002B4168" w14:paraId="6234655E" w14:textId="77777777">
      <w:pPr>
        <w:spacing w:after="0" w:line="240" w:lineRule="auto"/>
      </w:pPr>
      <w:r>
        <w:separator/>
      </w:r>
    </w:p>
  </w:footnote>
  <w:footnote w:type="continuationSeparator" w:id="0">
    <w:p w:rsidR="002B4168" w:rsidP="00CB0C71" w:rsidRDefault="002B4168" w14:paraId="1C62AAF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824485"/>
    <w:multiLevelType w:val="hybridMultilevel"/>
    <w:tmpl w:val="E154F6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C3B6B15"/>
    <w:multiLevelType w:val="multilevel"/>
    <w:tmpl w:val="C89EF2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10236641">
    <w:abstractNumId w:val="1"/>
  </w:num>
  <w:num w:numId="2" w16cid:durableId="175755404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92F55"/>
    <w:rsid w:val="000A2E17"/>
    <w:rsid w:val="000A470F"/>
    <w:rsid w:val="000A5E90"/>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72E52"/>
    <w:rsid w:val="002B4168"/>
    <w:rsid w:val="002F243A"/>
    <w:rsid w:val="00301906"/>
    <w:rsid w:val="00302BB1"/>
    <w:rsid w:val="003341DF"/>
    <w:rsid w:val="00347EA1"/>
    <w:rsid w:val="00382546"/>
    <w:rsid w:val="003A4B66"/>
    <w:rsid w:val="003A709B"/>
    <w:rsid w:val="003C40D8"/>
    <w:rsid w:val="003D223A"/>
    <w:rsid w:val="003F211E"/>
    <w:rsid w:val="00417AB6"/>
    <w:rsid w:val="004A5959"/>
    <w:rsid w:val="004B31F1"/>
    <w:rsid w:val="004D474C"/>
    <w:rsid w:val="005175DB"/>
    <w:rsid w:val="0053246E"/>
    <w:rsid w:val="00536CFB"/>
    <w:rsid w:val="00543F5E"/>
    <w:rsid w:val="00584970"/>
    <w:rsid w:val="005913FB"/>
    <w:rsid w:val="005B783A"/>
    <w:rsid w:val="005F42D0"/>
    <w:rsid w:val="005F7C42"/>
    <w:rsid w:val="0062310A"/>
    <w:rsid w:val="00664B16"/>
    <w:rsid w:val="006B52C3"/>
    <w:rsid w:val="007203C3"/>
    <w:rsid w:val="007352C0"/>
    <w:rsid w:val="00743752"/>
    <w:rsid w:val="007B2315"/>
    <w:rsid w:val="007D3AE1"/>
    <w:rsid w:val="007D777F"/>
    <w:rsid w:val="007E01E0"/>
    <w:rsid w:val="00803155"/>
    <w:rsid w:val="00840BEE"/>
    <w:rsid w:val="00851EDB"/>
    <w:rsid w:val="00857401"/>
    <w:rsid w:val="008D7180"/>
    <w:rsid w:val="008F1086"/>
    <w:rsid w:val="009060A0"/>
    <w:rsid w:val="0091355A"/>
    <w:rsid w:val="00917008"/>
    <w:rsid w:val="00935B8D"/>
    <w:rsid w:val="0093CBDE"/>
    <w:rsid w:val="009B164A"/>
    <w:rsid w:val="00A15883"/>
    <w:rsid w:val="00A23D6E"/>
    <w:rsid w:val="00A476E3"/>
    <w:rsid w:val="00AD7313"/>
    <w:rsid w:val="00AE2AA9"/>
    <w:rsid w:val="00AE3307"/>
    <w:rsid w:val="00AF66E7"/>
    <w:rsid w:val="00B028A8"/>
    <w:rsid w:val="00B103B9"/>
    <w:rsid w:val="00B42784"/>
    <w:rsid w:val="00B51B61"/>
    <w:rsid w:val="00B724BB"/>
    <w:rsid w:val="00BC7B60"/>
    <w:rsid w:val="00BE2A35"/>
    <w:rsid w:val="00BE3554"/>
    <w:rsid w:val="00C129B8"/>
    <w:rsid w:val="00C24461"/>
    <w:rsid w:val="00C2550A"/>
    <w:rsid w:val="00C4699D"/>
    <w:rsid w:val="00C63663"/>
    <w:rsid w:val="00CB0C71"/>
    <w:rsid w:val="00CF32AC"/>
    <w:rsid w:val="00D24ADF"/>
    <w:rsid w:val="00D26517"/>
    <w:rsid w:val="00D33868"/>
    <w:rsid w:val="00D92100"/>
    <w:rsid w:val="00DC55F3"/>
    <w:rsid w:val="00DD5969"/>
    <w:rsid w:val="00E10797"/>
    <w:rsid w:val="00E243A8"/>
    <w:rsid w:val="00E6747C"/>
    <w:rsid w:val="00EA0B9A"/>
    <w:rsid w:val="00EA15D1"/>
    <w:rsid w:val="00EA6220"/>
    <w:rsid w:val="00EC1771"/>
    <w:rsid w:val="00F8089C"/>
    <w:rsid w:val="04CA90D3"/>
    <w:rsid w:val="0538C0E1"/>
    <w:rsid w:val="095D05C6"/>
    <w:rsid w:val="09AD0EBF"/>
    <w:rsid w:val="0CBF09FF"/>
    <w:rsid w:val="0CCCF0D6"/>
    <w:rsid w:val="12878206"/>
    <w:rsid w:val="15211E68"/>
    <w:rsid w:val="166ABB76"/>
    <w:rsid w:val="1D4854AF"/>
    <w:rsid w:val="2146BFC6"/>
    <w:rsid w:val="22EF0E43"/>
    <w:rsid w:val="231898B3"/>
    <w:rsid w:val="260C7FFA"/>
    <w:rsid w:val="26A58827"/>
    <w:rsid w:val="272370FF"/>
    <w:rsid w:val="27D81CF6"/>
    <w:rsid w:val="2837A147"/>
    <w:rsid w:val="2DEDA24E"/>
    <w:rsid w:val="2DFB0FF6"/>
    <w:rsid w:val="2E4539DB"/>
    <w:rsid w:val="32845346"/>
    <w:rsid w:val="3650C381"/>
    <w:rsid w:val="36DE03E9"/>
    <w:rsid w:val="3C6211B2"/>
    <w:rsid w:val="4118B59B"/>
    <w:rsid w:val="41B392A5"/>
    <w:rsid w:val="44C8E075"/>
    <w:rsid w:val="474C925A"/>
    <w:rsid w:val="476BE0A1"/>
    <w:rsid w:val="47DB7561"/>
    <w:rsid w:val="4B4C6C62"/>
    <w:rsid w:val="4C6BD9A3"/>
    <w:rsid w:val="4E675CE5"/>
    <w:rsid w:val="51DB1BB3"/>
    <w:rsid w:val="54DE4595"/>
    <w:rsid w:val="56EB8D54"/>
    <w:rsid w:val="5DA3134B"/>
    <w:rsid w:val="601464B5"/>
    <w:rsid w:val="63E40EA1"/>
    <w:rsid w:val="6703959A"/>
    <w:rsid w:val="670467C9"/>
    <w:rsid w:val="67C04345"/>
    <w:rsid w:val="68A97992"/>
    <w:rsid w:val="6A6F5BF0"/>
    <w:rsid w:val="6F057D38"/>
    <w:rsid w:val="72ED3B43"/>
    <w:rsid w:val="74B02C96"/>
    <w:rsid w:val="77A4C21D"/>
    <w:rsid w:val="79D02451"/>
    <w:rsid w:val="7B3D53EA"/>
    <w:rsid w:val="7C162F41"/>
    <w:rsid w:val="7D11F4B6"/>
    <w:rsid w:val="7D890E7A"/>
    <w:rsid w:val="7DD26830"/>
    <w:rsid w:val="7DDBB682"/>
    <w:rsid w:val="7E45A39A"/>
    <w:rsid w:val="7E85C3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004A5959"/>
    <w:rPr>
      <w:color w:val="467886" w:themeColor="hyperlink"/>
      <w:u w:val="single"/>
    </w:rPr>
  </w:style>
  <w:style w:type="character" w:styleId="UnresolvedMention">
    <w:name w:val="Unresolved Mention"/>
    <w:basedOn w:val="DefaultParagraphFont"/>
    <w:uiPriority w:val="99"/>
    <w:semiHidden/>
    <w:unhideWhenUsed/>
    <w:rsid w:val="004A5959"/>
    <w:rPr>
      <w:color w:val="605E5C"/>
      <w:shd w:val="clear" w:color="auto" w:fill="E1DFDD"/>
    </w:rPr>
  </w:style>
  <w:style w:type="paragraph" w:styleId="Header">
    <w:name w:val="header"/>
    <w:basedOn w:val="Normal"/>
    <w:link w:val="HeaderChar"/>
    <w:uiPriority w:val="99"/>
    <w:unhideWhenUsed/>
    <w:rsid w:val="00CB0C7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0C71"/>
  </w:style>
  <w:style w:type="paragraph" w:styleId="Footer">
    <w:name w:val="footer"/>
    <w:basedOn w:val="Normal"/>
    <w:link w:val="FooterChar"/>
    <w:uiPriority w:val="99"/>
    <w:unhideWhenUsed/>
    <w:rsid w:val="00CB0C7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0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2502845">
      <w:bodyDiv w:val="1"/>
      <w:marLeft w:val="0"/>
      <w:marRight w:val="0"/>
      <w:marTop w:val="0"/>
      <w:marBottom w:val="0"/>
      <w:divBdr>
        <w:top w:val="none" w:sz="0" w:space="0" w:color="auto"/>
        <w:left w:val="none" w:sz="0" w:space="0" w:color="auto"/>
        <w:bottom w:val="none" w:sz="0" w:space="0" w:color="auto"/>
        <w:right w:val="none" w:sz="0" w:space="0" w:color="auto"/>
      </w:divBdr>
      <w:divsChild>
        <w:div w:id="1351951654">
          <w:marLeft w:val="0"/>
          <w:marRight w:val="0"/>
          <w:marTop w:val="0"/>
          <w:marBottom w:val="0"/>
          <w:divBdr>
            <w:top w:val="none" w:sz="0" w:space="0" w:color="auto"/>
            <w:left w:val="none" w:sz="0" w:space="0" w:color="auto"/>
            <w:bottom w:val="none" w:sz="0" w:space="0" w:color="auto"/>
            <w:right w:val="none" w:sz="0" w:space="0" w:color="auto"/>
          </w:divBdr>
          <w:divsChild>
            <w:div w:id="19437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753432607">
      <w:bodyDiv w:val="1"/>
      <w:marLeft w:val="0"/>
      <w:marRight w:val="0"/>
      <w:marTop w:val="0"/>
      <w:marBottom w:val="0"/>
      <w:divBdr>
        <w:top w:val="none" w:sz="0" w:space="0" w:color="auto"/>
        <w:left w:val="none" w:sz="0" w:space="0" w:color="auto"/>
        <w:bottom w:val="none" w:sz="0" w:space="0" w:color="auto"/>
        <w:right w:val="none" w:sz="0" w:space="0" w:color="auto"/>
      </w:divBdr>
      <w:divsChild>
        <w:div w:id="1922445204">
          <w:marLeft w:val="0"/>
          <w:marRight w:val="0"/>
          <w:marTop w:val="0"/>
          <w:marBottom w:val="0"/>
          <w:divBdr>
            <w:top w:val="none" w:sz="0" w:space="0" w:color="auto"/>
            <w:left w:val="none" w:sz="0" w:space="0" w:color="auto"/>
            <w:bottom w:val="none" w:sz="0" w:space="0" w:color="auto"/>
            <w:right w:val="none" w:sz="0" w:space="0" w:color="auto"/>
          </w:divBdr>
          <w:divsChild>
            <w:div w:id="110553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Leighton Wall (2431752)</lastModifiedBy>
  <revision>3</revision>
  <lastPrinted>2025-05-22T10:20:00.0000000Z</lastPrinted>
  <dcterms:created xsi:type="dcterms:W3CDTF">2025-05-22T15:24:00.0000000Z</dcterms:created>
  <dcterms:modified xsi:type="dcterms:W3CDTF">2025-12-08T23:17:53.8984425Z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