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8D6A2" w14:textId="5BEF04A5" w:rsidR="002B3118" w:rsidRPr="003E3FC5" w:rsidRDefault="003E3FC5" w:rsidP="002B3118">
      <w:pPr>
        <w:pStyle w:val="paragraph"/>
        <w:spacing w:before="0" w:beforeAutospacing="0" w:after="0" w:afterAutospacing="0"/>
        <w:jc w:val="both"/>
        <w:textAlignment w:val="baseline"/>
        <w:rPr>
          <w:rStyle w:val="eop"/>
          <w:rFonts w:ascii="Calibri" w:hAnsi="Calibri" w:cs="Calibri"/>
          <w:b/>
          <w:bCs/>
          <w:color w:val="000000"/>
          <w:sz w:val="22"/>
          <w:szCs w:val="22"/>
        </w:rPr>
      </w:pPr>
      <w:r w:rsidRPr="003E3FC5">
        <w:rPr>
          <w:rStyle w:val="eop"/>
          <w:rFonts w:ascii="Calibri" w:hAnsi="Calibri" w:cs="Calibri"/>
          <w:b/>
          <w:bCs/>
          <w:color w:val="000000"/>
          <w:sz w:val="22"/>
          <w:szCs w:val="22"/>
        </w:rPr>
        <w:t>ECAD4008</w:t>
      </w:r>
    </w:p>
    <w:p w14:paraId="7B92168A" w14:textId="0F9286B7" w:rsidR="003E3FC5" w:rsidRPr="003E3FC5" w:rsidRDefault="003E3FC5" w:rsidP="002B3118">
      <w:pPr>
        <w:pStyle w:val="paragraph"/>
        <w:spacing w:before="0" w:beforeAutospacing="0" w:after="0" w:afterAutospacing="0"/>
        <w:jc w:val="both"/>
        <w:textAlignment w:val="baseline"/>
        <w:rPr>
          <w:rStyle w:val="eop"/>
          <w:rFonts w:ascii="Calibri" w:hAnsi="Calibri" w:cs="Calibri"/>
          <w:b/>
          <w:bCs/>
          <w:color w:val="000000"/>
          <w:sz w:val="22"/>
          <w:szCs w:val="22"/>
        </w:rPr>
      </w:pPr>
      <w:r w:rsidRPr="003E3FC5">
        <w:rPr>
          <w:rStyle w:val="eop"/>
          <w:rFonts w:ascii="Calibri" w:hAnsi="Calibri" w:cs="Calibri"/>
          <w:b/>
          <w:bCs/>
          <w:color w:val="000000"/>
          <w:sz w:val="22"/>
          <w:szCs w:val="22"/>
        </w:rPr>
        <w:t>Melissa Phillips</w:t>
      </w:r>
    </w:p>
    <w:p w14:paraId="0346CEEF" w14:textId="7EB88823" w:rsidR="003E3FC5" w:rsidRPr="003E3FC5" w:rsidRDefault="003E3FC5" w:rsidP="002B3118">
      <w:pPr>
        <w:pStyle w:val="paragraph"/>
        <w:spacing w:before="0" w:beforeAutospacing="0" w:after="0" w:afterAutospacing="0"/>
        <w:jc w:val="both"/>
        <w:textAlignment w:val="baseline"/>
        <w:rPr>
          <w:rStyle w:val="eop"/>
          <w:rFonts w:ascii="Calibri" w:hAnsi="Calibri" w:cs="Calibri"/>
          <w:b/>
          <w:bCs/>
          <w:color w:val="000000"/>
          <w:sz w:val="22"/>
          <w:szCs w:val="22"/>
        </w:rPr>
      </w:pPr>
      <w:r w:rsidRPr="003E3FC5">
        <w:rPr>
          <w:rStyle w:val="eop"/>
          <w:rFonts w:ascii="Calibri" w:hAnsi="Calibri" w:cs="Calibri"/>
          <w:b/>
          <w:bCs/>
          <w:color w:val="000000"/>
          <w:sz w:val="22"/>
          <w:szCs w:val="22"/>
        </w:rPr>
        <w:t>Student number: 2220554</w:t>
      </w:r>
    </w:p>
    <w:p w14:paraId="453E3736" w14:textId="486BD5A6" w:rsidR="002B3118" w:rsidRPr="004C43FF" w:rsidRDefault="002B3118">
      <w:pPr>
        <w:rPr>
          <w:rFonts w:ascii="Arial" w:hAnsi="Arial" w:cs="Arial"/>
          <w:sz w:val="24"/>
          <w:szCs w:val="24"/>
        </w:rPr>
      </w:pPr>
    </w:p>
    <w:p w14:paraId="4ED01FFA" w14:textId="124FD23A" w:rsidR="002B3118" w:rsidRPr="00E36106" w:rsidRDefault="002B3118">
      <w:pPr>
        <w:rPr>
          <w:rFonts w:ascii="Arial" w:hAnsi="Arial" w:cs="Arial"/>
          <w:sz w:val="24"/>
          <w:szCs w:val="24"/>
        </w:rPr>
      </w:pPr>
      <w:r w:rsidRPr="00E36106">
        <w:rPr>
          <w:rFonts w:ascii="Arial" w:hAnsi="Arial" w:cs="Arial"/>
          <w:sz w:val="24"/>
          <w:szCs w:val="24"/>
        </w:rPr>
        <w:t>In January of 2020, the Welsh Government introduced its new ‘Curriculum for Wales Framework’ (Welsh Government, n.d.). The framework stands as a guidance with new purposes and principles that allows school</w:t>
      </w:r>
      <w:r w:rsidR="005F27BC">
        <w:rPr>
          <w:rFonts w:ascii="Arial" w:hAnsi="Arial" w:cs="Arial"/>
          <w:sz w:val="24"/>
          <w:szCs w:val="24"/>
        </w:rPr>
        <w:t>s</w:t>
      </w:r>
      <w:r w:rsidRPr="00E36106">
        <w:rPr>
          <w:rFonts w:ascii="Arial" w:hAnsi="Arial" w:cs="Arial"/>
          <w:sz w:val="24"/>
          <w:szCs w:val="24"/>
        </w:rPr>
        <w:t xml:space="preserve"> to structure their own personal curriculum, based on the four purposes (Welsh Government, n.d.). Professor Graham Donaldson’s ‘Successful Futures’ </w:t>
      </w:r>
      <w:r w:rsidR="005F27BC">
        <w:rPr>
          <w:rFonts w:ascii="Arial" w:hAnsi="Arial" w:cs="Arial"/>
          <w:sz w:val="24"/>
          <w:szCs w:val="24"/>
        </w:rPr>
        <w:t xml:space="preserve">(2015) </w:t>
      </w:r>
      <w:r w:rsidRPr="00E36106">
        <w:rPr>
          <w:rFonts w:ascii="Arial" w:hAnsi="Arial" w:cs="Arial"/>
          <w:sz w:val="24"/>
          <w:szCs w:val="24"/>
        </w:rPr>
        <w:t>is a written review of the curriculum in Wales. He formed recommendations in which children could benefit from what they are learning and prepare them for their future lives (Donaldson, 2015:5). These recommendations include the four purposes and an integrated use of cross-curricular teaching (Senedd Wales, n.d.). These purposes are then focused around six ‘Areas of Learning and Experience’ (AoLEs), instead of different subjects</w:t>
      </w:r>
      <w:r w:rsidR="005F27BC">
        <w:rPr>
          <w:rFonts w:ascii="Arial" w:hAnsi="Arial" w:cs="Arial"/>
          <w:sz w:val="24"/>
          <w:szCs w:val="24"/>
        </w:rPr>
        <w:t xml:space="preserve">, </w:t>
      </w:r>
      <w:r w:rsidRPr="00E36106">
        <w:rPr>
          <w:rFonts w:ascii="Arial" w:hAnsi="Arial" w:cs="Arial"/>
          <w:sz w:val="24"/>
          <w:szCs w:val="24"/>
        </w:rPr>
        <w:t xml:space="preserve">as per the old curriculum (Senedd Wales, n.d.). </w:t>
      </w:r>
    </w:p>
    <w:p w14:paraId="07DF4932" w14:textId="77777777" w:rsidR="00102B13" w:rsidRPr="00E36106" w:rsidRDefault="002B3118" w:rsidP="002B3118">
      <w:pPr>
        <w:rPr>
          <w:rFonts w:ascii="Arial" w:hAnsi="Arial" w:cs="Arial"/>
          <w:sz w:val="24"/>
          <w:szCs w:val="24"/>
        </w:rPr>
      </w:pPr>
      <w:r w:rsidRPr="00E36106">
        <w:rPr>
          <w:rFonts w:ascii="Arial" w:hAnsi="Arial" w:cs="Arial"/>
          <w:sz w:val="24"/>
          <w:szCs w:val="24"/>
        </w:rPr>
        <w:t xml:space="preserve">Donaldson states that the principles mean more than just ‘teaching’ (Donaldson, 2015:63). He believes they represent the careful consideration of a selection of pedagogies in relation to the four purposes and developmental needs of the children (Donaldson, 2015:63). Schools are asked to consider the twelve pedagogical principles when creating their curriculum to aid their learners. (Welsh Government, n.d.). He states teachers should select what pedagogies to use based on theoretical knowledge and understanding, and what makes effective practice in different contexts (Donaldson, 2015:63) He strongly believes that this is the </w:t>
      </w:r>
      <w:r w:rsidRPr="00E36106">
        <w:rPr>
          <w:rFonts w:ascii="Arial" w:hAnsi="Arial" w:cs="Arial"/>
          <w:i/>
          <w:iCs/>
          <w:sz w:val="24"/>
          <w:szCs w:val="24"/>
        </w:rPr>
        <w:t>“heart of what it means to be an excellent teacher”</w:t>
      </w:r>
      <w:r w:rsidRPr="00E36106">
        <w:rPr>
          <w:rFonts w:ascii="Arial" w:hAnsi="Arial" w:cs="Arial"/>
          <w:sz w:val="24"/>
          <w:szCs w:val="24"/>
        </w:rPr>
        <w:t xml:space="preserve"> and continues to talk about each principle individually (Donaldson, 2015:63). </w:t>
      </w:r>
    </w:p>
    <w:p w14:paraId="5DD133C3" w14:textId="5FA991C9" w:rsidR="002B3118" w:rsidRPr="00E36106" w:rsidRDefault="00102B13" w:rsidP="002B3118">
      <w:pPr>
        <w:rPr>
          <w:rFonts w:ascii="Arial" w:hAnsi="Arial" w:cs="Arial"/>
          <w:sz w:val="24"/>
          <w:szCs w:val="24"/>
        </w:rPr>
      </w:pPr>
      <w:r w:rsidRPr="00E36106">
        <w:rPr>
          <w:rFonts w:ascii="Arial" w:hAnsi="Arial" w:cs="Arial"/>
          <w:sz w:val="24"/>
          <w:szCs w:val="24"/>
        </w:rPr>
        <w:t xml:space="preserve">The twelve pedagogical principles are important to the curriculum as they help the practitioner connect the AoLEs across the curriculum and reinforces cross-curricular obligations in relation to literacy, maths, and digital competence (Impact Wales, </w:t>
      </w:r>
      <w:r w:rsidR="00C91E44">
        <w:rPr>
          <w:rFonts w:ascii="Arial" w:hAnsi="Arial" w:cs="Arial"/>
          <w:sz w:val="24"/>
          <w:szCs w:val="24"/>
        </w:rPr>
        <w:t>2022</w:t>
      </w:r>
      <w:r w:rsidRPr="00E36106">
        <w:rPr>
          <w:rFonts w:ascii="Arial" w:hAnsi="Arial" w:cs="Arial"/>
          <w:sz w:val="24"/>
          <w:szCs w:val="24"/>
        </w:rPr>
        <w:t xml:space="preserve">.). The pupils are therefore encouraged to take leadership with their learning, whilst developing social and emotional skills which can help create positive relationships (Impact Wales, </w:t>
      </w:r>
      <w:r w:rsidR="00845A54">
        <w:rPr>
          <w:rFonts w:ascii="Arial" w:hAnsi="Arial" w:cs="Arial"/>
          <w:sz w:val="24"/>
          <w:szCs w:val="24"/>
        </w:rPr>
        <w:t>2022</w:t>
      </w:r>
      <w:r w:rsidRPr="00E36106">
        <w:rPr>
          <w:rFonts w:ascii="Arial" w:hAnsi="Arial" w:cs="Arial"/>
          <w:sz w:val="24"/>
          <w:szCs w:val="24"/>
        </w:rPr>
        <w:t xml:space="preserve">). </w:t>
      </w:r>
      <w:r w:rsidR="002B3118" w:rsidRPr="00E36106">
        <w:rPr>
          <w:rFonts w:ascii="Arial" w:hAnsi="Arial" w:cs="Arial"/>
          <w:sz w:val="24"/>
          <w:szCs w:val="24"/>
        </w:rPr>
        <w:t>The principles each have their own connection to the four purposes and are discussed broadly</w:t>
      </w:r>
      <w:r w:rsidRPr="00E36106">
        <w:rPr>
          <w:rFonts w:ascii="Arial" w:hAnsi="Arial" w:cs="Arial"/>
          <w:sz w:val="24"/>
          <w:szCs w:val="24"/>
        </w:rPr>
        <w:t xml:space="preserve"> within Donaldson’s review</w:t>
      </w:r>
      <w:r w:rsidR="002B3118" w:rsidRPr="00E36106">
        <w:rPr>
          <w:rFonts w:ascii="Arial" w:hAnsi="Arial" w:cs="Arial"/>
          <w:sz w:val="24"/>
          <w:szCs w:val="24"/>
        </w:rPr>
        <w:t>. Three of these principles are individually discussed within this essay,</w:t>
      </w:r>
      <w:r w:rsidRPr="00E36106">
        <w:rPr>
          <w:rFonts w:ascii="Arial" w:hAnsi="Arial" w:cs="Arial"/>
          <w:sz w:val="24"/>
          <w:szCs w:val="24"/>
        </w:rPr>
        <w:t xml:space="preserve"> showing my understanding using</w:t>
      </w:r>
      <w:r w:rsidR="002B3118" w:rsidRPr="00E36106">
        <w:rPr>
          <w:rFonts w:ascii="Arial" w:hAnsi="Arial" w:cs="Arial"/>
          <w:sz w:val="24"/>
          <w:szCs w:val="24"/>
        </w:rPr>
        <w:t xml:space="preserve"> examples of </w:t>
      </w:r>
      <w:r w:rsidRPr="00E36106">
        <w:rPr>
          <w:rFonts w:ascii="Arial" w:hAnsi="Arial" w:cs="Arial"/>
          <w:sz w:val="24"/>
          <w:szCs w:val="24"/>
        </w:rPr>
        <w:t>effective</w:t>
      </w:r>
      <w:r w:rsidR="002B3118" w:rsidRPr="00E36106">
        <w:rPr>
          <w:rFonts w:ascii="Arial" w:hAnsi="Arial" w:cs="Arial"/>
          <w:sz w:val="24"/>
          <w:szCs w:val="24"/>
        </w:rPr>
        <w:t xml:space="preserve"> practice</w:t>
      </w:r>
      <w:r w:rsidRPr="00E36106">
        <w:rPr>
          <w:rFonts w:ascii="Arial" w:hAnsi="Arial" w:cs="Arial"/>
          <w:sz w:val="24"/>
          <w:szCs w:val="24"/>
        </w:rPr>
        <w:t>s across AoLEs</w:t>
      </w:r>
      <w:r w:rsidR="002B3118" w:rsidRPr="00E36106">
        <w:rPr>
          <w:rFonts w:ascii="Arial" w:hAnsi="Arial" w:cs="Arial"/>
          <w:sz w:val="24"/>
          <w:szCs w:val="24"/>
        </w:rPr>
        <w:t>, areas of strength and how they could each be developed</w:t>
      </w:r>
      <w:r w:rsidRPr="00E36106">
        <w:rPr>
          <w:rFonts w:ascii="Arial" w:hAnsi="Arial" w:cs="Arial"/>
          <w:sz w:val="24"/>
          <w:szCs w:val="24"/>
        </w:rPr>
        <w:t xml:space="preserve"> and how this effects my personal standpoint on each. </w:t>
      </w:r>
      <w:r w:rsidR="002B3118" w:rsidRPr="00E36106">
        <w:rPr>
          <w:rFonts w:ascii="Arial" w:hAnsi="Arial" w:cs="Arial"/>
          <w:sz w:val="24"/>
          <w:szCs w:val="24"/>
        </w:rPr>
        <w:t xml:space="preserve"> </w:t>
      </w:r>
    </w:p>
    <w:p w14:paraId="1F628E2D" w14:textId="3DBBAAFD" w:rsidR="002B3118" w:rsidRPr="00E36106" w:rsidRDefault="002B3118">
      <w:pPr>
        <w:rPr>
          <w:rFonts w:ascii="Arial" w:hAnsi="Arial" w:cs="Arial"/>
          <w:sz w:val="24"/>
          <w:szCs w:val="24"/>
        </w:rPr>
      </w:pPr>
    </w:p>
    <w:p w14:paraId="23E86216" w14:textId="40D7AEB3" w:rsidR="00102B13" w:rsidRPr="00E36106" w:rsidRDefault="003E3FC5">
      <w:pPr>
        <w:rPr>
          <w:rFonts w:ascii="Arial" w:hAnsi="Arial" w:cs="Arial"/>
          <w:b/>
          <w:sz w:val="24"/>
          <w:szCs w:val="24"/>
        </w:rPr>
      </w:pPr>
      <w:r w:rsidRPr="00E36106">
        <w:rPr>
          <w:rFonts w:ascii="Arial" w:hAnsi="Arial" w:cs="Arial"/>
          <w:sz w:val="24"/>
          <w:szCs w:val="24"/>
        </w:rPr>
        <w:t>The first principle is “</w:t>
      </w:r>
      <w:r w:rsidRPr="00E36106">
        <w:rPr>
          <w:rFonts w:ascii="Arial" w:hAnsi="Arial" w:cs="Arial"/>
          <w:bCs/>
          <w:i/>
          <w:iCs/>
          <w:sz w:val="24"/>
          <w:szCs w:val="24"/>
        </w:rPr>
        <w:t>g</w:t>
      </w:r>
      <w:r w:rsidRPr="00E36106">
        <w:rPr>
          <w:rFonts w:ascii="Arial" w:hAnsi="Arial" w:cs="Arial"/>
          <w:bCs/>
          <w:i/>
          <w:iCs/>
          <w:sz w:val="24"/>
          <w:szCs w:val="24"/>
        </w:rPr>
        <w:t>ood teaching and learning means employing a blend of approaches including direct teaching</w:t>
      </w:r>
      <w:r w:rsidRPr="00E36106">
        <w:rPr>
          <w:rFonts w:ascii="Arial" w:hAnsi="Arial" w:cs="Arial"/>
          <w:bCs/>
          <w:i/>
          <w:iCs/>
          <w:sz w:val="24"/>
          <w:szCs w:val="24"/>
        </w:rPr>
        <w:t>”</w:t>
      </w:r>
      <w:r w:rsidRPr="00E36106">
        <w:rPr>
          <w:rFonts w:ascii="Arial" w:hAnsi="Arial" w:cs="Arial"/>
          <w:b/>
          <w:sz w:val="24"/>
          <w:szCs w:val="24"/>
        </w:rPr>
        <w:t xml:space="preserve"> </w:t>
      </w:r>
      <w:r w:rsidRPr="00E36106">
        <w:rPr>
          <w:rFonts w:ascii="Arial" w:hAnsi="Arial" w:cs="Arial"/>
          <w:bCs/>
          <w:sz w:val="24"/>
          <w:szCs w:val="24"/>
        </w:rPr>
        <w:t>(Donaldson, 2015:68)</w:t>
      </w:r>
      <w:r w:rsidRPr="00E36106">
        <w:rPr>
          <w:rFonts w:ascii="Arial" w:hAnsi="Arial" w:cs="Arial"/>
          <w:b/>
          <w:sz w:val="24"/>
          <w:szCs w:val="24"/>
        </w:rPr>
        <w:t xml:space="preserve">. </w:t>
      </w:r>
      <w:r w:rsidR="004C43FF" w:rsidRPr="00E36106">
        <w:rPr>
          <w:rFonts w:ascii="Arial" w:hAnsi="Arial" w:cs="Arial"/>
          <w:sz w:val="24"/>
          <w:szCs w:val="24"/>
        </w:rPr>
        <w:t xml:space="preserve">Donaldson states that teaching and learning should not fall into </w:t>
      </w:r>
      <w:r w:rsidR="004C43FF" w:rsidRPr="00E36106">
        <w:rPr>
          <w:rFonts w:ascii="Arial" w:hAnsi="Arial" w:cs="Arial"/>
          <w:i/>
          <w:iCs/>
          <w:sz w:val="24"/>
          <w:szCs w:val="24"/>
        </w:rPr>
        <w:t xml:space="preserve">“traditional methods”, </w:t>
      </w:r>
      <w:r w:rsidR="004C43FF" w:rsidRPr="00E36106">
        <w:rPr>
          <w:rFonts w:ascii="Arial" w:hAnsi="Arial" w:cs="Arial"/>
          <w:sz w:val="24"/>
          <w:szCs w:val="24"/>
        </w:rPr>
        <w:t>but rather encapsulate a myriad of experiences that correlate directly to the purposes within the framework (Donaldson, 2015:65). Selecting the correct and most beneficial methods can be a critical factor to the progression of a pupil in school</w:t>
      </w:r>
      <w:r w:rsidR="00102B13" w:rsidRPr="00E36106">
        <w:rPr>
          <w:rFonts w:ascii="Arial" w:hAnsi="Arial" w:cs="Arial"/>
          <w:sz w:val="24"/>
          <w:szCs w:val="24"/>
        </w:rPr>
        <w:t xml:space="preserve">. Blended learning incorporates face-to-face teaching with a range of other learning opportunities and approaches. </w:t>
      </w:r>
      <w:r w:rsidR="005F27BC">
        <w:rPr>
          <w:rFonts w:ascii="Arial" w:hAnsi="Arial" w:cs="Arial"/>
          <w:sz w:val="24"/>
          <w:szCs w:val="24"/>
        </w:rPr>
        <w:t>Some examples of t</w:t>
      </w:r>
      <w:r w:rsidR="00102B13" w:rsidRPr="00E36106">
        <w:rPr>
          <w:rFonts w:ascii="Arial" w:hAnsi="Arial" w:cs="Arial"/>
          <w:sz w:val="24"/>
          <w:szCs w:val="24"/>
        </w:rPr>
        <w:t>hese methods can include direct teaching, online</w:t>
      </w:r>
      <w:r w:rsidR="005F27BC">
        <w:rPr>
          <w:rFonts w:ascii="Arial" w:hAnsi="Arial" w:cs="Arial"/>
          <w:sz w:val="24"/>
          <w:szCs w:val="24"/>
        </w:rPr>
        <w:t xml:space="preserve"> learning,</w:t>
      </w:r>
      <w:r w:rsidR="00102B13" w:rsidRPr="00E36106">
        <w:rPr>
          <w:rFonts w:ascii="Arial" w:hAnsi="Arial" w:cs="Arial"/>
          <w:sz w:val="24"/>
          <w:szCs w:val="24"/>
        </w:rPr>
        <w:t xml:space="preserve"> and independent</w:t>
      </w:r>
      <w:r w:rsidR="00102B13" w:rsidRPr="00E36106">
        <w:rPr>
          <w:rFonts w:ascii="Arial" w:hAnsi="Arial" w:cs="Arial"/>
          <w:sz w:val="24"/>
          <w:szCs w:val="24"/>
        </w:rPr>
        <w:t xml:space="preserve"> learning. </w:t>
      </w:r>
    </w:p>
    <w:p w14:paraId="315FDB68" w14:textId="548BF737" w:rsidR="00102B13" w:rsidRPr="00E36106" w:rsidRDefault="00102B13">
      <w:pPr>
        <w:rPr>
          <w:rFonts w:ascii="Arial" w:hAnsi="Arial" w:cs="Arial"/>
          <w:sz w:val="24"/>
          <w:szCs w:val="24"/>
        </w:rPr>
      </w:pPr>
      <w:r w:rsidRPr="00E36106">
        <w:rPr>
          <w:rFonts w:ascii="Arial" w:hAnsi="Arial" w:cs="Arial"/>
          <w:sz w:val="24"/>
          <w:szCs w:val="24"/>
        </w:rPr>
        <w:t xml:space="preserve">Blended Learning FP states that it allows children to build on previous knowledge and apply those skills to aid them in becoming independent learners (Blended Learning FP, n.d.). Incorporating multiple methods of teaching and learning can be a vital aspect during a child’s first years in school to allow them to develop and </w:t>
      </w:r>
      <w:r w:rsidRPr="00E36106">
        <w:rPr>
          <w:rFonts w:ascii="Arial" w:hAnsi="Arial" w:cs="Arial"/>
          <w:sz w:val="24"/>
          <w:szCs w:val="24"/>
        </w:rPr>
        <w:lastRenderedPageBreak/>
        <w:t>discover their strengths and weaknesses within the school environment. From the position of the practitioner, a blended learning approach should always consider developing the child at a manageable pace and be firmly based on the tenets of successful early education</w:t>
      </w:r>
      <w:r w:rsidR="005F27BC">
        <w:rPr>
          <w:rFonts w:ascii="Arial" w:hAnsi="Arial" w:cs="Arial"/>
          <w:sz w:val="24"/>
          <w:szCs w:val="24"/>
        </w:rPr>
        <w:t>,</w:t>
      </w:r>
      <w:r w:rsidRPr="00E36106">
        <w:rPr>
          <w:rFonts w:ascii="Arial" w:hAnsi="Arial" w:cs="Arial"/>
          <w:sz w:val="24"/>
          <w:szCs w:val="24"/>
        </w:rPr>
        <w:t xml:space="preserve"> whilst incorporating and linking directly to the four purposes (Blended Learning FP, n.d.). Ensuring the needs of the child and the expectations from the new curriculum are met can help to create and utilise a beneficial blend of teaching that assists the important early stages of development in FP pupils. </w:t>
      </w:r>
    </w:p>
    <w:p w14:paraId="67E8610A" w14:textId="4570F2DB" w:rsidR="00102B13" w:rsidRPr="00E36106" w:rsidRDefault="00102B13">
      <w:pPr>
        <w:rPr>
          <w:rFonts w:ascii="Arial" w:hAnsi="Arial" w:cs="Arial"/>
          <w:sz w:val="24"/>
          <w:szCs w:val="24"/>
        </w:rPr>
      </w:pPr>
      <w:r w:rsidRPr="00E36106">
        <w:rPr>
          <w:rFonts w:ascii="Arial" w:hAnsi="Arial" w:cs="Arial"/>
          <w:sz w:val="24"/>
          <w:szCs w:val="24"/>
        </w:rPr>
        <w:t xml:space="preserve">In practice, the practitioner could lead lessons based on The Three Little Pigs. The teaching could involve a shared reading session where the story is read to the pupils and is then discussed as a class. It could then progress to group learning in rotations where the pupils could be asked to draw or create a story line, leading to writing a simple recount, or a task where they create small houses out of different materials selected by the class. The teaching could also involve a trip to a farm to see pigs or an independent learning session where the children are tasked to role play the story using expressive arts or with toys. Incorporating more than one method of teaching makes the topic fun and engaging at all points. </w:t>
      </w:r>
    </w:p>
    <w:p w14:paraId="4CFEA775" w14:textId="73B958FA" w:rsidR="004C43FF" w:rsidRPr="00E36106" w:rsidRDefault="004C43FF">
      <w:pPr>
        <w:rPr>
          <w:rFonts w:ascii="Arial" w:hAnsi="Arial" w:cs="Arial"/>
          <w:sz w:val="24"/>
          <w:szCs w:val="24"/>
        </w:rPr>
      </w:pPr>
      <w:r w:rsidRPr="00E36106">
        <w:rPr>
          <w:rFonts w:ascii="Arial" w:hAnsi="Arial" w:cs="Arial"/>
          <w:sz w:val="24"/>
          <w:szCs w:val="24"/>
        </w:rPr>
        <w:t>Young children could find it difficult to grasp and engage with direct teaching, so keeping a range of methods can potentially allow them to engage further and find the teaching more enjoyable. Direct teaching involves set instructions to teach the children and is very much teacher led. It is typically taught towards the whole class with the teacher at the front (Structural Learning, n.d.). This makes it beneficial for children to progress effectively and aids them in applying skills they have learned into different circumstances both in and out of school. Direct teaching may be viewed by some educators and reformers as outdated, abstruse, or inadequately considerate of pupil learning. This is because it is frequently associated with the lecturing method of teaching where students sit and take notes (</w:t>
      </w:r>
      <w:proofErr w:type="spellStart"/>
      <w:proofErr w:type="gramStart"/>
      <w:r w:rsidRPr="00E36106">
        <w:rPr>
          <w:rFonts w:ascii="Arial" w:hAnsi="Arial" w:cs="Arial"/>
          <w:sz w:val="24"/>
          <w:szCs w:val="24"/>
        </w:rPr>
        <w:t>M.Ed</w:t>
      </w:r>
      <w:proofErr w:type="spellEnd"/>
      <w:proofErr w:type="gramEnd"/>
      <w:r w:rsidRPr="00E36106">
        <w:rPr>
          <w:rFonts w:ascii="Arial" w:hAnsi="Arial" w:cs="Arial"/>
          <w:sz w:val="24"/>
          <w:szCs w:val="24"/>
        </w:rPr>
        <w:t>, 2019). This method tends to fall under the assumption that all pupils can learn at the same pace</w:t>
      </w:r>
      <w:r w:rsidR="00102B13" w:rsidRPr="00E36106">
        <w:rPr>
          <w:rFonts w:ascii="Arial" w:hAnsi="Arial" w:cs="Arial"/>
          <w:sz w:val="24"/>
          <w:szCs w:val="24"/>
        </w:rPr>
        <w:t>,</w:t>
      </w:r>
      <w:r w:rsidRPr="00E36106">
        <w:rPr>
          <w:rFonts w:ascii="Arial" w:hAnsi="Arial" w:cs="Arial"/>
          <w:sz w:val="24"/>
          <w:szCs w:val="24"/>
        </w:rPr>
        <w:t xml:space="preserve"> in the same way</w:t>
      </w:r>
      <w:r w:rsidR="00102B13" w:rsidRPr="00E36106">
        <w:rPr>
          <w:rFonts w:ascii="Arial" w:hAnsi="Arial" w:cs="Arial"/>
          <w:sz w:val="24"/>
          <w:szCs w:val="24"/>
        </w:rPr>
        <w:t>,</w:t>
      </w:r>
      <w:r w:rsidRPr="00E36106">
        <w:rPr>
          <w:rFonts w:ascii="Arial" w:hAnsi="Arial" w:cs="Arial"/>
          <w:sz w:val="24"/>
          <w:szCs w:val="24"/>
        </w:rPr>
        <w:t xml:space="preserve"> which can be viewed as ineffective in</w:t>
      </w:r>
      <w:r w:rsidR="00102B13" w:rsidRPr="00E36106">
        <w:rPr>
          <w:rFonts w:ascii="Arial" w:hAnsi="Arial" w:cs="Arial"/>
          <w:sz w:val="24"/>
          <w:szCs w:val="24"/>
        </w:rPr>
        <w:t xml:space="preserve"> many</w:t>
      </w:r>
      <w:r w:rsidRPr="00E36106">
        <w:rPr>
          <w:rFonts w:ascii="Arial" w:hAnsi="Arial" w:cs="Arial"/>
          <w:sz w:val="24"/>
          <w:szCs w:val="24"/>
        </w:rPr>
        <w:t xml:space="preserve"> ways for FP learners. </w:t>
      </w:r>
      <w:r w:rsidR="00102B13" w:rsidRPr="00E36106">
        <w:rPr>
          <w:rFonts w:ascii="Arial" w:hAnsi="Arial" w:cs="Arial"/>
          <w:sz w:val="24"/>
          <w:szCs w:val="24"/>
        </w:rPr>
        <w:t>It can be seen as effective solely for teaching basic academic abilities; ineffective for teaching skills such as problem solving, analytical skills or comprehension skills</w:t>
      </w:r>
      <w:r w:rsidR="004A7B37">
        <w:rPr>
          <w:rFonts w:ascii="Arial" w:hAnsi="Arial" w:cs="Arial"/>
          <w:sz w:val="24"/>
          <w:szCs w:val="24"/>
        </w:rPr>
        <w:t>.</w:t>
      </w:r>
    </w:p>
    <w:p w14:paraId="7531E21B" w14:textId="09F0313C" w:rsidR="004C43FF" w:rsidRPr="00E36106" w:rsidRDefault="004C43FF">
      <w:pPr>
        <w:rPr>
          <w:rFonts w:ascii="Arial" w:hAnsi="Arial" w:cs="Arial"/>
          <w:sz w:val="24"/>
          <w:szCs w:val="24"/>
        </w:rPr>
      </w:pPr>
      <w:r w:rsidRPr="00E36106">
        <w:rPr>
          <w:rFonts w:ascii="Arial" w:hAnsi="Arial" w:cs="Arial"/>
          <w:sz w:val="24"/>
          <w:szCs w:val="24"/>
        </w:rPr>
        <w:t xml:space="preserve">However, there are multiple forms of teaching and learning that can be more effective and engaging for the foundation phase (FP). Learning through play is a main contributor to a child’s progress in school and is essential when developing a child’s most </w:t>
      </w:r>
      <w:r w:rsidR="00102B13" w:rsidRPr="00E36106">
        <w:rPr>
          <w:rFonts w:ascii="Arial" w:hAnsi="Arial" w:cs="Arial"/>
          <w:sz w:val="24"/>
          <w:szCs w:val="24"/>
        </w:rPr>
        <w:t>crucial</w:t>
      </w:r>
      <w:r w:rsidRPr="00E36106">
        <w:rPr>
          <w:rFonts w:ascii="Arial" w:hAnsi="Arial" w:cs="Arial"/>
          <w:sz w:val="24"/>
          <w:szCs w:val="24"/>
        </w:rPr>
        <w:t xml:space="preserve"> life skills. This is their cognitive development, social, physical, and emotional development (Welsh Government, n.d.). Play is seen as a learning experience that considers the whole child, not only making space for needed activity, but sparking the ability to find </w:t>
      </w:r>
      <w:r w:rsidR="00102B13" w:rsidRPr="00E36106">
        <w:rPr>
          <w:rFonts w:ascii="Arial" w:hAnsi="Arial" w:cs="Arial"/>
          <w:sz w:val="24"/>
          <w:szCs w:val="24"/>
        </w:rPr>
        <w:t xml:space="preserve">the </w:t>
      </w:r>
      <w:r w:rsidRPr="00E36106">
        <w:rPr>
          <w:rFonts w:ascii="Arial" w:hAnsi="Arial" w:cs="Arial"/>
          <w:sz w:val="24"/>
          <w:szCs w:val="24"/>
        </w:rPr>
        <w:t xml:space="preserve">joy </w:t>
      </w:r>
      <w:r w:rsidR="00102B13" w:rsidRPr="00E36106">
        <w:rPr>
          <w:rFonts w:ascii="Arial" w:hAnsi="Arial" w:cs="Arial"/>
          <w:sz w:val="24"/>
          <w:szCs w:val="24"/>
        </w:rPr>
        <w:t>with</w:t>
      </w:r>
      <w:r w:rsidRPr="00E36106">
        <w:rPr>
          <w:rFonts w:ascii="Arial" w:hAnsi="Arial" w:cs="Arial"/>
          <w:sz w:val="24"/>
          <w:szCs w:val="24"/>
        </w:rPr>
        <w:t xml:space="preserve">in them (Hoskins and Smedley, 2019). From viewing a FP learning environment during </w:t>
      </w:r>
      <w:r w:rsidR="003E3FC5" w:rsidRPr="00E36106">
        <w:rPr>
          <w:rFonts w:ascii="Arial" w:hAnsi="Arial" w:cs="Arial"/>
          <w:sz w:val="24"/>
          <w:szCs w:val="24"/>
        </w:rPr>
        <w:t>placement and bridging</w:t>
      </w:r>
      <w:r w:rsidRPr="00E36106">
        <w:rPr>
          <w:rFonts w:ascii="Arial" w:hAnsi="Arial" w:cs="Arial"/>
          <w:sz w:val="24"/>
          <w:szCs w:val="24"/>
        </w:rPr>
        <w:t xml:space="preserve">, I saw that children seemed immediately engaged when tasked with an activity involving some method of play. The children appeared to enjoy role playing areas, building with Lego, using figures and toys, as well as physical activity such as tough tray exercises. Although these tasks are set to be fun and enjoyable for the child, they never stray away from developing what needs to be developed. They constantly incorporated fine and gross motor skills, personality development, problem solving and outdoor activity. </w:t>
      </w:r>
    </w:p>
    <w:p w14:paraId="3DD3A174" w14:textId="2A3686BA" w:rsidR="004C43FF" w:rsidRPr="00E36106" w:rsidRDefault="004C43FF">
      <w:pPr>
        <w:rPr>
          <w:rFonts w:ascii="Arial" w:hAnsi="Arial" w:cs="Arial"/>
          <w:sz w:val="24"/>
          <w:szCs w:val="24"/>
        </w:rPr>
      </w:pPr>
      <w:r w:rsidRPr="00E36106">
        <w:rPr>
          <w:rFonts w:ascii="Arial" w:hAnsi="Arial" w:cs="Arial"/>
          <w:sz w:val="24"/>
          <w:szCs w:val="24"/>
        </w:rPr>
        <w:t xml:space="preserve">When taking a personal stance, I believe that blended learning is beneficial to the development of the child in their early stages of education. Employing a range of methods can easily allow the child to stay engaged, and helps the practitioner learn how and when a single child is learning the best. Allowing children to be educated </w:t>
      </w:r>
      <w:r w:rsidRPr="00E36106">
        <w:rPr>
          <w:rFonts w:ascii="Arial" w:hAnsi="Arial" w:cs="Arial"/>
          <w:sz w:val="24"/>
          <w:szCs w:val="24"/>
        </w:rPr>
        <w:lastRenderedPageBreak/>
        <w:t>through play, group settings,</w:t>
      </w:r>
      <w:r w:rsidR="00102B13" w:rsidRPr="00E36106">
        <w:rPr>
          <w:rFonts w:ascii="Arial" w:hAnsi="Arial" w:cs="Arial"/>
          <w:sz w:val="24"/>
          <w:szCs w:val="24"/>
        </w:rPr>
        <w:t xml:space="preserve"> group rotations, and</w:t>
      </w:r>
      <w:r w:rsidRPr="00E36106">
        <w:rPr>
          <w:rFonts w:ascii="Arial" w:hAnsi="Arial" w:cs="Arial"/>
          <w:sz w:val="24"/>
          <w:szCs w:val="24"/>
        </w:rPr>
        <w:t xml:space="preserve"> outdoor settings etc allows a child to explore their own personalities and develop their own understanding in a way that direct teaching alone may not be able to achieve</w:t>
      </w:r>
      <w:r w:rsidR="00102B13" w:rsidRPr="00E36106">
        <w:rPr>
          <w:rFonts w:ascii="Arial" w:hAnsi="Arial" w:cs="Arial"/>
          <w:sz w:val="24"/>
          <w:szCs w:val="24"/>
        </w:rPr>
        <w:t xml:space="preserve">, whilst simultaneously keeping them thoroughly engaged and ready to learn throughout the day. </w:t>
      </w:r>
    </w:p>
    <w:p w14:paraId="08DB4519" w14:textId="77777777" w:rsidR="003E3FC5" w:rsidRPr="00E36106" w:rsidRDefault="003E3FC5">
      <w:pPr>
        <w:rPr>
          <w:rFonts w:ascii="Arial" w:hAnsi="Arial" w:cs="Arial"/>
          <w:sz w:val="24"/>
          <w:szCs w:val="24"/>
        </w:rPr>
      </w:pPr>
    </w:p>
    <w:p w14:paraId="4DB3E351" w14:textId="077FE5C2" w:rsidR="003E3FC5" w:rsidRPr="00E36106" w:rsidRDefault="003E3FC5" w:rsidP="00102B13">
      <w:pPr>
        <w:rPr>
          <w:rFonts w:ascii="Arial" w:hAnsi="Arial" w:cs="Arial"/>
          <w:bCs/>
          <w:sz w:val="24"/>
          <w:szCs w:val="24"/>
        </w:rPr>
      </w:pPr>
      <w:r w:rsidRPr="00E36106">
        <w:rPr>
          <w:rFonts w:ascii="Arial" w:hAnsi="Arial" w:cs="Arial"/>
          <w:bCs/>
          <w:sz w:val="24"/>
          <w:szCs w:val="24"/>
        </w:rPr>
        <w:t xml:space="preserve">The second principle discussed is </w:t>
      </w:r>
      <w:r w:rsidRPr="00E36106">
        <w:rPr>
          <w:rFonts w:ascii="Arial" w:hAnsi="Arial" w:cs="Arial"/>
          <w:bCs/>
          <w:i/>
          <w:iCs/>
          <w:sz w:val="24"/>
          <w:szCs w:val="24"/>
        </w:rPr>
        <w:t>“g</w:t>
      </w:r>
      <w:r w:rsidRPr="00E36106">
        <w:rPr>
          <w:rFonts w:ascii="Arial" w:hAnsi="Arial" w:cs="Arial"/>
          <w:bCs/>
          <w:i/>
          <w:iCs/>
          <w:sz w:val="24"/>
          <w:szCs w:val="24"/>
        </w:rPr>
        <w:t>ood teaching and learning sets tasks and selects resources that build on previous knowledge and experience and engage interest</w:t>
      </w:r>
      <w:r w:rsidRPr="00E36106">
        <w:rPr>
          <w:rFonts w:ascii="Arial" w:hAnsi="Arial" w:cs="Arial"/>
          <w:bCs/>
          <w:i/>
          <w:iCs/>
          <w:sz w:val="24"/>
          <w:szCs w:val="24"/>
        </w:rPr>
        <w:t>”.</w:t>
      </w:r>
      <w:r w:rsidRPr="00E36106">
        <w:rPr>
          <w:rFonts w:ascii="Arial" w:hAnsi="Arial" w:cs="Arial"/>
          <w:bCs/>
          <w:sz w:val="24"/>
          <w:szCs w:val="24"/>
        </w:rPr>
        <w:t xml:space="preserve"> (Donaldson, 2015:68). Children in school will each have their own interests and approaches to learning so teaching needs to be structured to cater for all needs (Donaldson, 2015). Children need to be challenged in the school environment in order for them to progress, however, challenges need to be created based on the ability of the child, in a way that keeps them engaged throughout. Accessing prior knowledge has a direct impact on how they remember, think, develop, and apply new knowledge (Carnegie Mellon University, 2019). Understanding needs to be assessed in order for the practitioner to know how to progress each child. Different levels will need to be met whilst maintaining engagement, so children are motivated to continue. </w:t>
      </w:r>
    </w:p>
    <w:p w14:paraId="18E04925" w14:textId="7E956D0D" w:rsidR="003E3FC5" w:rsidRPr="00E36106" w:rsidRDefault="003E3FC5" w:rsidP="00102B13">
      <w:pPr>
        <w:rPr>
          <w:rFonts w:ascii="Arial" w:hAnsi="Arial" w:cs="Arial"/>
          <w:bCs/>
          <w:sz w:val="24"/>
          <w:szCs w:val="24"/>
        </w:rPr>
      </w:pPr>
      <w:r w:rsidRPr="00E36106">
        <w:rPr>
          <w:rFonts w:ascii="Arial" w:hAnsi="Arial" w:cs="Arial"/>
          <w:bCs/>
          <w:sz w:val="24"/>
          <w:szCs w:val="24"/>
        </w:rPr>
        <w:t>An impactful method could be the use of Vygotsky’s Zone of Proximal Development (ZPD) and more knowledgeable others (MKO) (Vygotsky, 1978). An MKO is a person with a higher understanding of something than the learner in a task, for example, a teacher or a peer at a higher level (</w:t>
      </w:r>
      <w:proofErr w:type="spellStart"/>
      <w:r w:rsidRPr="00E36106">
        <w:rPr>
          <w:rFonts w:ascii="Arial" w:hAnsi="Arial" w:cs="Arial"/>
          <w:bCs/>
          <w:sz w:val="24"/>
          <w:szCs w:val="24"/>
        </w:rPr>
        <w:t>Mcleod</w:t>
      </w:r>
      <w:proofErr w:type="spellEnd"/>
      <w:r w:rsidRPr="00E36106">
        <w:rPr>
          <w:rFonts w:ascii="Arial" w:hAnsi="Arial" w:cs="Arial"/>
          <w:bCs/>
          <w:sz w:val="24"/>
          <w:szCs w:val="24"/>
        </w:rPr>
        <w:t xml:space="preserve">, 2019). A teacher can model what a task is and how to complete it which is copied by the pupils. They then continue to work on their own with feedback on their performance (Silver, 2011). The scaffolding method is used to offer gradual “steppingstones” to aid students in progressing through their work (Silver 2011). </w:t>
      </w:r>
      <w:r w:rsidRPr="00E36106">
        <w:rPr>
          <w:rFonts w:ascii="Arial" w:hAnsi="Arial" w:cs="Arial"/>
          <w:bCs/>
          <w:sz w:val="24"/>
          <w:szCs w:val="24"/>
        </w:rPr>
        <w:t xml:space="preserve">Silver (2011) offers ten guidelines to ensure scaffolding is used effectively. </w:t>
      </w:r>
      <w:r w:rsidRPr="00E36106">
        <w:rPr>
          <w:rFonts w:ascii="Arial" w:hAnsi="Arial" w:cs="Arial"/>
          <w:bCs/>
          <w:sz w:val="24"/>
          <w:szCs w:val="24"/>
        </w:rPr>
        <w:t xml:space="preserve">Assessment can be an incredibly important step to figure out where a child is in terms of their understanding and development. The next steps then need to be curated based on what you know the pupils can and can’t do. “Steppingstone” tasks are then implemented to allow challenge in progression. Feedback and prompts are given from the position of the MKO throughout, as well as receiving personal feedback from the pupil about where they feel they stand in their learning (Silver, 2011). </w:t>
      </w:r>
    </w:p>
    <w:p w14:paraId="463EB216" w14:textId="58F6E0B0" w:rsidR="00AF58B5" w:rsidRDefault="003E3FC5" w:rsidP="00102B13">
      <w:pPr>
        <w:rPr>
          <w:rFonts w:ascii="Arial" w:hAnsi="Arial" w:cs="Arial"/>
          <w:bCs/>
          <w:sz w:val="24"/>
          <w:szCs w:val="24"/>
        </w:rPr>
      </w:pPr>
      <w:r w:rsidRPr="00E36106">
        <w:rPr>
          <w:rFonts w:ascii="Arial" w:hAnsi="Arial" w:cs="Arial"/>
          <w:bCs/>
          <w:sz w:val="24"/>
          <w:szCs w:val="24"/>
        </w:rPr>
        <w:t xml:space="preserve">In my placement school, there are many kinds of assessment methods used in teaching. Some of the most used methods I saw include mainly self-assessment. Children are given a card that sticks into workbooks with a traffic-light system they call RAG </w:t>
      </w:r>
      <w:r w:rsidR="00AF58B5">
        <w:rPr>
          <w:rFonts w:ascii="Arial" w:hAnsi="Arial" w:cs="Arial"/>
          <w:bCs/>
          <w:sz w:val="24"/>
          <w:szCs w:val="24"/>
        </w:rPr>
        <w:t xml:space="preserve">(red, </w:t>
      </w:r>
      <w:proofErr w:type="gramStart"/>
      <w:r w:rsidR="00AF58B5">
        <w:rPr>
          <w:rFonts w:ascii="Arial" w:hAnsi="Arial" w:cs="Arial"/>
          <w:bCs/>
          <w:sz w:val="24"/>
          <w:szCs w:val="24"/>
        </w:rPr>
        <w:t>amber</w:t>
      </w:r>
      <w:proofErr w:type="gramEnd"/>
      <w:r w:rsidR="00AF58B5">
        <w:rPr>
          <w:rFonts w:ascii="Arial" w:hAnsi="Arial" w:cs="Arial"/>
          <w:bCs/>
          <w:sz w:val="24"/>
          <w:szCs w:val="24"/>
        </w:rPr>
        <w:t xml:space="preserve"> and green) </w:t>
      </w:r>
      <w:r w:rsidRPr="00E36106">
        <w:rPr>
          <w:rFonts w:ascii="Arial" w:hAnsi="Arial" w:cs="Arial"/>
          <w:bCs/>
          <w:sz w:val="24"/>
          <w:szCs w:val="24"/>
        </w:rPr>
        <w:t xml:space="preserve">scoring. Once the task is complete, they choose either red, meaning they didn’t really understand, amber, they had some understanding, or green, they understood the task, to tell their teacher how they felt they performed in that </w:t>
      </w:r>
      <w:r w:rsidR="00AF58B5">
        <w:rPr>
          <w:rFonts w:ascii="Arial" w:hAnsi="Arial" w:cs="Arial"/>
          <w:bCs/>
          <w:sz w:val="24"/>
          <w:szCs w:val="24"/>
        </w:rPr>
        <w:t>session</w:t>
      </w:r>
      <w:r w:rsidRPr="00E36106">
        <w:rPr>
          <w:rFonts w:ascii="Arial" w:hAnsi="Arial" w:cs="Arial"/>
          <w:bCs/>
          <w:sz w:val="24"/>
          <w:szCs w:val="24"/>
        </w:rPr>
        <w:t xml:space="preserve">. The class is set up into groups of ability level and tasks are set at the </w:t>
      </w:r>
      <w:r w:rsidR="008010BF">
        <w:rPr>
          <w:rFonts w:ascii="Arial" w:hAnsi="Arial" w:cs="Arial"/>
          <w:bCs/>
          <w:sz w:val="24"/>
          <w:szCs w:val="24"/>
        </w:rPr>
        <w:t>levels of challenge that</w:t>
      </w:r>
      <w:r w:rsidRPr="00E36106">
        <w:rPr>
          <w:rFonts w:ascii="Arial" w:hAnsi="Arial" w:cs="Arial"/>
          <w:bCs/>
          <w:sz w:val="24"/>
          <w:szCs w:val="24"/>
        </w:rPr>
        <w:t xml:space="preserve"> those children need. The teacher </w:t>
      </w:r>
      <w:r w:rsidR="008010BF">
        <w:rPr>
          <w:rFonts w:ascii="Arial" w:hAnsi="Arial" w:cs="Arial"/>
          <w:bCs/>
          <w:sz w:val="24"/>
          <w:szCs w:val="24"/>
        </w:rPr>
        <w:t xml:space="preserve">then </w:t>
      </w:r>
      <w:r w:rsidRPr="00E36106">
        <w:rPr>
          <w:rFonts w:ascii="Arial" w:hAnsi="Arial" w:cs="Arial"/>
          <w:bCs/>
          <w:sz w:val="24"/>
          <w:szCs w:val="24"/>
        </w:rPr>
        <w:t xml:space="preserve">understands what lessons are the most engaging for each group. For example, when conducting a maths lesson, a lower ability group may have the highest engagement when learning with physical resources such as numicon shapes or a number line, so the teacher will ensure to include these resources in the lessons with that group. The more able group, however, may thrive off completing written questions of increasing </w:t>
      </w:r>
      <w:r w:rsidR="001B55D7">
        <w:rPr>
          <w:rFonts w:ascii="Arial" w:hAnsi="Arial" w:cs="Arial"/>
          <w:bCs/>
          <w:sz w:val="24"/>
          <w:szCs w:val="24"/>
        </w:rPr>
        <w:t>difficulty</w:t>
      </w:r>
      <w:r w:rsidRPr="00E36106">
        <w:rPr>
          <w:rFonts w:ascii="Arial" w:hAnsi="Arial" w:cs="Arial"/>
          <w:bCs/>
          <w:sz w:val="24"/>
          <w:szCs w:val="24"/>
        </w:rPr>
        <w:t xml:space="preserve"> independently to allow them to challenge their minds and see where they need to improve, so the teacher will involve those tasks often in their lessons. This almost guarantees that they will look forward to those sessions and be consistently engaged throughout. </w:t>
      </w:r>
    </w:p>
    <w:p w14:paraId="5511B772" w14:textId="75548351" w:rsidR="003E3FC5" w:rsidRPr="00AF58B5" w:rsidRDefault="003E3FC5" w:rsidP="00102B13">
      <w:pPr>
        <w:rPr>
          <w:rFonts w:ascii="Arial" w:hAnsi="Arial" w:cs="Arial"/>
          <w:bCs/>
          <w:sz w:val="24"/>
          <w:szCs w:val="24"/>
        </w:rPr>
      </w:pPr>
      <w:r w:rsidRPr="00E36106">
        <w:rPr>
          <w:rFonts w:ascii="Arial" w:hAnsi="Arial" w:cs="Arial"/>
          <w:bCs/>
          <w:sz w:val="24"/>
          <w:szCs w:val="24"/>
        </w:rPr>
        <w:lastRenderedPageBreak/>
        <w:t xml:space="preserve">Building on previous knowledge and ensuring engagement and interest is always met is a vital aspect of a child’s progression. Every child will not work in the same way or at the same pace, so it is important to structure learning in a way which avoids implementing a ‘one size fits all’ assumption. Consistent forms of assessment such a self-assessment and teacher assessment ensures each child is working at the right pace and allows the teacher to create lessons based on what they found the most enjoyable and when they learned best to almost guarantee motivation, engagement, and interest. </w:t>
      </w:r>
    </w:p>
    <w:p w14:paraId="14A4AA9F" w14:textId="77777777" w:rsidR="00AF58B5" w:rsidRDefault="00AF58B5" w:rsidP="00102B13">
      <w:pPr>
        <w:rPr>
          <w:rFonts w:ascii="Arial" w:hAnsi="Arial" w:cs="Arial"/>
          <w:b/>
          <w:i/>
          <w:iCs/>
          <w:sz w:val="24"/>
          <w:szCs w:val="24"/>
        </w:rPr>
      </w:pPr>
    </w:p>
    <w:p w14:paraId="5F7E2171" w14:textId="1F39C6DA" w:rsidR="00102B13" w:rsidRPr="00E36106" w:rsidRDefault="003E3FC5" w:rsidP="00102B13">
      <w:pPr>
        <w:rPr>
          <w:rFonts w:ascii="Arial" w:hAnsi="Arial" w:cs="Arial"/>
          <w:bCs/>
          <w:sz w:val="24"/>
          <w:szCs w:val="24"/>
        </w:rPr>
      </w:pPr>
      <w:r w:rsidRPr="00E36106">
        <w:rPr>
          <w:rFonts w:ascii="Arial" w:hAnsi="Arial" w:cs="Arial"/>
          <w:bCs/>
          <w:sz w:val="24"/>
          <w:szCs w:val="24"/>
        </w:rPr>
        <w:t>The final principle for discussion is</w:t>
      </w:r>
      <w:r w:rsidRPr="00E36106">
        <w:rPr>
          <w:rFonts w:ascii="Arial" w:hAnsi="Arial" w:cs="Arial"/>
          <w:bCs/>
          <w:i/>
          <w:iCs/>
          <w:sz w:val="24"/>
          <w:szCs w:val="24"/>
        </w:rPr>
        <w:t xml:space="preserve"> </w:t>
      </w:r>
      <w:r w:rsidR="00102B13" w:rsidRPr="00E36106">
        <w:rPr>
          <w:rFonts w:ascii="Arial" w:hAnsi="Arial" w:cs="Arial"/>
          <w:bCs/>
          <w:i/>
          <w:iCs/>
          <w:sz w:val="24"/>
          <w:szCs w:val="24"/>
        </w:rPr>
        <w:t>“</w:t>
      </w:r>
      <w:r w:rsidRPr="00E36106">
        <w:rPr>
          <w:rFonts w:ascii="Arial" w:hAnsi="Arial" w:cs="Arial"/>
          <w:bCs/>
          <w:i/>
          <w:iCs/>
          <w:sz w:val="24"/>
          <w:szCs w:val="24"/>
        </w:rPr>
        <w:t>g</w:t>
      </w:r>
      <w:r w:rsidR="00102B13" w:rsidRPr="00E36106">
        <w:rPr>
          <w:rFonts w:ascii="Arial" w:hAnsi="Arial" w:cs="Arial"/>
          <w:bCs/>
          <w:i/>
          <w:iCs/>
          <w:sz w:val="24"/>
          <w:szCs w:val="24"/>
        </w:rPr>
        <w:t>ood teaching and learning ranges within and across Areas of Learning and experience</w:t>
      </w:r>
      <w:r w:rsidR="00102B13" w:rsidRPr="00E36106">
        <w:rPr>
          <w:rFonts w:ascii="Arial" w:hAnsi="Arial" w:cs="Arial"/>
          <w:bCs/>
          <w:sz w:val="24"/>
          <w:szCs w:val="24"/>
        </w:rPr>
        <w:t>.</w:t>
      </w:r>
      <w:r w:rsidR="00102B13" w:rsidRPr="00E36106">
        <w:rPr>
          <w:rFonts w:ascii="Arial" w:hAnsi="Arial" w:cs="Arial"/>
          <w:bCs/>
          <w:sz w:val="24"/>
          <w:szCs w:val="24"/>
        </w:rPr>
        <w:t>”</w:t>
      </w:r>
      <w:r w:rsidRPr="00E36106">
        <w:rPr>
          <w:rFonts w:ascii="Arial" w:hAnsi="Arial" w:cs="Arial"/>
          <w:bCs/>
          <w:sz w:val="24"/>
          <w:szCs w:val="24"/>
        </w:rPr>
        <w:t xml:space="preserve"> (Donaldson, 2015:68).</w:t>
      </w:r>
      <w:r w:rsidRPr="00E36106">
        <w:rPr>
          <w:rFonts w:ascii="Arial" w:hAnsi="Arial" w:cs="Arial"/>
          <w:bCs/>
          <w:i/>
          <w:iCs/>
          <w:sz w:val="24"/>
          <w:szCs w:val="24"/>
        </w:rPr>
        <w:t xml:space="preserve"> </w:t>
      </w:r>
      <w:r w:rsidRPr="00E36106">
        <w:rPr>
          <w:rFonts w:ascii="Arial" w:hAnsi="Arial" w:cs="Arial"/>
          <w:bCs/>
          <w:sz w:val="24"/>
          <w:szCs w:val="24"/>
        </w:rPr>
        <w:t>If strong links can be found between and within the AoLEs, they are likely to enhance and reinforce learning (Donaldson, 2015). Creating cross-curricular links in learning can help to further develop knowledge in creative ways. Jonathan Barnes (2015) states “</w:t>
      </w:r>
      <w:r w:rsidRPr="00E36106">
        <w:rPr>
          <w:rFonts w:ascii="Arial" w:hAnsi="Arial" w:cs="Arial"/>
          <w:bCs/>
          <w:i/>
          <w:iCs/>
          <w:sz w:val="24"/>
          <w:szCs w:val="24"/>
        </w:rPr>
        <w:t xml:space="preserve">the world beyond the classroom is cross-curricular”. </w:t>
      </w:r>
      <w:r w:rsidRPr="00E36106">
        <w:rPr>
          <w:rFonts w:ascii="Arial" w:hAnsi="Arial" w:cs="Arial"/>
          <w:bCs/>
          <w:sz w:val="24"/>
          <w:szCs w:val="24"/>
        </w:rPr>
        <w:t>People use multiple subject skills daily to complete tasks or simply go about their day (Barnes, 2015). So why not use this within the classroom too? Using a range of experiences and teaching methods across the AoLE’s allows pupils to widen their knowledge and understanding in multiple ways</w:t>
      </w:r>
      <w:r w:rsidR="0094739E">
        <w:rPr>
          <w:rFonts w:ascii="Arial" w:hAnsi="Arial" w:cs="Arial"/>
          <w:bCs/>
          <w:sz w:val="24"/>
          <w:szCs w:val="24"/>
        </w:rPr>
        <w:t>, impacting their development both in and out of school.</w:t>
      </w:r>
    </w:p>
    <w:p w14:paraId="5F3F7B59" w14:textId="0ECCD994" w:rsidR="003E3FC5" w:rsidRPr="00E36106" w:rsidRDefault="003E3FC5" w:rsidP="00102B13">
      <w:pPr>
        <w:rPr>
          <w:rFonts w:ascii="Arial" w:hAnsi="Arial" w:cs="Arial"/>
          <w:bCs/>
          <w:sz w:val="24"/>
          <w:szCs w:val="24"/>
        </w:rPr>
      </w:pPr>
      <w:r w:rsidRPr="00E36106">
        <w:rPr>
          <w:rFonts w:ascii="Arial" w:hAnsi="Arial" w:cs="Arial"/>
          <w:bCs/>
          <w:sz w:val="24"/>
          <w:szCs w:val="24"/>
        </w:rPr>
        <w:t xml:space="preserve">Cross-curricular learning can cover a broad range of topics, yet it typically relies on connections between only a few important ones. This can be beneficial to pupils as it enables them to spot informational correlations across subjects that will aid in reinforcing important knowledge (Twinkl, 2021). Not only can it broaden understanding within the school environment, but it also helps children to make connections to the real-world. Scheduled subject specific lessons can be viewed as a highly practical technique to guarantee that all pupils devote the same amount of time to mastering each discipline. However, the significance of providing a real-world learning environment in which pupils can implement what they learn, can be viewed to be just as important, if not more beneficial (Strecker, 2021). </w:t>
      </w:r>
      <w:r w:rsidRPr="00E36106">
        <w:rPr>
          <w:rFonts w:ascii="Arial" w:hAnsi="Arial" w:cs="Arial"/>
          <w:bCs/>
          <w:sz w:val="24"/>
          <w:szCs w:val="24"/>
        </w:rPr>
        <w:t xml:space="preserve">It can be important to look for ways to connect AoLEs when looking into </w:t>
      </w:r>
      <w:r w:rsidR="00FE2E6E">
        <w:rPr>
          <w:rFonts w:ascii="Arial" w:hAnsi="Arial" w:cs="Arial"/>
          <w:bCs/>
          <w:sz w:val="24"/>
          <w:szCs w:val="24"/>
        </w:rPr>
        <w:t xml:space="preserve">certain </w:t>
      </w:r>
      <w:r w:rsidRPr="00E36106">
        <w:rPr>
          <w:rFonts w:ascii="Arial" w:hAnsi="Arial" w:cs="Arial"/>
          <w:bCs/>
          <w:sz w:val="24"/>
          <w:szCs w:val="24"/>
        </w:rPr>
        <w:t>topics</w:t>
      </w:r>
      <w:r w:rsidRPr="00E36106">
        <w:rPr>
          <w:rFonts w:ascii="Arial" w:hAnsi="Arial" w:cs="Arial"/>
          <w:bCs/>
          <w:sz w:val="24"/>
          <w:szCs w:val="24"/>
        </w:rPr>
        <w:t xml:space="preserve">. Links between these disciplines may occur naturally rather than forcibly. To almost certify the links are clear enough to understand, topics where they naturally emerge can be selected (Strecker, 2021). However, there are some drawbacks that can be noted. </w:t>
      </w:r>
      <w:r w:rsidR="002E0688" w:rsidRPr="00E36106">
        <w:rPr>
          <w:rFonts w:ascii="Arial" w:hAnsi="Arial" w:cs="Arial"/>
          <w:bCs/>
          <w:sz w:val="24"/>
          <w:szCs w:val="24"/>
        </w:rPr>
        <w:t>Long-term attention retention for students might be difficult</w:t>
      </w:r>
      <w:r w:rsidR="002E0688">
        <w:rPr>
          <w:rFonts w:ascii="Arial" w:hAnsi="Arial" w:cs="Arial"/>
          <w:bCs/>
          <w:sz w:val="24"/>
          <w:szCs w:val="24"/>
        </w:rPr>
        <w:t xml:space="preserve">. </w:t>
      </w:r>
      <w:r w:rsidRPr="00E36106">
        <w:rPr>
          <w:rFonts w:ascii="Arial" w:hAnsi="Arial" w:cs="Arial"/>
          <w:bCs/>
          <w:sz w:val="24"/>
          <w:szCs w:val="24"/>
        </w:rPr>
        <w:t xml:space="preserve">If not carefully thought out and executed, </w:t>
      </w:r>
      <w:r w:rsidR="00BB5C14">
        <w:rPr>
          <w:rFonts w:ascii="Arial" w:hAnsi="Arial" w:cs="Arial"/>
          <w:bCs/>
          <w:sz w:val="24"/>
          <w:szCs w:val="24"/>
        </w:rPr>
        <w:t>some topics or lessons</w:t>
      </w:r>
      <w:r w:rsidRPr="00E36106">
        <w:rPr>
          <w:rFonts w:ascii="Arial" w:hAnsi="Arial" w:cs="Arial"/>
          <w:bCs/>
          <w:sz w:val="24"/>
          <w:szCs w:val="24"/>
        </w:rPr>
        <w:t xml:space="preserve"> could begin by being incredibly engaging and exciting before it eventually fades</w:t>
      </w:r>
      <w:r w:rsidR="009C52A4">
        <w:rPr>
          <w:rFonts w:ascii="Arial" w:hAnsi="Arial" w:cs="Arial"/>
          <w:bCs/>
          <w:sz w:val="24"/>
          <w:szCs w:val="24"/>
        </w:rPr>
        <w:t xml:space="preserve"> and become</w:t>
      </w:r>
      <w:r w:rsidR="002E0688">
        <w:rPr>
          <w:rFonts w:ascii="Arial" w:hAnsi="Arial" w:cs="Arial"/>
          <w:bCs/>
          <w:sz w:val="24"/>
          <w:szCs w:val="24"/>
        </w:rPr>
        <w:t xml:space="preserve">s tedious and hard </w:t>
      </w:r>
      <w:r w:rsidR="009C52A4">
        <w:rPr>
          <w:rFonts w:ascii="Arial" w:hAnsi="Arial" w:cs="Arial"/>
          <w:bCs/>
          <w:sz w:val="24"/>
          <w:szCs w:val="24"/>
        </w:rPr>
        <w:t>to understand</w:t>
      </w:r>
      <w:r w:rsidR="002E0688">
        <w:rPr>
          <w:rFonts w:ascii="Arial" w:hAnsi="Arial" w:cs="Arial"/>
          <w:bCs/>
          <w:sz w:val="24"/>
          <w:szCs w:val="24"/>
        </w:rPr>
        <w:t xml:space="preserve"> or grasp,</w:t>
      </w:r>
      <w:r w:rsidR="009C52A4">
        <w:rPr>
          <w:rFonts w:ascii="Arial" w:hAnsi="Arial" w:cs="Arial"/>
          <w:bCs/>
          <w:sz w:val="24"/>
          <w:szCs w:val="24"/>
        </w:rPr>
        <w:t xml:space="preserve"> and motivation can be lost</w:t>
      </w:r>
      <w:r w:rsidRPr="00E36106">
        <w:rPr>
          <w:rFonts w:ascii="Arial" w:hAnsi="Arial" w:cs="Arial"/>
          <w:bCs/>
          <w:sz w:val="24"/>
          <w:szCs w:val="24"/>
        </w:rPr>
        <w:t xml:space="preserve">. </w:t>
      </w:r>
      <w:r w:rsidRPr="00E36106">
        <w:rPr>
          <w:rFonts w:ascii="Arial" w:hAnsi="Arial" w:cs="Arial"/>
          <w:bCs/>
          <w:sz w:val="24"/>
          <w:szCs w:val="24"/>
        </w:rPr>
        <w:t xml:space="preserve">(Lynch, 2019). Making cross-curricular links could be difficult for some subject areas as they still need to be effective and natural without seeming forced. Pupils may wonder why they are engaging in certain areas and wonder what the benefit is, ultimately losing interest in the topic. </w:t>
      </w:r>
    </w:p>
    <w:p w14:paraId="7A020416" w14:textId="0DF76438" w:rsidR="00AF58B5" w:rsidRDefault="003E3FC5" w:rsidP="00102B13">
      <w:pPr>
        <w:rPr>
          <w:rFonts w:ascii="Arial" w:hAnsi="Arial" w:cs="Arial"/>
          <w:color w:val="000000" w:themeColor="text1"/>
          <w:sz w:val="24"/>
          <w:szCs w:val="24"/>
          <w:shd w:val="clear" w:color="auto" w:fill="FFFFFF"/>
        </w:rPr>
      </w:pPr>
      <w:r w:rsidRPr="00E36106">
        <w:rPr>
          <w:rFonts w:ascii="Arial" w:hAnsi="Arial" w:cs="Arial"/>
          <w:color w:val="000000" w:themeColor="text1"/>
          <w:sz w:val="24"/>
          <w:szCs w:val="24"/>
          <w:shd w:val="clear" w:color="auto" w:fill="FFFFFF"/>
        </w:rPr>
        <w:t>When applying the principle to practise, an example of this could be used under the topic of natural disasters. If a teacher is leading lessons about volcanos,</w:t>
      </w:r>
      <w:r w:rsidR="002E0688">
        <w:rPr>
          <w:rFonts w:ascii="Arial" w:hAnsi="Arial" w:cs="Arial"/>
          <w:color w:val="000000" w:themeColor="text1"/>
          <w:sz w:val="24"/>
          <w:szCs w:val="24"/>
          <w:shd w:val="clear" w:color="auto" w:fill="FFFFFF"/>
        </w:rPr>
        <w:t xml:space="preserve"> for example,</w:t>
      </w:r>
      <w:r w:rsidRPr="00E36106">
        <w:rPr>
          <w:rFonts w:ascii="Arial" w:hAnsi="Arial" w:cs="Arial"/>
          <w:color w:val="000000" w:themeColor="text1"/>
          <w:sz w:val="24"/>
          <w:szCs w:val="24"/>
          <w:shd w:val="clear" w:color="auto" w:fill="FFFFFF"/>
        </w:rPr>
        <w:t xml:space="preserve"> they could begin with humanities. A geography session can entail what a volcano is, how they appear, what they do and where some are. </w:t>
      </w:r>
      <w:r w:rsidRPr="00E36106">
        <w:rPr>
          <w:rFonts w:ascii="Arial" w:hAnsi="Arial" w:cs="Arial"/>
          <w:color w:val="000000" w:themeColor="text1"/>
          <w:sz w:val="24"/>
          <w:szCs w:val="24"/>
          <w:shd w:val="clear" w:color="auto" w:fill="FFFFFF"/>
        </w:rPr>
        <w:t xml:space="preserve">History can teach about the biggest volcanic eruptions such as Pompeii or Mount </w:t>
      </w:r>
      <w:proofErr w:type="spellStart"/>
      <w:r w:rsidRPr="00E36106">
        <w:rPr>
          <w:rFonts w:ascii="Arial" w:hAnsi="Arial" w:cs="Arial"/>
          <w:color w:val="000000" w:themeColor="text1"/>
          <w:sz w:val="24"/>
          <w:szCs w:val="24"/>
          <w:shd w:val="clear" w:color="auto" w:fill="FFFFFF"/>
        </w:rPr>
        <w:t>Tambora</w:t>
      </w:r>
      <w:proofErr w:type="spellEnd"/>
      <w:r w:rsidRPr="00E36106">
        <w:rPr>
          <w:rFonts w:ascii="Arial" w:hAnsi="Arial" w:cs="Arial"/>
          <w:color w:val="000000" w:themeColor="text1"/>
          <w:sz w:val="24"/>
          <w:szCs w:val="24"/>
          <w:shd w:val="clear" w:color="auto" w:fill="FFFFFF"/>
        </w:rPr>
        <w:t xml:space="preserve">. </w:t>
      </w:r>
      <w:r w:rsidRPr="00E36106">
        <w:rPr>
          <w:rFonts w:ascii="Arial" w:hAnsi="Arial" w:cs="Arial"/>
          <w:color w:val="000000" w:themeColor="text1"/>
          <w:sz w:val="24"/>
          <w:szCs w:val="24"/>
          <w:shd w:val="clear" w:color="auto" w:fill="FFFFFF"/>
        </w:rPr>
        <w:t xml:space="preserve">You could then link to science and technology where pupils are tasked to create their own erupting volcanos, or expressive arts where they can draw or make a model volcano or cross-section or act out what to do if a volcano erupts. Languages, literacy, and communications can be linked by writing a short description on how they erupt. </w:t>
      </w:r>
      <w:r w:rsidRPr="00E36106">
        <w:rPr>
          <w:rFonts w:ascii="Arial" w:hAnsi="Arial" w:cs="Arial"/>
          <w:color w:val="000000" w:themeColor="text1"/>
          <w:sz w:val="24"/>
          <w:szCs w:val="24"/>
          <w:shd w:val="clear" w:color="auto" w:fill="FFFFFF"/>
        </w:rPr>
        <w:lastRenderedPageBreak/>
        <w:t xml:space="preserve">Constantly crossing between AoLE’s keeps children engaged without constantly using areas that may become boring and less engaging. </w:t>
      </w:r>
    </w:p>
    <w:p w14:paraId="2E431B61" w14:textId="02EDDB48" w:rsidR="00102B13" w:rsidRPr="00AF58B5" w:rsidRDefault="003E3FC5" w:rsidP="00102B13">
      <w:pPr>
        <w:rPr>
          <w:rFonts w:ascii="Arial" w:hAnsi="Arial" w:cs="Arial"/>
          <w:color w:val="000000" w:themeColor="text1"/>
          <w:sz w:val="24"/>
          <w:szCs w:val="24"/>
          <w:shd w:val="clear" w:color="auto" w:fill="FFFFFF"/>
        </w:rPr>
      </w:pPr>
      <w:r w:rsidRPr="00E36106">
        <w:rPr>
          <w:rFonts w:ascii="Arial" w:hAnsi="Arial" w:cs="Arial"/>
          <w:bCs/>
          <w:sz w:val="24"/>
          <w:szCs w:val="24"/>
        </w:rPr>
        <w:t>Keeping links between and across AoLEs is an incredibly beneficial aspect to teaching and learning in the FP. It ensures that teaching and learning is enhanced, and the children are intaking more knowledge and understanding that they can then apply throughout school. It also gives them the opportunity to apply those skills to real-world situations outside of the classroom meaning they are not only developing skills that are beneficial within school but learning and applying skills that allow them to be a strong and functional member of society.</w:t>
      </w:r>
    </w:p>
    <w:p w14:paraId="13E6A195" w14:textId="77777777" w:rsidR="00102B13" w:rsidRPr="00E36106" w:rsidRDefault="00102B13">
      <w:pPr>
        <w:rPr>
          <w:rFonts w:ascii="Arial" w:hAnsi="Arial" w:cs="Arial"/>
          <w:sz w:val="24"/>
          <w:szCs w:val="24"/>
        </w:rPr>
      </w:pPr>
    </w:p>
    <w:p w14:paraId="6A4B14CF" w14:textId="54FCC13E" w:rsidR="002B3118" w:rsidRPr="00E36106" w:rsidRDefault="00E36106">
      <w:pPr>
        <w:rPr>
          <w:sz w:val="24"/>
          <w:szCs w:val="24"/>
        </w:rPr>
      </w:pPr>
      <w:r w:rsidRPr="00E36106">
        <w:rPr>
          <w:rFonts w:ascii="Arial" w:hAnsi="Arial" w:cs="Arial"/>
          <w:sz w:val="24"/>
          <w:szCs w:val="24"/>
        </w:rPr>
        <w:t xml:space="preserve">To summarise, the above discussed pedagogical principles will be </w:t>
      </w:r>
      <w:r>
        <w:rPr>
          <w:rFonts w:ascii="Arial" w:hAnsi="Arial" w:cs="Arial"/>
          <w:sz w:val="24"/>
          <w:szCs w:val="24"/>
        </w:rPr>
        <w:t>great</w:t>
      </w:r>
      <w:r w:rsidRPr="00E36106">
        <w:rPr>
          <w:rFonts w:ascii="Arial" w:hAnsi="Arial" w:cs="Arial"/>
          <w:sz w:val="24"/>
          <w:szCs w:val="24"/>
        </w:rPr>
        <w:t>ly considered during my teaching and practice in</w:t>
      </w:r>
      <w:r>
        <w:rPr>
          <w:rFonts w:ascii="Arial" w:hAnsi="Arial" w:cs="Arial"/>
          <w:sz w:val="24"/>
          <w:szCs w:val="24"/>
        </w:rPr>
        <w:t xml:space="preserve"> the</w:t>
      </w:r>
      <w:r w:rsidRPr="00E36106">
        <w:rPr>
          <w:rFonts w:ascii="Arial" w:hAnsi="Arial" w:cs="Arial"/>
          <w:sz w:val="24"/>
          <w:szCs w:val="24"/>
        </w:rPr>
        <w:t xml:space="preserve"> hope to provide a wide intake of knowledge and understanding to the pupils</w:t>
      </w:r>
      <w:r>
        <w:rPr>
          <w:rFonts w:ascii="Arial" w:hAnsi="Arial" w:cs="Arial"/>
          <w:sz w:val="24"/>
          <w:szCs w:val="24"/>
        </w:rPr>
        <w:t xml:space="preserve"> during placement, but also in my professional career</w:t>
      </w:r>
      <w:r w:rsidRPr="00E36106">
        <w:rPr>
          <w:rFonts w:ascii="Arial" w:hAnsi="Arial" w:cs="Arial"/>
          <w:sz w:val="24"/>
          <w:szCs w:val="24"/>
        </w:rPr>
        <w:t>. Each principle has their own individual strengths that make them beneficial but work in tandem to provide an essential teaching and learning experience that broadens knowledge and positively impacts on engagement. The application of each principle will be considered in a broader sense to ensure planning and use of resources are the most beneficial to the development of the children, whilst maintaining cross-curricular activity and keeping a wide range of approaches and methods to keep interest and motivation</w:t>
      </w:r>
      <w:r>
        <w:rPr>
          <w:rFonts w:ascii="Arial" w:hAnsi="Arial" w:cs="Arial"/>
          <w:sz w:val="24"/>
          <w:szCs w:val="24"/>
        </w:rPr>
        <w:t xml:space="preserve"> high</w:t>
      </w:r>
      <w:r w:rsidRPr="00E36106">
        <w:rPr>
          <w:rFonts w:ascii="Arial" w:hAnsi="Arial" w:cs="Arial"/>
          <w:sz w:val="24"/>
          <w:szCs w:val="24"/>
        </w:rPr>
        <w:t>. I will make sure that tasks are modelled effectively, and simple assessment methods are implemented to keep track of how the pupils are progressing to gu</w:t>
      </w:r>
      <w:r>
        <w:rPr>
          <w:rFonts w:ascii="Arial" w:hAnsi="Arial" w:cs="Arial"/>
          <w:sz w:val="24"/>
          <w:szCs w:val="24"/>
        </w:rPr>
        <w:t>a</w:t>
      </w:r>
      <w:r w:rsidRPr="00E36106">
        <w:rPr>
          <w:rFonts w:ascii="Arial" w:hAnsi="Arial" w:cs="Arial"/>
          <w:sz w:val="24"/>
          <w:szCs w:val="24"/>
        </w:rPr>
        <w:t>rantee they are learning in the ways that suit them most.</w:t>
      </w:r>
      <w:r w:rsidR="00AB1ABE">
        <w:rPr>
          <w:rFonts w:ascii="Arial" w:hAnsi="Arial" w:cs="Arial"/>
          <w:sz w:val="24"/>
          <w:szCs w:val="24"/>
        </w:rPr>
        <w:t xml:space="preserve"> This can be paired with implementing the scaffolding method of teaching to see</w:t>
      </w:r>
      <w:r w:rsidR="0076582D">
        <w:rPr>
          <w:rFonts w:ascii="Arial" w:hAnsi="Arial" w:cs="Arial"/>
          <w:sz w:val="24"/>
          <w:szCs w:val="24"/>
        </w:rPr>
        <w:t xml:space="preserve"> if</w:t>
      </w:r>
      <w:r w:rsidR="00AB1ABE">
        <w:rPr>
          <w:rFonts w:ascii="Arial" w:hAnsi="Arial" w:cs="Arial"/>
          <w:sz w:val="24"/>
          <w:szCs w:val="24"/>
        </w:rPr>
        <w:t xml:space="preserve"> children are</w:t>
      </w:r>
      <w:r w:rsidR="0076582D">
        <w:rPr>
          <w:rFonts w:ascii="Arial" w:hAnsi="Arial" w:cs="Arial"/>
          <w:sz w:val="24"/>
          <w:szCs w:val="24"/>
        </w:rPr>
        <w:t xml:space="preserve"> progressing </w:t>
      </w:r>
      <w:r w:rsidR="0076582D">
        <w:rPr>
          <w:rFonts w:ascii="Arial" w:hAnsi="Arial" w:cs="Arial"/>
          <w:sz w:val="24"/>
          <w:szCs w:val="24"/>
        </w:rPr>
        <w:t>effectively</w:t>
      </w:r>
      <w:r w:rsidR="0076582D">
        <w:rPr>
          <w:rFonts w:ascii="Arial" w:hAnsi="Arial" w:cs="Arial"/>
          <w:sz w:val="24"/>
          <w:szCs w:val="24"/>
        </w:rPr>
        <w:t>.</w:t>
      </w:r>
      <w:r w:rsidRPr="00E36106">
        <w:rPr>
          <w:rFonts w:ascii="Arial" w:hAnsi="Arial" w:cs="Arial"/>
          <w:sz w:val="24"/>
          <w:szCs w:val="24"/>
        </w:rPr>
        <w:t xml:space="preserve"> I will also make sure to self-assess my</w:t>
      </w:r>
      <w:r>
        <w:rPr>
          <w:rFonts w:ascii="Arial" w:hAnsi="Arial" w:cs="Arial"/>
          <w:sz w:val="24"/>
          <w:szCs w:val="24"/>
        </w:rPr>
        <w:t xml:space="preserve"> experiences</w:t>
      </w:r>
      <w:r w:rsidRPr="00E36106">
        <w:rPr>
          <w:rFonts w:ascii="Arial" w:hAnsi="Arial" w:cs="Arial"/>
          <w:sz w:val="24"/>
          <w:szCs w:val="24"/>
        </w:rPr>
        <w:t xml:space="preserve"> to keep track of my personal teaching methods to see what works and what can be developed in contrast to the p</w:t>
      </w:r>
      <w:r w:rsidR="0076582D">
        <w:rPr>
          <w:rFonts w:ascii="Arial" w:hAnsi="Arial" w:cs="Arial"/>
          <w:sz w:val="24"/>
          <w:szCs w:val="24"/>
        </w:rPr>
        <w:t>e</w:t>
      </w:r>
      <w:r w:rsidRPr="00E36106">
        <w:rPr>
          <w:rFonts w:ascii="Arial" w:hAnsi="Arial" w:cs="Arial"/>
          <w:sz w:val="24"/>
          <w:szCs w:val="24"/>
        </w:rPr>
        <w:t xml:space="preserve">dagogical principles. </w:t>
      </w:r>
      <w:r>
        <w:rPr>
          <w:rFonts w:ascii="Arial" w:hAnsi="Arial" w:cs="Arial"/>
          <w:sz w:val="24"/>
          <w:szCs w:val="24"/>
        </w:rPr>
        <w:t xml:space="preserve">This module has allowed me to have an in-depth view and personal standpoint on the above principles, and how AoLEs, teaching methods and tasks can link together to create impactful learning. I will consider them thoroughly in my </w:t>
      </w:r>
      <w:r w:rsidR="000476A6">
        <w:rPr>
          <w:rFonts w:ascii="Arial" w:hAnsi="Arial" w:cs="Arial"/>
          <w:sz w:val="24"/>
          <w:szCs w:val="24"/>
        </w:rPr>
        <w:t>time teaching</w:t>
      </w:r>
      <w:r>
        <w:rPr>
          <w:rFonts w:ascii="Arial" w:hAnsi="Arial" w:cs="Arial"/>
          <w:sz w:val="24"/>
          <w:szCs w:val="24"/>
        </w:rPr>
        <w:t xml:space="preserve"> in the classroom and make sure to include them in future planning throughout my placement weeks</w:t>
      </w:r>
      <w:r w:rsidR="00AC3F77">
        <w:rPr>
          <w:rFonts w:ascii="Arial" w:hAnsi="Arial" w:cs="Arial"/>
          <w:sz w:val="24"/>
          <w:szCs w:val="24"/>
        </w:rPr>
        <w:t xml:space="preserve"> and experience as a teacher</w:t>
      </w:r>
      <w:r>
        <w:rPr>
          <w:rFonts w:ascii="Arial" w:hAnsi="Arial" w:cs="Arial"/>
          <w:sz w:val="24"/>
          <w:szCs w:val="24"/>
        </w:rPr>
        <w:t xml:space="preserve">. </w:t>
      </w:r>
    </w:p>
    <w:p w14:paraId="26782C23" w14:textId="6B41F53B" w:rsidR="002B3118" w:rsidRPr="00E36106" w:rsidRDefault="002B3118">
      <w:pPr>
        <w:rPr>
          <w:sz w:val="24"/>
          <w:szCs w:val="24"/>
        </w:rPr>
      </w:pPr>
    </w:p>
    <w:p w14:paraId="44B29F8A" w14:textId="77777777" w:rsidR="003E3FC5" w:rsidRDefault="003E3FC5" w:rsidP="002B3118">
      <w:pPr>
        <w:pStyle w:val="NormalWeb"/>
        <w:spacing w:before="0" w:beforeAutospacing="0" w:after="0" w:afterAutospacing="0" w:line="360" w:lineRule="atLeast"/>
        <w:rPr>
          <w:rFonts w:ascii="Calibri" w:hAnsi="Calibri" w:cs="Calibri"/>
          <w:color w:val="000000"/>
          <w:sz w:val="27"/>
          <w:szCs w:val="27"/>
        </w:rPr>
      </w:pPr>
    </w:p>
    <w:p w14:paraId="02238461" w14:textId="77777777" w:rsidR="003E3FC5" w:rsidRDefault="003E3FC5" w:rsidP="003E3FC5">
      <w:pPr>
        <w:spacing w:line="360" w:lineRule="atLeast"/>
        <w:rPr>
          <w:rFonts w:ascii="Arial" w:hAnsi="Arial" w:cs="Arial"/>
          <w:color w:val="000000"/>
          <w:sz w:val="22"/>
          <w:szCs w:val="22"/>
        </w:rPr>
      </w:pPr>
    </w:p>
    <w:p w14:paraId="63AD12BC" w14:textId="57485017" w:rsidR="003E3FC5" w:rsidRDefault="003E3FC5" w:rsidP="003E3FC5">
      <w:pPr>
        <w:spacing w:line="360" w:lineRule="atLeast"/>
        <w:rPr>
          <w:rFonts w:ascii="Arial" w:hAnsi="Arial" w:cs="Arial"/>
          <w:b/>
          <w:bCs/>
          <w:color w:val="000000"/>
          <w:sz w:val="22"/>
          <w:szCs w:val="22"/>
        </w:rPr>
      </w:pPr>
      <w:r w:rsidRPr="003E3FC5">
        <w:rPr>
          <w:rFonts w:ascii="Arial" w:hAnsi="Arial" w:cs="Arial"/>
          <w:b/>
          <w:bCs/>
          <w:color w:val="000000"/>
          <w:sz w:val="22"/>
          <w:szCs w:val="22"/>
        </w:rPr>
        <w:t>References:</w:t>
      </w:r>
    </w:p>
    <w:p w14:paraId="5725B3FA" w14:textId="5C765928" w:rsidR="003E3FC5" w:rsidRDefault="003E3FC5" w:rsidP="003E3FC5">
      <w:pPr>
        <w:rPr>
          <w:rFonts w:ascii="Arial" w:hAnsi="Arial" w:cs="Arial"/>
          <w:color w:val="000000" w:themeColor="text1"/>
          <w:sz w:val="22"/>
          <w:szCs w:val="22"/>
          <w:shd w:val="clear" w:color="auto" w:fill="FFFFFF"/>
        </w:rPr>
      </w:pPr>
      <w:r w:rsidRPr="003E3FC5">
        <w:rPr>
          <w:rFonts w:ascii="Arial" w:hAnsi="Arial" w:cs="Arial"/>
          <w:color w:val="000000" w:themeColor="text1"/>
          <w:sz w:val="22"/>
          <w:szCs w:val="22"/>
          <w:shd w:val="clear" w:color="auto" w:fill="FFFFFF"/>
        </w:rPr>
        <w:t>Barnes, J., 2015. An introduction to cross-curricular learning. </w:t>
      </w:r>
      <w:r w:rsidRPr="003E3FC5">
        <w:rPr>
          <w:rFonts w:ascii="Arial" w:hAnsi="Arial" w:cs="Arial"/>
          <w:i/>
          <w:iCs/>
          <w:color w:val="000000" w:themeColor="text1"/>
          <w:sz w:val="22"/>
          <w:szCs w:val="22"/>
          <w:shd w:val="clear" w:color="auto" w:fill="FFFFFF"/>
        </w:rPr>
        <w:t>The primary curriculum: A creative approach</w:t>
      </w:r>
      <w:r w:rsidRPr="003E3FC5">
        <w:rPr>
          <w:rFonts w:ascii="Arial" w:hAnsi="Arial" w:cs="Arial"/>
          <w:color w:val="000000" w:themeColor="text1"/>
          <w:sz w:val="22"/>
          <w:szCs w:val="22"/>
          <w:shd w:val="clear" w:color="auto" w:fill="FFFFFF"/>
        </w:rPr>
        <w:t>, p.320.</w:t>
      </w:r>
    </w:p>
    <w:p w14:paraId="43473D7B" w14:textId="77777777" w:rsidR="003E3FC5" w:rsidRPr="003E3FC5" w:rsidRDefault="003E3FC5" w:rsidP="003E3FC5">
      <w:pPr>
        <w:rPr>
          <w:color w:val="000000" w:themeColor="text1"/>
          <w:sz w:val="22"/>
          <w:szCs w:val="22"/>
        </w:rPr>
      </w:pPr>
    </w:p>
    <w:p w14:paraId="5C2391AE" w14:textId="73B9DD12" w:rsidR="003E3FC5" w:rsidRDefault="003E3FC5" w:rsidP="003E3FC5">
      <w:pPr>
        <w:spacing w:line="360" w:lineRule="atLeast"/>
        <w:rPr>
          <w:rFonts w:ascii="Arial" w:hAnsi="Arial" w:cs="Arial"/>
          <w:color w:val="000000"/>
          <w:sz w:val="22"/>
          <w:szCs w:val="22"/>
        </w:rPr>
      </w:pPr>
      <w:r w:rsidRPr="003E3FC5">
        <w:rPr>
          <w:rFonts w:ascii="Arial" w:hAnsi="Arial" w:cs="Arial"/>
          <w:color w:val="000000"/>
          <w:sz w:val="22"/>
          <w:szCs w:val="22"/>
        </w:rPr>
        <w:t>Carnegie Mellon University (2019). </w:t>
      </w:r>
      <w:r w:rsidRPr="003E3FC5">
        <w:rPr>
          <w:rFonts w:ascii="Arial" w:hAnsi="Arial" w:cs="Arial"/>
          <w:i/>
          <w:iCs/>
          <w:color w:val="000000"/>
          <w:sz w:val="22"/>
          <w:szCs w:val="22"/>
        </w:rPr>
        <w:t xml:space="preserve">Assessing Prior Knowledge - Eberly </w:t>
      </w:r>
      <w:proofErr w:type="spellStart"/>
      <w:r w:rsidRPr="003E3FC5">
        <w:rPr>
          <w:rFonts w:ascii="Arial" w:hAnsi="Arial" w:cs="Arial"/>
          <w:i/>
          <w:iCs/>
          <w:color w:val="000000"/>
          <w:sz w:val="22"/>
          <w:szCs w:val="22"/>
        </w:rPr>
        <w:t>Center</w:t>
      </w:r>
      <w:proofErr w:type="spellEnd"/>
      <w:r w:rsidRPr="003E3FC5">
        <w:rPr>
          <w:rFonts w:ascii="Arial" w:hAnsi="Arial" w:cs="Arial"/>
          <w:i/>
          <w:iCs/>
          <w:color w:val="000000"/>
          <w:sz w:val="22"/>
          <w:szCs w:val="22"/>
        </w:rPr>
        <w:t xml:space="preserve"> - Carnegie Mellon University</w:t>
      </w:r>
      <w:r w:rsidRPr="003E3FC5">
        <w:rPr>
          <w:rFonts w:ascii="Arial" w:hAnsi="Arial" w:cs="Arial"/>
          <w:color w:val="000000"/>
          <w:sz w:val="22"/>
          <w:szCs w:val="22"/>
        </w:rPr>
        <w:t xml:space="preserve">. [online] Cmu.edu. Available at: </w:t>
      </w:r>
      <w:hyperlink r:id="rId4" w:history="1">
        <w:r w:rsidRPr="003E3FC5">
          <w:rPr>
            <w:rStyle w:val="Hyperlink"/>
            <w:rFonts w:ascii="Arial" w:hAnsi="Arial" w:cs="Arial"/>
            <w:sz w:val="22"/>
            <w:szCs w:val="22"/>
          </w:rPr>
          <w:t>https://www.cmu.edu/teaching/designteach/teach/priorknowledge.html</w:t>
        </w:r>
      </w:hyperlink>
      <w:r w:rsidRPr="003E3FC5">
        <w:rPr>
          <w:rFonts w:ascii="Arial" w:hAnsi="Arial" w:cs="Arial"/>
          <w:color w:val="000000"/>
          <w:sz w:val="22"/>
          <w:szCs w:val="22"/>
        </w:rPr>
        <w:t>.</w:t>
      </w:r>
    </w:p>
    <w:p w14:paraId="3C62ECC2" w14:textId="77777777" w:rsidR="003E3FC5" w:rsidRPr="003E3FC5" w:rsidRDefault="003E3FC5" w:rsidP="003E3FC5">
      <w:pPr>
        <w:spacing w:line="360" w:lineRule="atLeast"/>
        <w:rPr>
          <w:rFonts w:ascii="Arial" w:hAnsi="Arial" w:cs="Arial"/>
          <w:color w:val="000000"/>
          <w:sz w:val="22"/>
          <w:szCs w:val="22"/>
        </w:rPr>
      </w:pPr>
    </w:p>
    <w:p w14:paraId="5B989B2C" w14:textId="3A2193A3" w:rsidR="003E3FC5" w:rsidRDefault="003E3FC5" w:rsidP="002B3118">
      <w:pPr>
        <w:pStyle w:val="NormalWeb"/>
        <w:spacing w:before="0" w:beforeAutospacing="0" w:after="0" w:afterAutospacing="0" w:line="360" w:lineRule="atLeast"/>
        <w:rPr>
          <w:rFonts w:ascii="Arial" w:hAnsi="Arial" w:cs="Arial"/>
          <w:color w:val="000000"/>
          <w:sz w:val="22"/>
          <w:szCs w:val="22"/>
        </w:rPr>
      </w:pPr>
      <w:r w:rsidRPr="003E3FC5">
        <w:rPr>
          <w:rFonts w:ascii="Arial" w:hAnsi="Arial" w:cs="Arial"/>
          <w:color w:val="000000"/>
          <w:sz w:val="22"/>
          <w:szCs w:val="22"/>
        </w:rPr>
        <w:t>‌Donaldson, G. (2015). </w:t>
      </w:r>
      <w:r w:rsidRPr="003E3FC5">
        <w:rPr>
          <w:rFonts w:ascii="Arial" w:hAnsi="Arial" w:cs="Arial"/>
          <w:i/>
          <w:iCs/>
          <w:color w:val="000000"/>
          <w:sz w:val="22"/>
          <w:szCs w:val="22"/>
        </w:rPr>
        <w:t>Successful Futures Independent Review of Curriculum and Assessment Arrangements in Wales</w:t>
      </w:r>
      <w:r w:rsidRPr="003E3FC5">
        <w:rPr>
          <w:rFonts w:ascii="Arial" w:hAnsi="Arial" w:cs="Arial"/>
          <w:color w:val="000000"/>
          <w:sz w:val="22"/>
          <w:szCs w:val="22"/>
        </w:rPr>
        <w:t xml:space="preserve">. [online] Available at: </w:t>
      </w:r>
      <w:hyperlink r:id="rId5" w:history="1">
        <w:r w:rsidRPr="003E3FC5">
          <w:rPr>
            <w:rStyle w:val="Hyperlink"/>
            <w:rFonts w:ascii="Arial" w:hAnsi="Arial" w:cs="Arial"/>
            <w:sz w:val="22"/>
            <w:szCs w:val="22"/>
          </w:rPr>
          <w:t>https://www.gov.wales/sites/default/files/publications/2018-03/successful-futures.pdf</w:t>
        </w:r>
      </w:hyperlink>
      <w:r w:rsidRPr="003E3FC5">
        <w:rPr>
          <w:rFonts w:ascii="Arial" w:hAnsi="Arial" w:cs="Arial"/>
          <w:color w:val="000000"/>
          <w:sz w:val="22"/>
          <w:szCs w:val="22"/>
        </w:rPr>
        <w:t>.</w:t>
      </w:r>
    </w:p>
    <w:p w14:paraId="3529A0CB" w14:textId="77777777" w:rsidR="003E3FC5" w:rsidRPr="003E3FC5" w:rsidRDefault="003E3FC5" w:rsidP="002B3118">
      <w:pPr>
        <w:pStyle w:val="NormalWeb"/>
        <w:spacing w:before="0" w:beforeAutospacing="0" w:after="0" w:afterAutospacing="0" w:line="360" w:lineRule="atLeast"/>
        <w:rPr>
          <w:rFonts w:ascii="Arial" w:hAnsi="Arial" w:cs="Arial"/>
          <w:color w:val="000000"/>
          <w:sz w:val="22"/>
          <w:szCs w:val="22"/>
        </w:rPr>
      </w:pPr>
    </w:p>
    <w:p w14:paraId="0885D475" w14:textId="190A57A7" w:rsidR="003E3FC5" w:rsidRDefault="003E3FC5" w:rsidP="002B3118">
      <w:pPr>
        <w:pStyle w:val="NormalWeb"/>
        <w:spacing w:before="0" w:beforeAutospacing="0" w:after="0" w:afterAutospacing="0" w:line="360" w:lineRule="atLeast"/>
        <w:rPr>
          <w:rFonts w:ascii="Arial" w:hAnsi="Arial" w:cs="Arial"/>
          <w:color w:val="000000"/>
          <w:sz w:val="22"/>
          <w:szCs w:val="22"/>
        </w:rPr>
      </w:pPr>
      <w:r w:rsidRPr="003E3FC5">
        <w:rPr>
          <w:rFonts w:ascii="Arial" w:hAnsi="Arial" w:cs="Arial"/>
          <w:color w:val="000000"/>
          <w:sz w:val="22"/>
          <w:szCs w:val="22"/>
        </w:rPr>
        <w:lastRenderedPageBreak/>
        <w:t>GOV.WALES. (n.d.). </w:t>
      </w:r>
      <w:r w:rsidRPr="003E3FC5">
        <w:rPr>
          <w:rFonts w:ascii="Arial" w:hAnsi="Arial" w:cs="Arial"/>
          <w:i/>
          <w:iCs/>
          <w:color w:val="000000"/>
          <w:sz w:val="22"/>
          <w:szCs w:val="22"/>
        </w:rPr>
        <w:t>Curriculum for Wales: overview</w:t>
      </w:r>
      <w:r w:rsidRPr="003E3FC5">
        <w:rPr>
          <w:rFonts w:ascii="Arial" w:hAnsi="Arial" w:cs="Arial"/>
          <w:color w:val="000000"/>
          <w:sz w:val="22"/>
          <w:szCs w:val="22"/>
        </w:rPr>
        <w:t xml:space="preserve">. [online] Available at: </w:t>
      </w:r>
      <w:hyperlink r:id="rId6" w:anchor=":~:text=The%20Curriculum%20for%20Wales%20framework%20guidance%20was%20first%20published%20in" w:history="1">
        <w:r w:rsidRPr="003E3FC5">
          <w:rPr>
            <w:rStyle w:val="Hyperlink"/>
            <w:rFonts w:ascii="Arial" w:hAnsi="Arial" w:cs="Arial"/>
            <w:sz w:val="22"/>
            <w:szCs w:val="22"/>
          </w:rPr>
          <w:t>https://www.gov.wales/curriculum-wales-overview#:~:text=The%20Curriculum%20for%20W</w:t>
        </w:r>
        <w:r w:rsidRPr="003E3FC5">
          <w:rPr>
            <w:rStyle w:val="Hyperlink"/>
            <w:rFonts w:ascii="Arial" w:hAnsi="Arial" w:cs="Arial"/>
            <w:sz w:val="22"/>
            <w:szCs w:val="22"/>
          </w:rPr>
          <w:t>a</w:t>
        </w:r>
        <w:r w:rsidRPr="003E3FC5">
          <w:rPr>
            <w:rStyle w:val="Hyperlink"/>
            <w:rFonts w:ascii="Arial" w:hAnsi="Arial" w:cs="Arial"/>
            <w:sz w:val="22"/>
            <w:szCs w:val="22"/>
          </w:rPr>
          <w:t>les%20framework%20guidance%20was%20first%20published%20in</w:t>
        </w:r>
      </w:hyperlink>
      <w:r w:rsidRPr="003E3FC5">
        <w:rPr>
          <w:rFonts w:ascii="Arial" w:hAnsi="Arial" w:cs="Arial"/>
          <w:color w:val="000000"/>
          <w:sz w:val="22"/>
          <w:szCs w:val="22"/>
        </w:rPr>
        <w:t>.</w:t>
      </w:r>
    </w:p>
    <w:p w14:paraId="3CD15538" w14:textId="77777777" w:rsidR="003E3FC5" w:rsidRPr="003E3FC5" w:rsidRDefault="003E3FC5" w:rsidP="002B3118">
      <w:pPr>
        <w:pStyle w:val="NormalWeb"/>
        <w:spacing w:before="0" w:beforeAutospacing="0" w:after="0" w:afterAutospacing="0" w:line="360" w:lineRule="atLeast"/>
        <w:rPr>
          <w:rFonts w:ascii="Arial" w:hAnsi="Arial" w:cs="Arial"/>
          <w:color w:val="000000"/>
          <w:sz w:val="22"/>
          <w:szCs w:val="22"/>
        </w:rPr>
      </w:pPr>
    </w:p>
    <w:p w14:paraId="11344E72" w14:textId="77777777" w:rsidR="003E3FC5" w:rsidRPr="003E3FC5" w:rsidRDefault="003E3FC5" w:rsidP="004C43FF">
      <w:pPr>
        <w:spacing w:line="360" w:lineRule="atLeast"/>
        <w:rPr>
          <w:rFonts w:ascii="Arial" w:hAnsi="Arial" w:cs="Arial"/>
          <w:color w:val="000000"/>
          <w:sz w:val="22"/>
          <w:szCs w:val="22"/>
        </w:rPr>
      </w:pPr>
      <w:r w:rsidRPr="003E3FC5">
        <w:rPr>
          <w:rFonts w:ascii="Arial" w:hAnsi="Arial" w:cs="Arial"/>
          <w:color w:val="000000"/>
          <w:sz w:val="22"/>
          <w:szCs w:val="22"/>
        </w:rPr>
        <w:t>Hoskins, K. and Smedley, S. (2019). Protecting and extending Froebelian principles in practice: Exploring the importance of learning through play. </w:t>
      </w:r>
      <w:r w:rsidRPr="003E3FC5">
        <w:rPr>
          <w:rFonts w:ascii="Arial" w:hAnsi="Arial" w:cs="Arial"/>
          <w:i/>
          <w:iCs/>
          <w:color w:val="000000"/>
          <w:sz w:val="22"/>
          <w:szCs w:val="22"/>
        </w:rPr>
        <w:t>Journal of Early Childhood Research</w:t>
      </w:r>
      <w:r w:rsidRPr="003E3FC5">
        <w:rPr>
          <w:rFonts w:ascii="Arial" w:hAnsi="Arial" w:cs="Arial"/>
          <w:color w:val="000000"/>
          <w:sz w:val="22"/>
          <w:szCs w:val="22"/>
        </w:rPr>
        <w:t xml:space="preserve">, [online] 17(2), pp.73–87. </w:t>
      </w:r>
      <w:proofErr w:type="spellStart"/>
      <w:proofErr w:type="gramStart"/>
      <w:r w:rsidRPr="003E3FC5">
        <w:rPr>
          <w:rFonts w:ascii="Arial" w:hAnsi="Arial" w:cs="Arial"/>
          <w:color w:val="000000"/>
          <w:sz w:val="22"/>
          <w:szCs w:val="22"/>
        </w:rPr>
        <w:t>doi:https</w:t>
      </w:r>
      <w:proofErr w:type="spellEnd"/>
      <w:r w:rsidRPr="003E3FC5">
        <w:rPr>
          <w:rFonts w:ascii="Arial" w:hAnsi="Arial" w:cs="Arial"/>
          <w:color w:val="000000"/>
          <w:sz w:val="22"/>
          <w:szCs w:val="22"/>
        </w:rPr>
        <w:t>://doi.org/10.1177/1476718x18809114</w:t>
      </w:r>
      <w:proofErr w:type="gramEnd"/>
      <w:r w:rsidRPr="003E3FC5">
        <w:rPr>
          <w:rFonts w:ascii="Arial" w:hAnsi="Arial" w:cs="Arial"/>
          <w:color w:val="000000"/>
          <w:sz w:val="22"/>
          <w:szCs w:val="22"/>
        </w:rPr>
        <w:t>.</w:t>
      </w:r>
    </w:p>
    <w:p w14:paraId="1EB218E6" w14:textId="114DCBA6" w:rsidR="003E3FC5" w:rsidRDefault="003E3FC5" w:rsidP="002B3118">
      <w:pPr>
        <w:pStyle w:val="NormalWeb"/>
        <w:spacing w:before="0" w:beforeAutospacing="0" w:after="0" w:afterAutospacing="0" w:line="360" w:lineRule="atLeast"/>
        <w:rPr>
          <w:rFonts w:ascii="Arial" w:hAnsi="Arial" w:cs="Arial"/>
          <w:color w:val="000000"/>
          <w:sz w:val="22"/>
          <w:szCs w:val="22"/>
        </w:rPr>
      </w:pPr>
      <w:proofErr w:type="gramStart"/>
      <w:r w:rsidRPr="003E3FC5">
        <w:rPr>
          <w:rFonts w:ascii="Arial" w:hAnsi="Arial" w:cs="Arial"/>
          <w:color w:val="000000"/>
          <w:sz w:val="22"/>
          <w:szCs w:val="22"/>
        </w:rPr>
        <w:t>hwb.gov.wales</w:t>
      </w:r>
      <w:proofErr w:type="gramEnd"/>
      <w:r w:rsidRPr="003E3FC5">
        <w:rPr>
          <w:rFonts w:ascii="Arial" w:hAnsi="Arial" w:cs="Arial"/>
          <w:color w:val="000000"/>
          <w:sz w:val="22"/>
          <w:szCs w:val="22"/>
        </w:rPr>
        <w:t>. (n.d.). </w:t>
      </w:r>
      <w:r w:rsidRPr="003E3FC5">
        <w:rPr>
          <w:rFonts w:ascii="Arial" w:hAnsi="Arial" w:cs="Arial"/>
          <w:i/>
          <w:iCs/>
          <w:color w:val="000000"/>
          <w:sz w:val="22"/>
          <w:szCs w:val="22"/>
        </w:rPr>
        <w:t>Pedagogy - Hwb</w:t>
      </w:r>
      <w:r w:rsidRPr="003E3FC5">
        <w:rPr>
          <w:rFonts w:ascii="Arial" w:hAnsi="Arial" w:cs="Arial"/>
          <w:color w:val="000000"/>
          <w:sz w:val="22"/>
          <w:szCs w:val="22"/>
        </w:rPr>
        <w:t xml:space="preserve">. [online] Available at: </w:t>
      </w:r>
      <w:hyperlink r:id="rId7" w:history="1">
        <w:r w:rsidRPr="003E3FC5">
          <w:rPr>
            <w:rStyle w:val="Hyperlink"/>
            <w:rFonts w:ascii="Arial" w:hAnsi="Arial" w:cs="Arial"/>
            <w:sz w:val="22"/>
            <w:szCs w:val="22"/>
          </w:rPr>
          <w:t>https://hwb.gov.wales/curriculum-for-wales/designing-your-curriculum/pedagogy</w:t>
        </w:r>
      </w:hyperlink>
      <w:r w:rsidRPr="003E3FC5">
        <w:rPr>
          <w:rFonts w:ascii="Arial" w:hAnsi="Arial" w:cs="Arial"/>
          <w:color w:val="000000"/>
          <w:sz w:val="22"/>
          <w:szCs w:val="22"/>
        </w:rPr>
        <w:t>.</w:t>
      </w:r>
    </w:p>
    <w:p w14:paraId="708A4969" w14:textId="042F447F" w:rsidR="00845A54" w:rsidRDefault="00845A54" w:rsidP="002B3118">
      <w:pPr>
        <w:pStyle w:val="NormalWeb"/>
        <w:spacing w:before="0" w:beforeAutospacing="0" w:after="0" w:afterAutospacing="0" w:line="360" w:lineRule="atLeast"/>
        <w:rPr>
          <w:rFonts w:ascii="Arial" w:hAnsi="Arial" w:cs="Arial"/>
          <w:color w:val="000000"/>
          <w:sz w:val="22"/>
          <w:szCs w:val="22"/>
        </w:rPr>
      </w:pPr>
    </w:p>
    <w:p w14:paraId="64FD86E6" w14:textId="77777777" w:rsidR="00845A54" w:rsidRPr="00845A54" w:rsidRDefault="00845A54" w:rsidP="00845A54">
      <w:pPr>
        <w:shd w:val="clear" w:color="auto" w:fill="FFFFFF"/>
        <w:spacing w:line="360" w:lineRule="atLeast"/>
        <w:rPr>
          <w:rFonts w:ascii="Arial" w:hAnsi="Arial" w:cs="Arial"/>
          <w:color w:val="000000"/>
          <w:sz w:val="22"/>
          <w:szCs w:val="22"/>
        </w:rPr>
      </w:pPr>
      <w:r w:rsidRPr="00845A54">
        <w:rPr>
          <w:rFonts w:ascii="Arial" w:hAnsi="Arial" w:cs="Arial"/>
          <w:color w:val="000000"/>
          <w:sz w:val="22"/>
          <w:szCs w:val="22"/>
        </w:rPr>
        <w:t>Impact Wales (2022). </w:t>
      </w:r>
      <w:r w:rsidRPr="00845A54">
        <w:rPr>
          <w:rFonts w:ascii="Arial" w:hAnsi="Arial" w:cs="Arial"/>
          <w:i/>
          <w:iCs/>
          <w:color w:val="000000"/>
          <w:sz w:val="22"/>
          <w:szCs w:val="22"/>
        </w:rPr>
        <w:t>What are the 12 Pedagogical Principles &amp; How to use them</w:t>
      </w:r>
      <w:r w:rsidRPr="00845A54">
        <w:rPr>
          <w:rFonts w:ascii="Arial" w:hAnsi="Arial" w:cs="Arial"/>
          <w:color w:val="000000"/>
          <w:sz w:val="22"/>
          <w:szCs w:val="22"/>
        </w:rPr>
        <w:t>. [online] Impact Wales. Available at: https://www.impact.wales/news/12-pedagogical-principles/.</w:t>
      </w:r>
    </w:p>
    <w:p w14:paraId="363D8C46" w14:textId="6B59B104" w:rsidR="003E3FC5" w:rsidRPr="00845A54" w:rsidRDefault="00845A54" w:rsidP="00845A54">
      <w:pPr>
        <w:shd w:val="clear" w:color="auto" w:fill="FFFFFF"/>
        <w:spacing w:before="100" w:beforeAutospacing="1" w:after="100" w:afterAutospacing="1"/>
        <w:rPr>
          <w:rFonts w:ascii="Calibri" w:hAnsi="Calibri" w:cs="Calibri"/>
          <w:color w:val="000000"/>
          <w:sz w:val="24"/>
          <w:szCs w:val="24"/>
        </w:rPr>
      </w:pPr>
      <w:r w:rsidRPr="00845A54">
        <w:rPr>
          <w:rFonts w:ascii="Calibri" w:hAnsi="Calibri" w:cs="Calibri"/>
          <w:color w:val="000000"/>
          <w:sz w:val="24"/>
          <w:szCs w:val="24"/>
        </w:rPr>
        <w:t>‌</w:t>
      </w:r>
      <w:r w:rsidR="003E3FC5" w:rsidRPr="003E3FC5">
        <w:rPr>
          <w:rFonts w:ascii="Arial" w:hAnsi="Arial" w:cs="Arial"/>
          <w:color w:val="000000"/>
          <w:sz w:val="22"/>
          <w:szCs w:val="22"/>
        </w:rPr>
        <w:t xml:space="preserve">Information for parents and carers How is my child doing in the Foundation Phase? (n.d.). Available at: </w:t>
      </w:r>
      <w:hyperlink r:id="rId8" w:history="1">
        <w:r w:rsidR="003E3FC5" w:rsidRPr="003E3FC5">
          <w:rPr>
            <w:rStyle w:val="Hyperlink"/>
            <w:rFonts w:ascii="Arial" w:hAnsi="Arial" w:cs="Arial"/>
            <w:sz w:val="22"/>
            <w:szCs w:val="22"/>
          </w:rPr>
          <w:t>https://www.gov.wales/sites/default/files/publications/2018-06/how-is-my-child-doing-in-the-foundation-phase-a-guide-for-parents-and-carers.</w:t>
        </w:r>
        <w:r w:rsidR="003E3FC5" w:rsidRPr="003E3FC5">
          <w:rPr>
            <w:rStyle w:val="Hyperlink"/>
            <w:rFonts w:ascii="Arial" w:hAnsi="Arial" w:cs="Arial"/>
            <w:sz w:val="22"/>
            <w:szCs w:val="22"/>
          </w:rPr>
          <w:t>p</w:t>
        </w:r>
        <w:r w:rsidR="003E3FC5" w:rsidRPr="003E3FC5">
          <w:rPr>
            <w:rStyle w:val="Hyperlink"/>
            <w:rFonts w:ascii="Arial" w:hAnsi="Arial" w:cs="Arial"/>
            <w:sz w:val="22"/>
            <w:szCs w:val="22"/>
          </w:rPr>
          <w:t>df</w:t>
        </w:r>
      </w:hyperlink>
      <w:r w:rsidR="003E3FC5" w:rsidRPr="003E3FC5">
        <w:rPr>
          <w:rFonts w:ascii="Arial" w:hAnsi="Arial" w:cs="Arial"/>
          <w:color w:val="000000"/>
          <w:sz w:val="22"/>
          <w:szCs w:val="22"/>
        </w:rPr>
        <w:t>.</w:t>
      </w:r>
    </w:p>
    <w:p w14:paraId="63E6B52C" w14:textId="77777777" w:rsidR="003E3FC5" w:rsidRPr="003E3FC5" w:rsidRDefault="003E3FC5" w:rsidP="003E3FC5">
      <w:pPr>
        <w:spacing w:line="360" w:lineRule="atLeast"/>
        <w:rPr>
          <w:rFonts w:ascii="Arial" w:hAnsi="Arial" w:cs="Arial"/>
          <w:color w:val="000000"/>
          <w:sz w:val="22"/>
          <w:szCs w:val="22"/>
        </w:rPr>
      </w:pPr>
      <w:r w:rsidRPr="003E3FC5">
        <w:rPr>
          <w:rFonts w:ascii="Arial" w:hAnsi="Arial" w:cs="Arial"/>
          <w:color w:val="000000"/>
          <w:sz w:val="22"/>
          <w:szCs w:val="22"/>
        </w:rPr>
        <w:t>Lynch, M. (2019). </w:t>
      </w:r>
      <w:r w:rsidRPr="003E3FC5">
        <w:rPr>
          <w:rFonts w:ascii="Arial" w:hAnsi="Arial" w:cs="Arial"/>
          <w:i/>
          <w:iCs/>
          <w:color w:val="000000"/>
          <w:sz w:val="22"/>
          <w:szCs w:val="22"/>
        </w:rPr>
        <w:t>Pros and Cons of Cross-Curricular Teaching</w:t>
      </w:r>
      <w:r w:rsidRPr="003E3FC5">
        <w:rPr>
          <w:rFonts w:ascii="Arial" w:hAnsi="Arial" w:cs="Arial"/>
          <w:color w:val="000000"/>
          <w:sz w:val="22"/>
          <w:szCs w:val="22"/>
        </w:rPr>
        <w:t xml:space="preserve">. [online] The </w:t>
      </w:r>
      <w:proofErr w:type="spellStart"/>
      <w:r w:rsidRPr="003E3FC5">
        <w:rPr>
          <w:rFonts w:ascii="Arial" w:hAnsi="Arial" w:cs="Arial"/>
          <w:color w:val="000000"/>
          <w:sz w:val="22"/>
          <w:szCs w:val="22"/>
        </w:rPr>
        <w:t>Edvocate</w:t>
      </w:r>
      <w:proofErr w:type="spellEnd"/>
      <w:r w:rsidRPr="003E3FC5">
        <w:rPr>
          <w:rFonts w:ascii="Arial" w:hAnsi="Arial" w:cs="Arial"/>
          <w:color w:val="000000"/>
          <w:sz w:val="22"/>
          <w:szCs w:val="22"/>
        </w:rPr>
        <w:t>. Available at: https://www.theedadvocate.org/pros-and-cons-of-cross-curricular-teaching/.</w:t>
      </w:r>
    </w:p>
    <w:p w14:paraId="7A980AA2" w14:textId="2AD81EC6" w:rsidR="003E3FC5" w:rsidRPr="003E3FC5" w:rsidRDefault="003E3FC5" w:rsidP="003E3FC5">
      <w:pPr>
        <w:spacing w:before="100" w:beforeAutospacing="1" w:after="100" w:afterAutospacing="1"/>
        <w:rPr>
          <w:rFonts w:ascii="Calibri" w:hAnsi="Calibri" w:cs="Calibri"/>
          <w:color w:val="000000"/>
          <w:sz w:val="27"/>
          <w:szCs w:val="27"/>
        </w:rPr>
      </w:pPr>
      <w:r w:rsidRPr="003E3FC5">
        <w:rPr>
          <w:rFonts w:ascii="Calibri" w:hAnsi="Calibri" w:cs="Calibri"/>
          <w:color w:val="000000"/>
          <w:sz w:val="27"/>
          <w:szCs w:val="27"/>
        </w:rPr>
        <w:t>‌</w:t>
      </w:r>
      <w:proofErr w:type="spellStart"/>
      <w:proofErr w:type="gramStart"/>
      <w:r w:rsidRPr="003E3FC5">
        <w:rPr>
          <w:rFonts w:ascii="Arial" w:hAnsi="Arial" w:cs="Arial"/>
          <w:color w:val="000000"/>
          <w:sz w:val="22"/>
          <w:szCs w:val="22"/>
        </w:rPr>
        <w:t>M.Ed</w:t>
      </w:r>
      <w:proofErr w:type="spellEnd"/>
      <w:proofErr w:type="gramEnd"/>
      <w:r w:rsidRPr="003E3FC5">
        <w:rPr>
          <w:rFonts w:ascii="Arial" w:hAnsi="Arial" w:cs="Arial"/>
          <w:color w:val="000000"/>
          <w:sz w:val="22"/>
          <w:szCs w:val="22"/>
        </w:rPr>
        <w:t>, P.L. (2019). Ch. 4 Direct Instruction. </w:t>
      </w:r>
      <w:r w:rsidRPr="003E3FC5">
        <w:rPr>
          <w:rFonts w:ascii="Arial" w:hAnsi="Arial" w:cs="Arial"/>
          <w:i/>
          <w:iCs/>
          <w:color w:val="000000"/>
          <w:sz w:val="22"/>
          <w:szCs w:val="22"/>
        </w:rPr>
        <w:t>granite.pressbooks.pub</w:t>
      </w:r>
      <w:r w:rsidRPr="003E3FC5">
        <w:rPr>
          <w:rFonts w:ascii="Arial" w:hAnsi="Arial" w:cs="Arial"/>
          <w:color w:val="000000"/>
          <w:sz w:val="22"/>
          <w:szCs w:val="22"/>
        </w:rPr>
        <w:t>. [online] Available at: https://granite.pressbooks.pub/teachingdiverselearners/chapter/direct-instruction/#:~:text=Because%20direct%20instruction%20is%20often [Accessed 11 Apr. 2023].</w:t>
      </w:r>
    </w:p>
    <w:p w14:paraId="35DCE5D5" w14:textId="3AF24184" w:rsidR="003E3FC5" w:rsidRDefault="003E3FC5" w:rsidP="003E3FC5">
      <w:pPr>
        <w:spacing w:line="360" w:lineRule="atLeast"/>
        <w:rPr>
          <w:rFonts w:ascii="Arial" w:hAnsi="Arial" w:cs="Arial"/>
          <w:color w:val="000000"/>
          <w:sz w:val="22"/>
          <w:szCs w:val="22"/>
        </w:rPr>
      </w:pPr>
      <w:proofErr w:type="spellStart"/>
      <w:r w:rsidRPr="003E3FC5">
        <w:rPr>
          <w:rFonts w:ascii="Arial" w:hAnsi="Arial" w:cs="Arial"/>
          <w:color w:val="000000"/>
          <w:sz w:val="22"/>
          <w:szCs w:val="22"/>
        </w:rPr>
        <w:t>Mcleod</w:t>
      </w:r>
      <w:proofErr w:type="spellEnd"/>
      <w:r w:rsidRPr="003E3FC5">
        <w:rPr>
          <w:rFonts w:ascii="Arial" w:hAnsi="Arial" w:cs="Arial"/>
          <w:color w:val="000000"/>
          <w:sz w:val="22"/>
          <w:szCs w:val="22"/>
        </w:rPr>
        <w:t>, S. (2019). </w:t>
      </w:r>
      <w:r w:rsidRPr="003E3FC5">
        <w:rPr>
          <w:rFonts w:ascii="Arial" w:hAnsi="Arial" w:cs="Arial"/>
          <w:i/>
          <w:iCs/>
          <w:color w:val="000000"/>
          <w:sz w:val="22"/>
          <w:szCs w:val="22"/>
        </w:rPr>
        <w:t>The zone of proximal development and scaffolding</w:t>
      </w:r>
      <w:r w:rsidRPr="003E3FC5">
        <w:rPr>
          <w:rFonts w:ascii="Arial" w:hAnsi="Arial" w:cs="Arial"/>
          <w:color w:val="000000"/>
          <w:sz w:val="22"/>
          <w:szCs w:val="22"/>
        </w:rPr>
        <w:t xml:space="preserve">. [online] Simply Psychology. Available at: </w:t>
      </w:r>
      <w:hyperlink r:id="rId9" w:history="1">
        <w:r w:rsidRPr="003E3FC5">
          <w:rPr>
            <w:rStyle w:val="Hyperlink"/>
            <w:rFonts w:ascii="Arial" w:hAnsi="Arial" w:cs="Arial"/>
            <w:sz w:val="22"/>
            <w:szCs w:val="22"/>
          </w:rPr>
          <w:t>https://ww</w:t>
        </w:r>
        <w:r w:rsidRPr="003E3FC5">
          <w:rPr>
            <w:rStyle w:val="Hyperlink"/>
            <w:rFonts w:ascii="Arial" w:hAnsi="Arial" w:cs="Arial"/>
            <w:sz w:val="22"/>
            <w:szCs w:val="22"/>
          </w:rPr>
          <w:t>w</w:t>
        </w:r>
        <w:r w:rsidRPr="003E3FC5">
          <w:rPr>
            <w:rStyle w:val="Hyperlink"/>
            <w:rFonts w:ascii="Arial" w:hAnsi="Arial" w:cs="Arial"/>
            <w:sz w:val="22"/>
            <w:szCs w:val="22"/>
          </w:rPr>
          <w:t>.simplypsychology.org/Zone-of-Proximal-Development.html</w:t>
        </w:r>
      </w:hyperlink>
      <w:r w:rsidRPr="003E3FC5">
        <w:rPr>
          <w:rFonts w:ascii="Arial" w:hAnsi="Arial" w:cs="Arial"/>
          <w:color w:val="000000"/>
          <w:sz w:val="22"/>
          <w:szCs w:val="22"/>
        </w:rPr>
        <w:t>.</w:t>
      </w:r>
    </w:p>
    <w:p w14:paraId="7AC82E3B" w14:textId="77777777" w:rsidR="003E3FC5" w:rsidRPr="003E3FC5" w:rsidRDefault="003E3FC5" w:rsidP="003E3FC5">
      <w:pPr>
        <w:spacing w:line="360" w:lineRule="atLeast"/>
        <w:rPr>
          <w:rFonts w:ascii="Arial" w:hAnsi="Arial" w:cs="Arial"/>
          <w:color w:val="000000"/>
          <w:sz w:val="22"/>
          <w:szCs w:val="22"/>
        </w:rPr>
      </w:pPr>
    </w:p>
    <w:p w14:paraId="7669F551" w14:textId="1E39C038" w:rsidR="003E3FC5" w:rsidRDefault="003E3FC5" w:rsidP="002B3118">
      <w:pPr>
        <w:pStyle w:val="NormalWeb"/>
        <w:spacing w:before="0" w:beforeAutospacing="0" w:after="0" w:afterAutospacing="0" w:line="360" w:lineRule="atLeast"/>
        <w:rPr>
          <w:rFonts w:ascii="Arial" w:hAnsi="Arial" w:cs="Arial"/>
          <w:color w:val="000000"/>
          <w:sz w:val="22"/>
          <w:szCs w:val="22"/>
        </w:rPr>
      </w:pPr>
      <w:r w:rsidRPr="003E3FC5">
        <w:rPr>
          <w:rFonts w:ascii="Arial" w:hAnsi="Arial" w:cs="Arial"/>
          <w:color w:val="000000"/>
          <w:sz w:val="22"/>
          <w:szCs w:val="22"/>
        </w:rPr>
        <w:t>‌</w:t>
      </w:r>
      <w:proofErr w:type="spellStart"/>
      <w:proofErr w:type="gramStart"/>
      <w:r w:rsidRPr="003E3FC5">
        <w:rPr>
          <w:rFonts w:ascii="Arial" w:hAnsi="Arial" w:cs="Arial"/>
          <w:color w:val="000000"/>
          <w:sz w:val="22"/>
          <w:szCs w:val="22"/>
        </w:rPr>
        <w:t>research.senedd</w:t>
      </w:r>
      <w:proofErr w:type="gramEnd"/>
      <w:r w:rsidRPr="003E3FC5">
        <w:rPr>
          <w:rFonts w:ascii="Arial" w:hAnsi="Arial" w:cs="Arial"/>
          <w:color w:val="000000"/>
          <w:sz w:val="22"/>
          <w:szCs w:val="22"/>
        </w:rPr>
        <w:t>.wales</w:t>
      </w:r>
      <w:proofErr w:type="spellEnd"/>
      <w:r w:rsidRPr="003E3FC5">
        <w:rPr>
          <w:rFonts w:ascii="Arial" w:hAnsi="Arial" w:cs="Arial"/>
          <w:color w:val="000000"/>
          <w:sz w:val="22"/>
          <w:szCs w:val="22"/>
        </w:rPr>
        <w:t>. (n.d.). </w:t>
      </w:r>
      <w:r w:rsidRPr="003E3FC5">
        <w:rPr>
          <w:rFonts w:ascii="Arial" w:hAnsi="Arial" w:cs="Arial"/>
          <w:i/>
          <w:iCs/>
          <w:color w:val="000000"/>
          <w:sz w:val="22"/>
          <w:szCs w:val="22"/>
        </w:rPr>
        <w:t>Donaldson Review: The ‘</w:t>
      </w:r>
      <w:proofErr w:type="gramStart"/>
      <w:r w:rsidRPr="003E3FC5">
        <w:rPr>
          <w:rFonts w:ascii="Arial" w:hAnsi="Arial" w:cs="Arial"/>
          <w:i/>
          <w:iCs/>
          <w:color w:val="000000"/>
          <w:sz w:val="22"/>
          <w:szCs w:val="22"/>
        </w:rPr>
        <w:t>purposes’</w:t>
      </w:r>
      <w:proofErr w:type="gramEnd"/>
      <w:r w:rsidRPr="003E3FC5">
        <w:rPr>
          <w:rFonts w:ascii="Arial" w:hAnsi="Arial" w:cs="Arial"/>
          <w:i/>
          <w:iCs/>
          <w:color w:val="000000"/>
          <w:sz w:val="22"/>
          <w:szCs w:val="22"/>
        </w:rPr>
        <w:t xml:space="preserve"> and content of a Curriculum for Wales</w:t>
      </w:r>
      <w:r w:rsidRPr="003E3FC5">
        <w:rPr>
          <w:rFonts w:ascii="Arial" w:hAnsi="Arial" w:cs="Arial"/>
          <w:color w:val="000000"/>
          <w:sz w:val="22"/>
          <w:szCs w:val="22"/>
        </w:rPr>
        <w:t>. [online] Available at: https://research.senedd.wales/research-articles/donaldson-review-the-purposes-and-content-of-a-curriculum-for-wales/#:~:text=Professor%20Graham%20Donaldson%20advocates%20a [Accessed 4 Apr. 2023].</w:t>
      </w:r>
    </w:p>
    <w:p w14:paraId="59F51591" w14:textId="1E95E1A3" w:rsidR="003E3FC5" w:rsidRPr="003E3FC5" w:rsidRDefault="007E6568" w:rsidP="007E6568">
      <w:pPr>
        <w:shd w:val="clear" w:color="auto" w:fill="FFFFFF"/>
        <w:spacing w:before="100" w:beforeAutospacing="1" w:after="100" w:afterAutospacing="1"/>
        <w:rPr>
          <w:rFonts w:ascii="Arial" w:hAnsi="Arial" w:cs="Arial"/>
          <w:color w:val="000000"/>
          <w:sz w:val="22"/>
          <w:szCs w:val="22"/>
        </w:rPr>
      </w:pPr>
      <w:r w:rsidRPr="007E6568">
        <w:rPr>
          <w:rFonts w:ascii="Arial" w:hAnsi="Arial" w:cs="Arial"/>
          <w:color w:val="000000"/>
          <w:sz w:val="22"/>
          <w:szCs w:val="22"/>
        </w:rPr>
        <w:t>‌</w:t>
      </w:r>
      <w:r w:rsidR="003E3FC5" w:rsidRPr="003E3FC5">
        <w:rPr>
          <w:rFonts w:ascii="Arial" w:hAnsi="Arial" w:cs="Arial"/>
          <w:color w:val="282828"/>
          <w:sz w:val="22"/>
          <w:szCs w:val="22"/>
          <w:shd w:val="clear" w:color="auto" w:fill="FFFFFF"/>
        </w:rPr>
        <w:t>S</w:t>
      </w:r>
      <w:r w:rsidR="003E3FC5" w:rsidRPr="003E3FC5">
        <w:rPr>
          <w:rFonts w:ascii="Arial" w:hAnsi="Arial" w:cs="Arial"/>
          <w:color w:val="282828"/>
          <w:sz w:val="22"/>
          <w:szCs w:val="22"/>
          <w:shd w:val="clear" w:color="auto" w:fill="FFFFFF"/>
        </w:rPr>
        <w:t>ilver, D. (2011). Using the ‘</w:t>
      </w:r>
      <w:proofErr w:type="spellStart"/>
      <w:r w:rsidR="003E3FC5" w:rsidRPr="003E3FC5">
        <w:rPr>
          <w:rFonts w:ascii="Arial" w:hAnsi="Arial" w:cs="Arial"/>
          <w:color w:val="282828"/>
          <w:sz w:val="22"/>
          <w:szCs w:val="22"/>
          <w:shd w:val="clear" w:color="auto" w:fill="FFFFFF"/>
        </w:rPr>
        <w:t>Zone’Help</w:t>
      </w:r>
      <w:proofErr w:type="spellEnd"/>
      <w:r w:rsidR="003E3FC5" w:rsidRPr="003E3FC5">
        <w:rPr>
          <w:rFonts w:ascii="Arial" w:hAnsi="Arial" w:cs="Arial"/>
          <w:color w:val="282828"/>
          <w:sz w:val="22"/>
          <w:szCs w:val="22"/>
          <w:shd w:val="clear" w:color="auto" w:fill="FFFFFF"/>
        </w:rPr>
        <w:t xml:space="preserve"> Reach Every Learner. </w:t>
      </w:r>
      <w:r w:rsidR="003E3FC5" w:rsidRPr="003E3FC5">
        <w:rPr>
          <w:rFonts w:ascii="Arial" w:hAnsi="Arial" w:cs="Arial"/>
          <w:i/>
          <w:iCs/>
          <w:color w:val="282828"/>
          <w:sz w:val="22"/>
          <w:szCs w:val="22"/>
          <w:shd w:val="clear" w:color="auto" w:fill="FFFFFF"/>
        </w:rPr>
        <w:t xml:space="preserve">Kappa Delta Pi </w:t>
      </w:r>
      <w:proofErr w:type="spellStart"/>
      <w:r w:rsidR="003E3FC5" w:rsidRPr="003E3FC5">
        <w:rPr>
          <w:rFonts w:ascii="Arial" w:hAnsi="Arial" w:cs="Arial"/>
          <w:i/>
          <w:iCs/>
          <w:color w:val="282828"/>
          <w:sz w:val="22"/>
          <w:szCs w:val="22"/>
          <w:shd w:val="clear" w:color="auto" w:fill="FFFFFF"/>
        </w:rPr>
        <w:t>Record</w:t>
      </w:r>
      <w:r w:rsidR="004A7B37">
        <w:rPr>
          <w:rFonts w:ascii="Arial" w:hAnsi="Arial" w:cs="Arial"/>
          <w:i/>
          <w:iCs/>
          <w:color w:val="282828"/>
          <w:sz w:val="22"/>
          <w:szCs w:val="22"/>
          <w:shd w:val="clear" w:color="auto" w:fill="FFFFFF"/>
        </w:rPr>
        <w:t>x</w:t>
      </w:r>
      <w:proofErr w:type="spellEnd"/>
    </w:p>
    <w:p w14:paraId="2A49404E" w14:textId="24802A30" w:rsidR="003E3FC5" w:rsidRDefault="003E3FC5" w:rsidP="00102B13">
      <w:pPr>
        <w:spacing w:line="360" w:lineRule="atLeast"/>
        <w:rPr>
          <w:rFonts w:ascii="Arial" w:hAnsi="Arial" w:cs="Arial"/>
          <w:color w:val="000000"/>
          <w:sz w:val="22"/>
          <w:szCs w:val="22"/>
        </w:rPr>
      </w:pPr>
      <w:r w:rsidRPr="00102B13">
        <w:rPr>
          <w:rFonts w:ascii="Arial" w:hAnsi="Arial" w:cs="Arial"/>
          <w:color w:val="000000"/>
          <w:sz w:val="22"/>
          <w:szCs w:val="22"/>
        </w:rPr>
        <w:t>sites.google.com. (n.d.). </w:t>
      </w:r>
      <w:r w:rsidRPr="00102B13">
        <w:rPr>
          <w:rFonts w:ascii="Arial" w:hAnsi="Arial" w:cs="Arial"/>
          <w:i/>
          <w:iCs/>
          <w:color w:val="000000"/>
          <w:sz w:val="22"/>
          <w:szCs w:val="22"/>
        </w:rPr>
        <w:t>Blended Learning FP</w:t>
      </w:r>
      <w:r w:rsidRPr="00102B13">
        <w:rPr>
          <w:rFonts w:ascii="Arial" w:hAnsi="Arial" w:cs="Arial"/>
          <w:color w:val="000000"/>
          <w:sz w:val="22"/>
          <w:szCs w:val="22"/>
        </w:rPr>
        <w:t>. [online] Available at: https://sites.google.com/hwbcymru.net/blended-learning-fp/fp-blended-learning-model [Accessed 13 Apr. 2023].</w:t>
      </w:r>
    </w:p>
    <w:p w14:paraId="63DF2975" w14:textId="03466C49" w:rsidR="003E3FC5" w:rsidRDefault="003E3FC5" w:rsidP="00102B13">
      <w:pPr>
        <w:spacing w:line="360" w:lineRule="atLeast"/>
        <w:rPr>
          <w:rFonts w:ascii="Arial" w:hAnsi="Arial" w:cs="Arial"/>
          <w:color w:val="000000"/>
          <w:sz w:val="22"/>
          <w:szCs w:val="22"/>
        </w:rPr>
      </w:pPr>
    </w:p>
    <w:p w14:paraId="06BF0A00" w14:textId="01946EE2" w:rsidR="003E3FC5" w:rsidRPr="003E3FC5" w:rsidRDefault="003E3FC5" w:rsidP="003E3FC5">
      <w:pPr>
        <w:spacing w:line="360" w:lineRule="atLeast"/>
        <w:rPr>
          <w:rFonts w:ascii="Arial" w:hAnsi="Arial" w:cs="Arial"/>
          <w:color w:val="000000"/>
          <w:sz w:val="22"/>
          <w:szCs w:val="22"/>
        </w:rPr>
      </w:pPr>
      <w:r w:rsidRPr="003E3FC5">
        <w:rPr>
          <w:rFonts w:ascii="Arial" w:hAnsi="Arial" w:cs="Arial"/>
          <w:color w:val="000000"/>
          <w:sz w:val="22"/>
          <w:szCs w:val="22"/>
        </w:rPr>
        <w:lastRenderedPageBreak/>
        <w:t>Strecker, K. (2021). </w:t>
      </w:r>
      <w:r w:rsidRPr="003E3FC5">
        <w:rPr>
          <w:rFonts w:ascii="Arial" w:hAnsi="Arial" w:cs="Arial"/>
          <w:i/>
          <w:iCs/>
          <w:color w:val="000000"/>
          <w:sz w:val="22"/>
          <w:szCs w:val="22"/>
        </w:rPr>
        <w:t>Cross-Curricular Instruction</w:t>
      </w:r>
      <w:r w:rsidRPr="003E3FC5">
        <w:rPr>
          <w:rFonts w:ascii="Arial" w:hAnsi="Arial" w:cs="Arial"/>
          <w:color w:val="000000"/>
          <w:sz w:val="22"/>
          <w:szCs w:val="22"/>
        </w:rPr>
        <w:t xml:space="preserve">. [online] cliweb.org. Available at: </w:t>
      </w:r>
      <w:hyperlink r:id="rId10" w:history="1">
        <w:r w:rsidRPr="003E3FC5">
          <w:rPr>
            <w:rStyle w:val="Hyperlink"/>
            <w:rFonts w:ascii="Arial" w:hAnsi="Arial" w:cs="Arial"/>
            <w:sz w:val="22"/>
            <w:szCs w:val="22"/>
          </w:rPr>
          <w:t>https://cliweb.org/cross-curricular-instruction/#:~:text=This%20allows%20students%20to%20broaden</w:t>
        </w:r>
      </w:hyperlink>
      <w:r w:rsidRPr="003E3FC5">
        <w:rPr>
          <w:rFonts w:ascii="Arial" w:hAnsi="Arial" w:cs="Arial"/>
          <w:color w:val="000000"/>
          <w:sz w:val="22"/>
          <w:szCs w:val="22"/>
        </w:rPr>
        <w:t>.</w:t>
      </w:r>
    </w:p>
    <w:p w14:paraId="03B7C4C0" w14:textId="77777777" w:rsidR="003E3FC5" w:rsidRPr="003E3FC5" w:rsidRDefault="003E3FC5" w:rsidP="003E3FC5">
      <w:pPr>
        <w:spacing w:line="360" w:lineRule="atLeast"/>
        <w:rPr>
          <w:rFonts w:ascii="Arial" w:hAnsi="Arial" w:cs="Arial"/>
          <w:color w:val="000000"/>
          <w:sz w:val="22"/>
          <w:szCs w:val="22"/>
        </w:rPr>
      </w:pPr>
    </w:p>
    <w:p w14:paraId="5E71CC92" w14:textId="41EACFC9" w:rsidR="003E3FC5" w:rsidRDefault="003E3FC5" w:rsidP="003E3FC5">
      <w:pPr>
        <w:spacing w:line="360" w:lineRule="atLeast"/>
        <w:rPr>
          <w:rFonts w:ascii="Arial" w:hAnsi="Arial" w:cs="Arial"/>
          <w:color w:val="000000"/>
          <w:sz w:val="22"/>
          <w:szCs w:val="22"/>
        </w:rPr>
      </w:pPr>
      <w:r w:rsidRPr="003E3FC5">
        <w:rPr>
          <w:rFonts w:ascii="Arial" w:hAnsi="Arial" w:cs="Arial"/>
          <w:color w:val="000000"/>
          <w:sz w:val="22"/>
          <w:szCs w:val="22"/>
        </w:rPr>
        <w:t xml:space="preserve">Twinkl.co.uk. (2021). Available at: </w:t>
      </w:r>
      <w:hyperlink r:id="rId11" w:history="1">
        <w:r w:rsidR="00AF58B5" w:rsidRPr="003E3FC5">
          <w:rPr>
            <w:rStyle w:val="Hyperlink"/>
            <w:rFonts w:ascii="Arial" w:hAnsi="Arial" w:cs="Arial"/>
            <w:sz w:val="22"/>
            <w:szCs w:val="22"/>
          </w:rPr>
          <w:t>https://www.twinkl.co.uk/teaching-wiki/cross-curricular</w:t>
        </w:r>
      </w:hyperlink>
      <w:r w:rsidRPr="003E3FC5">
        <w:rPr>
          <w:rFonts w:ascii="Arial" w:hAnsi="Arial" w:cs="Arial"/>
          <w:color w:val="000000"/>
          <w:sz w:val="22"/>
          <w:szCs w:val="22"/>
        </w:rPr>
        <w:t>.</w:t>
      </w:r>
    </w:p>
    <w:p w14:paraId="68323BD1" w14:textId="77777777" w:rsidR="00AF58B5" w:rsidRDefault="00AF58B5" w:rsidP="003E3FC5">
      <w:pPr>
        <w:spacing w:line="360" w:lineRule="atLeast"/>
        <w:rPr>
          <w:rFonts w:ascii="Arial" w:hAnsi="Arial" w:cs="Arial"/>
          <w:color w:val="000000"/>
          <w:sz w:val="22"/>
          <w:szCs w:val="22"/>
        </w:rPr>
      </w:pPr>
    </w:p>
    <w:p w14:paraId="2A315732" w14:textId="77777777" w:rsidR="00AF58B5" w:rsidRPr="00AF58B5" w:rsidRDefault="00AF58B5" w:rsidP="00AF58B5">
      <w:pPr>
        <w:rPr>
          <w:rFonts w:ascii="Arial" w:hAnsi="Arial" w:cs="Arial"/>
          <w:sz w:val="22"/>
          <w:szCs w:val="22"/>
        </w:rPr>
      </w:pPr>
      <w:r w:rsidRPr="00AF58B5">
        <w:rPr>
          <w:rFonts w:ascii="Arial" w:hAnsi="Arial" w:cs="Arial"/>
          <w:color w:val="282828"/>
          <w:sz w:val="22"/>
          <w:szCs w:val="22"/>
          <w:shd w:val="clear" w:color="auto" w:fill="FFFFFF"/>
        </w:rPr>
        <w:t>Vygotsky, L. S. (1978). </w:t>
      </w:r>
      <w:r w:rsidRPr="00AF58B5">
        <w:rPr>
          <w:rFonts w:ascii="Arial" w:hAnsi="Arial" w:cs="Arial"/>
          <w:i/>
          <w:iCs/>
          <w:color w:val="282828"/>
          <w:sz w:val="22"/>
          <w:szCs w:val="22"/>
        </w:rPr>
        <w:t>Mind in society: The development of higher psychological processes</w:t>
      </w:r>
      <w:r w:rsidRPr="00AF58B5">
        <w:rPr>
          <w:rFonts w:ascii="Arial" w:hAnsi="Arial" w:cs="Arial"/>
          <w:color w:val="282828"/>
          <w:sz w:val="22"/>
          <w:szCs w:val="22"/>
          <w:shd w:val="clear" w:color="auto" w:fill="FFFFFF"/>
        </w:rPr>
        <w:t>. Cambridge, MA: Harvard University Press.</w:t>
      </w:r>
    </w:p>
    <w:p w14:paraId="5734C800" w14:textId="2EBA519C" w:rsidR="003E3FC5" w:rsidRPr="003E3FC5" w:rsidRDefault="003E3FC5" w:rsidP="003E3FC5">
      <w:pPr>
        <w:spacing w:before="100" w:beforeAutospacing="1" w:after="100" w:afterAutospacing="1"/>
        <w:rPr>
          <w:rFonts w:ascii="Calibri" w:hAnsi="Calibri" w:cs="Calibri"/>
          <w:color w:val="000000"/>
          <w:sz w:val="27"/>
          <w:szCs w:val="27"/>
        </w:rPr>
      </w:pPr>
      <w:r w:rsidRPr="003E3FC5">
        <w:rPr>
          <w:rFonts w:ascii="Arial" w:hAnsi="Arial" w:cs="Arial"/>
          <w:color w:val="000000"/>
          <w:sz w:val="22"/>
          <w:szCs w:val="22"/>
        </w:rPr>
        <w:t>www.structural-learning.com. (n.d.). </w:t>
      </w:r>
      <w:r w:rsidRPr="003E3FC5">
        <w:rPr>
          <w:rFonts w:ascii="Arial" w:hAnsi="Arial" w:cs="Arial"/>
          <w:i/>
          <w:iCs/>
          <w:color w:val="000000"/>
          <w:sz w:val="22"/>
          <w:szCs w:val="22"/>
        </w:rPr>
        <w:t>Direct Instruction: A teacher’s guide</w:t>
      </w:r>
      <w:r w:rsidRPr="003E3FC5">
        <w:rPr>
          <w:rFonts w:ascii="Arial" w:hAnsi="Arial" w:cs="Arial"/>
          <w:color w:val="000000"/>
          <w:sz w:val="22"/>
          <w:szCs w:val="22"/>
        </w:rPr>
        <w:t xml:space="preserve">. [online] Available at: </w:t>
      </w:r>
      <w:hyperlink r:id="rId12" w:anchor=":~:text=Direct%20instruction%20of%20a%20well" w:history="1">
        <w:r w:rsidRPr="003E3FC5">
          <w:rPr>
            <w:rStyle w:val="Hyperlink"/>
            <w:rFonts w:ascii="Arial" w:hAnsi="Arial" w:cs="Arial"/>
            <w:sz w:val="22"/>
            <w:szCs w:val="22"/>
          </w:rPr>
          <w:t>https://www.structural-learning.com/post/direct-instruction-a-teachers-guide#:~:text=Direct%20instruction%20of%20a</w:t>
        </w:r>
        <w:r w:rsidRPr="003E3FC5">
          <w:rPr>
            <w:rStyle w:val="Hyperlink"/>
            <w:rFonts w:ascii="Arial" w:hAnsi="Arial" w:cs="Arial"/>
            <w:sz w:val="22"/>
            <w:szCs w:val="22"/>
          </w:rPr>
          <w:t>%</w:t>
        </w:r>
        <w:r w:rsidRPr="003E3FC5">
          <w:rPr>
            <w:rStyle w:val="Hyperlink"/>
            <w:rFonts w:ascii="Arial" w:hAnsi="Arial" w:cs="Arial"/>
            <w:sz w:val="22"/>
            <w:szCs w:val="22"/>
          </w:rPr>
          <w:t>20well</w:t>
        </w:r>
      </w:hyperlink>
      <w:r w:rsidRPr="003E3FC5">
        <w:rPr>
          <w:rFonts w:ascii="Arial" w:hAnsi="Arial" w:cs="Arial"/>
          <w:color w:val="000000"/>
          <w:sz w:val="22"/>
          <w:szCs w:val="22"/>
        </w:rPr>
        <w:t>.</w:t>
      </w:r>
    </w:p>
    <w:p w14:paraId="212D9562" w14:textId="4A22344C" w:rsidR="003E3FC5" w:rsidRPr="003E3FC5" w:rsidRDefault="003E3FC5" w:rsidP="003E3FC5">
      <w:pPr>
        <w:spacing w:line="360" w:lineRule="atLeast"/>
        <w:rPr>
          <w:rFonts w:ascii="Calibri" w:hAnsi="Calibri" w:cs="Calibri"/>
          <w:color w:val="000000"/>
          <w:sz w:val="27"/>
          <w:szCs w:val="27"/>
        </w:rPr>
      </w:pPr>
      <w:r w:rsidRPr="003E3FC5">
        <w:rPr>
          <w:rFonts w:ascii="Calibri" w:hAnsi="Calibri" w:cs="Calibri"/>
          <w:color w:val="000000"/>
          <w:sz w:val="27"/>
          <w:szCs w:val="27"/>
        </w:rPr>
        <w:t>‌</w:t>
      </w:r>
    </w:p>
    <w:p w14:paraId="0DCC1A1F" w14:textId="77777777" w:rsidR="003E3FC5" w:rsidRPr="003E3FC5" w:rsidRDefault="003E3FC5" w:rsidP="003E3FC5">
      <w:pPr>
        <w:spacing w:line="360" w:lineRule="atLeast"/>
        <w:rPr>
          <w:rFonts w:ascii="Calibri" w:hAnsi="Calibri" w:cs="Calibri"/>
          <w:color w:val="000000"/>
          <w:sz w:val="27"/>
          <w:szCs w:val="27"/>
        </w:rPr>
      </w:pPr>
    </w:p>
    <w:p w14:paraId="4587D4B5" w14:textId="77777777" w:rsidR="003E3FC5" w:rsidRPr="003E3FC5" w:rsidRDefault="003E3FC5" w:rsidP="003E3FC5">
      <w:pPr>
        <w:spacing w:before="100" w:beforeAutospacing="1" w:after="100" w:afterAutospacing="1"/>
        <w:rPr>
          <w:rFonts w:ascii="Calibri" w:hAnsi="Calibri" w:cs="Calibri"/>
          <w:color w:val="000000"/>
          <w:sz w:val="27"/>
          <w:szCs w:val="27"/>
        </w:rPr>
      </w:pPr>
      <w:r w:rsidRPr="003E3FC5">
        <w:rPr>
          <w:rFonts w:ascii="Calibri" w:hAnsi="Calibri" w:cs="Calibri"/>
          <w:color w:val="000000"/>
          <w:sz w:val="27"/>
          <w:szCs w:val="27"/>
        </w:rPr>
        <w:t>‌</w:t>
      </w:r>
    </w:p>
    <w:p w14:paraId="0C37A50F" w14:textId="77777777" w:rsidR="003E3FC5" w:rsidRPr="00102B13" w:rsidRDefault="003E3FC5" w:rsidP="00102B13">
      <w:pPr>
        <w:spacing w:line="360" w:lineRule="atLeast"/>
        <w:rPr>
          <w:rFonts w:ascii="Calibri" w:hAnsi="Calibri" w:cs="Calibri"/>
          <w:color w:val="000000"/>
          <w:sz w:val="27"/>
          <w:szCs w:val="27"/>
        </w:rPr>
      </w:pPr>
    </w:p>
    <w:p w14:paraId="1F940583" w14:textId="77777777" w:rsidR="00102B13" w:rsidRPr="00102B13" w:rsidRDefault="00102B13" w:rsidP="00102B13">
      <w:pPr>
        <w:spacing w:before="100" w:beforeAutospacing="1" w:after="100" w:afterAutospacing="1"/>
        <w:rPr>
          <w:rFonts w:ascii="Calibri" w:hAnsi="Calibri" w:cs="Calibri"/>
          <w:color w:val="000000"/>
          <w:sz w:val="27"/>
          <w:szCs w:val="27"/>
        </w:rPr>
      </w:pPr>
      <w:r w:rsidRPr="00102B13">
        <w:rPr>
          <w:rFonts w:ascii="Calibri" w:hAnsi="Calibri" w:cs="Calibri"/>
          <w:color w:val="000000"/>
          <w:sz w:val="27"/>
          <w:szCs w:val="27"/>
        </w:rPr>
        <w:t>‌</w:t>
      </w:r>
    </w:p>
    <w:p w14:paraId="6873883C" w14:textId="77777777" w:rsidR="00102B13" w:rsidRPr="004C43FF" w:rsidRDefault="00102B13" w:rsidP="004C43FF">
      <w:pPr>
        <w:spacing w:line="360" w:lineRule="atLeast"/>
        <w:rPr>
          <w:rFonts w:ascii="Calibri" w:hAnsi="Calibri" w:cs="Calibri"/>
          <w:color w:val="000000"/>
          <w:sz w:val="27"/>
          <w:szCs w:val="27"/>
        </w:rPr>
      </w:pPr>
    </w:p>
    <w:p w14:paraId="1038D99A" w14:textId="77777777" w:rsidR="004C43FF" w:rsidRPr="004C43FF" w:rsidRDefault="004C43FF" w:rsidP="004C43FF">
      <w:pPr>
        <w:spacing w:before="100" w:beforeAutospacing="1" w:after="100" w:afterAutospacing="1"/>
        <w:rPr>
          <w:rFonts w:ascii="Calibri" w:hAnsi="Calibri" w:cs="Calibri"/>
          <w:color w:val="000000"/>
          <w:sz w:val="27"/>
          <w:szCs w:val="27"/>
        </w:rPr>
      </w:pPr>
      <w:r w:rsidRPr="004C43FF">
        <w:rPr>
          <w:rFonts w:ascii="Calibri" w:hAnsi="Calibri" w:cs="Calibri"/>
          <w:color w:val="000000"/>
          <w:sz w:val="27"/>
          <w:szCs w:val="27"/>
        </w:rPr>
        <w:t>‌</w:t>
      </w:r>
    </w:p>
    <w:p w14:paraId="2B28B75D" w14:textId="77777777" w:rsidR="004C43FF" w:rsidRPr="004C43FF" w:rsidRDefault="004C43FF" w:rsidP="004C43FF">
      <w:pPr>
        <w:spacing w:line="360" w:lineRule="atLeast"/>
        <w:rPr>
          <w:rFonts w:ascii="Calibri" w:hAnsi="Calibri" w:cs="Calibri"/>
          <w:color w:val="000000"/>
          <w:sz w:val="27"/>
          <w:szCs w:val="27"/>
        </w:rPr>
      </w:pPr>
    </w:p>
    <w:p w14:paraId="2F09F681" w14:textId="77777777" w:rsidR="004C43FF" w:rsidRPr="004C43FF" w:rsidRDefault="004C43FF" w:rsidP="004C43FF">
      <w:pPr>
        <w:spacing w:before="100" w:beforeAutospacing="1" w:after="100" w:afterAutospacing="1"/>
        <w:rPr>
          <w:rFonts w:ascii="Calibri" w:hAnsi="Calibri" w:cs="Calibri"/>
          <w:color w:val="000000"/>
          <w:sz w:val="27"/>
          <w:szCs w:val="27"/>
        </w:rPr>
      </w:pPr>
      <w:r w:rsidRPr="004C43FF">
        <w:rPr>
          <w:rFonts w:ascii="Calibri" w:hAnsi="Calibri" w:cs="Calibri"/>
          <w:color w:val="000000"/>
          <w:sz w:val="27"/>
          <w:szCs w:val="27"/>
        </w:rPr>
        <w:t>‌</w:t>
      </w:r>
    </w:p>
    <w:p w14:paraId="38090988" w14:textId="77777777" w:rsidR="004C43FF" w:rsidRPr="004C43FF" w:rsidRDefault="004C43FF" w:rsidP="004C43FF">
      <w:pPr>
        <w:pStyle w:val="NormalWeb"/>
        <w:spacing w:before="0" w:beforeAutospacing="0" w:after="0" w:afterAutospacing="0" w:line="360" w:lineRule="atLeast"/>
        <w:rPr>
          <w:rFonts w:ascii="Calibri" w:hAnsi="Calibri" w:cs="Calibri"/>
          <w:color w:val="000000"/>
          <w:sz w:val="27"/>
          <w:szCs w:val="27"/>
        </w:rPr>
      </w:pPr>
    </w:p>
    <w:p w14:paraId="6DF46F3D" w14:textId="77777777" w:rsidR="004C43FF" w:rsidRPr="004C43FF" w:rsidRDefault="004C43FF" w:rsidP="004C43FF">
      <w:pPr>
        <w:spacing w:before="100" w:beforeAutospacing="1" w:after="100" w:afterAutospacing="1"/>
        <w:rPr>
          <w:rFonts w:ascii="Calibri" w:hAnsi="Calibri" w:cs="Calibri"/>
          <w:color w:val="000000"/>
          <w:sz w:val="27"/>
          <w:szCs w:val="27"/>
        </w:rPr>
      </w:pPr>
      <w:r w:rsidRPr="004C43FF">
        <w:rPr>
          <w:rFonts w:ascii="Calibri" w:hAnsi="Calibri" w:cs="Calibri"/>
          <w:color w:val="000000"/>
          <w:sz w:val="27"/>
          <w:szCs w:val="27"/>
        </w:rPr>
        <w:t>‌</w:t>
      </w:r>
    </w:p>
    <w:p w14:paraId="292A701E" w14:textId="555C587E" w:rsidR="004C43FF" w:rsidRPr="004C43FF" w:rsidRDefault="004C43FF" w:rsidP="004C43FF">
      <w:pPr>
        <w:spacing w:before="100" w:beforeAutospacing="1" w:after="100" w:afterAutospacing="1"/>
        <w:rPr>
          <w:rFonts w:ascii="Calibri" w:hAnsi="Calibri" w:cs="Calibri"/>
          <w:color w:val="000000"/>
          <w:sz w:val="27"/>
          <w:szCs w:val="27"/>
        </w:rPr>
      </w:pPr>
    </w:p>
    <w:p w14:paraId="3A21AACE" w14:textId="5C1C042A" w:rsidR="002B3118" w:rsidRDefault="002B3118" w:rsidP="002B3118">
      <w:pPr>
        <w:pStyle w:val="NormalWeb"/>
        <w:rPr>
          <w:rFonts w:ascii="Calibri" w:hAnsi="Calibri" w:cs="Calibri"/>
          <w:color w:val="000000"/>
          <w:sz w:val="27"/>
          <w:szCs w:val="27"/>
        </w:rPr>
      </w:pPr>
    </w:p>
    <w:p w14:paraId="5FD2ACE5" w14:textId="38A265C5" w:rsidR="002B3118" w:rsidRDefault="002B3118" w:rsidP="002B3118">
      <w:pPr>
        <w:pStyle w:val="NormalWeb"/>
        <w:rPr>
          <w:rFonts w:ascii="Calibri" w:hAnsi="Calibri" w:cs="Calibri"/>
          <w:color w:val="000000"/>
          <w:sz w:val="27"/>
          <w:szCs w:val="27"/>
        </w:rPr>
      </w:pPr>
    </w:p>
    <w:p w14:paraId="4C4806B6" w14:textId="303FB38B" w:rsidR="002B3118" w:rsidRDefault="002B3118" w:rsidP="002B3118">
      <w:pPr>
        <w:pStyle w:val="NormalWeb"/>
        <w:rPr>
          <w:rFonts w:ascii="Calibri" w:hAnsi="Calibri" w:cs="Calibri"/>
          <w:color w:val="000000"/>
          <w:sz w:val="27"/>
          <w:szCs w:val="27"/>
        </w:rPr>
      </w:pPr>
    </w:p>
    <w:p w14:paraId="16749085" w14:textId="77777777" w:rsidR="002B3118" w:rsidRDefault="002B3118"/>
    <w:sectPr w:rsidR="002B3118" w:rsidSect="00C7325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118"/>
    <w:rsid w:val="000476A6"/>
    <w:rsid w:val="00102B13"/>
    <w:rsid w:val="001B55D7"/>
    <w:rsid w:val="001D300E"/>
    <w:rsid w:val="002B3118"/>
    <w:rsid w:val="002E0688"/>
    <w:rsid w:val="003E3FC5"/>
    <w:rsid w:val="004A7B37"/>
    <w:rsid w:val="004C43FF"/>
    <w:rsid w:val="005F27BC"/>
    <w:rsid w:val="0076582D"/>
    <w:rsid w:val="007E6568"/>
    <w:rsid w:val="008010BF"/>
    <w:rsid w:val="00845A54"/>
    <w:rsid w:val="0094739E"/>
    <w:rsid w:val="009C52A4"/>
    <w:rsid w:val="00AB1ABE"/>
    <w:rsid w:val="00AC3F77"/>
    <w:rsid w:val="00AF58B5"/>
    <w:rsid w:val="00BB5C14"/>
    <w:rsid w:val="00C7325E"/>
    <w:rsid w:val="00C91E44"/>
    <w:rsid w:val="00E36106"/>
    <w:rsid w:val="00F15C2C"/>
    <w:rsid w:val="00FE2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6CBC07"/>
  <w15:chartTrackingRefBased/>
  <w15:docId w15:val="{619024D1-FC8F-4F48-AADD-838CF01F5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118"/>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B3118"/>
    <w:pPr>
      <w:spacing w:before="100" w:beforeAutospacing="1" w:after="100" w:afterAutospacing="1"/>
    </w:pPr>
    <w:rPr>
      <w:sz w:val="24"/>
      <w:szCs w:val="24"/>
    </w:rPr>
  </w:style>
  <w:style w:type="character" w:customStyle="1" w:styleId="normaltextrun">
    <w:name w:val="normaltextrun"/>
    <w:rsid w:val="002B3118"/>
  </w:style>
  <w:style w:type="character" w:customStyle="1" w:styleId="eop">
    <w:name w:val="eop"/>
    <w:rsid w:val="002B3118"/>
  </w:style>
  <w:style w:type="character" w:styleId="Hyperlink">
    <w:name w:val="Hyperlink"/>
    <w:basedOn w:val="DefaultParagraphFont"/>
    <w:uiPriority w:val="99"/>
    <w:unhideWhenUsed/>
    <w:rsid w:val="002B3118"/>
    <w:rPr>
      <w:color w:val="0563C1" w:themeColor="hyperlink"/>
      <w:u w:val="single"/>
    </w:rPr>
  </w:style>
  <w:style w:type="character" w:styleId="UnresolvedMention">
    <w:name w:val="Unresolved Mention"/>
    <w:basedOn w:val="DefaultParagraphFont"/>
    <w:uiPriority w:val="99"/>
    <w:semiHidden/>
    <w:unhideWhenUsed/>
    <w:rsid w:val="002B3118"/>
    <w:rPr>
      <w:color w:val="605E5C"/>
      <w:shd w:val="clear" w:color="auto" w:fill="E1DFDD"/>
    </w:rPr>
  </w:style>
  <w:style w:type="paragraph" w:styleId="NormalWeb">
    <w:name w:val="Normal (Web)"/>
    <w:basedOn w:val="Normal"/>
    <w:uiPriority w:val="99"/>
    <w:semiHidden/>
    <w:unhideWhenUsed/>
    <w:rsid w:val="002B3118"/>
    <w:pPr>
      <w:spacing w:before="100" w:beforeAutospacing="1" w:after="100" w:afterAutospacing="1"/>
    </w:pPr>
    <w:rPr>
      <w:sz w:val="24"/>
      <w:szCs w:val="24"/>
    </w:rPr>
  </w:style>
  <w:style w:type="character" w:styleId="Emphasis">
    <w:name w:val="Emphasis"/>
    <w:basedOn w:val="DefaultParagraphFont"/>
    <w:uiPriority w:val="20"/>
    <w:qFormat/>
    <w:rsid w:val="003E3FC5"/>
    <w:rPr>
      <w:i/>
      <w:iCs/>
    </w:rPr>
  </w:style>
  <w:style w:type="character" w:styleId="FollowedHyperlink">
    <w:name w:val="FollowedHyperlink"/>
    <w:basedOn w:val="DefaultParagraphFont"/>
    <w:uiPriority w:val="99"/>
    <w:semiHidden/>
    <w:unhideWhenUsed/>
    <w:rsid w:val="00AF58B5"/>
    <w:rPr>
      <w:color w:val="954F72" w:themeColor="followedHyperlink"/>
      <w:u w:val="single"/>
    </w:rPr>
  </w:style>
  <w:style w:type="character" w:customStyle="1" w:styleId="apple-converted-space">
    <w:name w:val="apple-converted-space"/>
    <w:basedOn w:val="DefaultParagraphFont"/>
    <w:rsid w:val="00AF58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23533">
      <w:bodyDiv w:val="1"/>
      <w:marLeft w:val="0"/>
      <w:marRight w:val="0"/>
      <w:marTop w:val="0"/>
      <w:marBottom w:val="0"/>
      <w:divBdr>
        <w:top w:val="none" w:sz="0" w:space="0" w:color="auto"/>
        <w:left w:val="none" w:sz="0" w:space="0" w:color="auto"/>
        <w:bottom w:val="none" w:sz="0" w:space="0" w:color="auto"/>
        <w:right w:val="none" w:sz="0" w:space="0" w:color="auto"/>
      </w:divBdr>
    </w:div>
    <w:div w:id="67504905">
      <w:bodyDiv w:val="1"/>
      <w:marLeft w:val="0"/>
      <w:marRight w:val="0"/>
      <w:marTop w:val="0"/>
      <w:marBottom w:val="0"/>
      <w:divBdr>
        <w:top w:val="none" w:sz="0" w:space="0" w:color="auto"/>
        <w:left w:val="none" w:sz="0" w:space="0" w:color="auto"/>
        <w:bottom w:val="none" w:sz="0" w:space="0" w:color="auto"/>
        <w:right w:val="none" w:sz="0" w:space="0" w:color="auto"/>
      </w:divBdr>
    </w:div>
    <w:div w:id="186021590">
      <w:bodyDiv w:val="1"/>
      <w:marLeft w:val="0"/>
      <w:marRight w:val="0"/>
      <w:marTop w:val="0"/>
      <w:marBottom w:val="0"/>
      <w:divBdr>
        <w:top w:val="none" w:sz="0" w:space="0" w:color="auto"/>
        <w:left w:val="none" w:sz="0" w:space="0" w:color="auto"/>
        <w:bottom w:val="none" w:sz="0" w:space="0" w:color="auto"/>
        <w:right w:val="none" w:sz="0" w:space="0" w:color="auto"/>
      </w:divBdr>
    </w:div>
    <w:div w:id="306978886">
      <w:bodyDiv w:val="1"/>
      <w:marLeft w:val="0"/>
      <w:marRight w:val="0"/>
      <w:marTop w:val="0"/>
      <w:marBottom w:val="0"/>
      <w:divBdr>
        <w:top w:val="none" w:sz="0" w:space="0" w:color="auto"/>
        <w:left w:val="none" w:sz="0" w:space="0" w:color="auto"/>
        <w:bottom w:val="none" w:sz="0" w:space="0" w:color="auto"/>
        <w:right w:val="none" w:sz="0" w:space="0" w:color="auto"/>
      </w:divBdr>
    </w:div>
    <w:div w:id="414011151">
      <w:bodyDiv w:val="1"/>
      <w:marLeft w:val="0"/>
      <w:marRight w:val="0"/>
      <w:marTop w:val="0"/>
      <w:marBottom w:val="0"/>
      <w:divBdr>
        <w:top w:val="none" w:sz="0" w:space="0" w:color="auto"/>
        <w:left w:val="none" w:sz="0" w:space="0" w:color="auto"/>
        <w:bottom w:val="none" w:sz="0" w:space="0" w:color="auto"/>
        <w:right w:val="none" w:sz="0" w:space="0" w:color="auto"/>
      </w:divBdr>
    </w:div>
    <w:div w:id="451025224">
      <w:bodyDiv w:val="1"/>
      <w:marLeft w:val="0"/>
      <w:marRight w:val="0"/>
      <w:marTop w:val="0"/>
      <w:marBottom w:val="0"/>
      <w:divBdr>
        <w:top w:val="none" w:sz="0" w:space="0" w:color="auto"/>
        <w:left w:val="none" w:sz="0" w:space="0" w:color="auto"/>
        <w:bottom w:val="none" w:sz="0" w:space="0" w:color="auto"/>
        <w:right w:val="none" w:sz="0" w:space="0" w:color="auto"/>
      </w:divBdr>
    </w:div>
    <w:div w:id="453984174">
      <w:bodyDiv w:val="1"/>
      <w:marLeft w:val="0"/>
      <w:marRight w:val="0"/>
      <w:marTop w:val="0"/>
      <w:marBottom w:val="0"/>
      <w:divBdr>
        <w:top w:val="none" w:sz="0" w:space="0" w:color="auto"/>
        <w:left w:val="none" w:sz="0" w:space="0" w:color="auto"/>
        <w:bottom w:val="none" w:sz="0" w:space="0" w:color="auto"/>
        <w:right w:val="none" w:sz="0" w:space="0" w:color="auto"/>
      </w:divBdr>
    </w:div>
    <w:div w:id="471872275">
      <w:bodyDiv w:val="1"/>
      <w:marLeft w:val="0"/>
      <w:marRight w:val="0"/>
      <w:marTop w:val="0"/>
      <w:marBottom w:val="0"/>
      <w:divBdr>
        <w:top w:val="none" w:sz="0" w:space="0" w:color="auto"/>
        <w:left w:val="none" w:sz="0" w:space="0" w:color="auto"/>
        <w:bottom w:val="none" w:sz="0" w:space="0" w:color="auto"/>
        <w:right w:val="none" w:sz="0" w:space="0" w:color="auto"/>
      </w:divBdr>
    </w:div>
    <w:div w:id="590965562">
      <w:bodyDiv w:val="1"/>
      <w:marLeft w:val="0"/>
      <w:marRight w:val="0"/>
      <w:marTop w:val="0"/>
      <w:marBottom w:val="0"/>
      <w:divBdr>
        <w:top w:val="none" w:sz="0" w:space="0" w:color="auto"/>
        <w:left w:val="none" w:sz="0" w:space="0" w:color="auto"/>
        <w:bottom w:val="none" w:sz="0" w:space="0" w:color="auto"/>
        <w:right w:val="none" w:sz="0" w:space="0" w:color="auto"/>
      </w:divBdr>
    </w:div>
    <w:div w:id="652686663">
      <w:bodyDiv w:val="1"/>
      <w:marLeft w:val="0"/>
      <w:marRight w:val="0"/>
      <w:marTop w:val="0"/>
      <w:marBottom w:val="0"/>
      <w:divBdr>
        <w:top w:val="none" w:sz="0" w:space="0" w:color="auto"/>
        <w:left w:val="none" w:sz="0" w:space="0" w:color="auto"/>
        <w:bottom w:val="none" w:sz="0" w:space="0" w:color="auto"/>
        <w:right w:val="none" w:sz="0" w:space="0" w:color="auto"/>
      </w:divBdr>
    </w:div>
    <w:div w:id="729618444">
      <w:bodyDiv w:val="1"/>
      <w:marLeft w:val="0"/>
      <w:marRight w:val="0"/>
      <w:marTop w:val="0"/>
      <w:marBottom w:val="0"/>
      <w:divBdr>
        <w:top w:val="none" w:sz="0" w:space="0" w:color="auto"/>
        <w:left w:val="none" w:sz="0" w:space="0" w:color="auto"/>
        <w:bottom w:val="none" w:sz="0" w:space="0" w:color="auto"/>
        <w:right w:val="none" w:sz="0" w:space="0" w:color="auto"/>
      </w:divBdr>
    </w:div>
    <w:div w:id="751462948">
      <w:bodyDiv w:val="1"/>
      <w:marLeft w:val="0"/>
      <w:marRight w:val="0"/>
      <w:marTop w:val="0"/>
      <w:marBottom w:val="0"/>
      <w:divBdr>
        <w:top w:val="none" w:sz="0" w:space="0" w:color="auto"/>
        <w:left w:val="none" w:sz="0" w:space="0" w:color="auto"/>
        <w:bottom w:val="none" w:sz="0" w:space="0" w:color="auto"/>
        <w:right w:val="none" w:sz="0" w:space="0" w:color="auto"/>
      </w:divBdr>
    </w:div>
    <w:div w:id="767851055">
      <w:bodyDiv w:val="1"/>
      <w:marLeft w:val="0"/>
      <w:marRight w:val="0"/>
      <w:marTop w:val="0"/>
      <w:marBottom w:val="0"/>
      <w:divBdr>
        <w:top w:val="none" w:sz="0" w:space="0" w:color="auto"/>
        <w:left w:val="none" w:sz="0" w:space="0" w:color="auto"/>
        <w:bottom w:val="none" w:sz="0" w:space="0" w:color="auto"/>
        <w:right w:val="none" w:sz="0" w:space="0" w:color="auto"/>
      </w:divBdr>
    </w:div>
    <w:div w:id="832111361">
      <w:bodyDiv w:val="1"/>
      <w:marLeft w:val="0"/>
      <w:marRight w:val="0"/>
      <w:marTop w:val="0"/>
      <w:marBottom w:val="0"/>
      <w:divBdr>
        <w:top w:val="none" w:sz="0" w:space="0" w:color="auto"/>
        <w:left w:val="none" w:sz="0" w:space="0" w:color="auto"/>
        <w:bottom w:val="none" w:sz="0" w:space="0" w:color="auto"/>
        <w:right w:val="none" w:sz="0" w:space="0" w:color="auto"/>
      </w:divBdr>
    </w:div>
    <w:div w:id="1183937416">
      <w:bodyDiv w:val="1"/>
      <w:marLeft w:val="0"/>
      <w:marRight w:val="0"/>
      <w:marTop w:val="0"/>
      <w:marBottom w:val="0"/>
      <w:divBdr>
        <w:top w:val="none" w:sz="0" w:space="0" w:color="auto"/>
        <w:left w:val="none" w:sz="0" w:space="0" w:color="auto"/>
        <w:bottom w:val="none" w:sz="0" w:space="0" w:color="auto"/>
        <w:right w:val="none" w:sz="0" w:space="0" w:color="auto"/>
      </w:divBdr>
    </w:div>
    <w:div w:id="1332637079">
      <w:bodyDiv w:val="1"/>
      <w:marLeft w:val="0"/>
      <w:marRight w:val="0"/>
      <w:marTop w:val="0"/>
      <w:marBottom w:val="0"/>
      <w:divBdr>
        <w:top w:val="none" w:sz="0" w:space="0" w:color="auto"/>
        <w:left w:val="none" w:sz="0" w:space="0" w:color="auto"/>
        <w:bottom w:val="none" w:sz="0" w:space="0" w:color="auto"/>
        <w:right w:val="none" w:sz="0" w:space="0" w:color="auto"/>
      </w:divBdr>
    </w:div>
    <w:div w:id="1334645501">
      <w:bodyDiv w:val="1"/>
      <w:marLeft w:val="0"/>
      <w:marRight w:val="0"/>
      <w:marTop w:val="0"/>
      <w:marBottom w:val="0"/>
      <w:divBdr>
        <w:top w:val="none" w:sz="0" w:space="0" w:color="auto"/>
        <w:left w:val="none" w:sz="0" w:space="0" w:color="auto"/>
        <w:bottom w:val="none" w:sz="0" w:space="0" w:color="auto"/>
        <w:right w:val="none" w:sz="0" w:space="0" w:color="auto"/>
      </w:divBdr>
    </w:div>
    <w:div w:id="1381780683">
      <w:bodyDiv w:val="1"/>
      <w:marLeft w:val="0"/>
      <w:marRight w:val="0"/>
      <w:marTop w:val="0"/>
      <w:marBottom w:val="0"/>
      <w:divBdr>
        <w:top w:val="none" w:sz="0" w:space="0" w:color="auto"/>
        <w:left w:val="none" w:sz="0" w:space="0" w:color="auto"/>
        <w:bottom w:val="none" w:sz="0" w:space="0" w:color="auto"/>
        <w:right w:val="none" w:sz="0" w:space="0" w:color="auto"/>
      </w:divBdr>
    </w:div>
    <w:div w:id="1468161022">
      <w:bodyDiv w:val="1"/>
      <w:marLeft w:val="0"/>
      <w:marRight w:val="0"/>
      <w:marTop w:val="0"/>
      <w:marBottom w:val="0"/>
      <w:divBdr>
        <w:top w:val="none" w:sz="0" w:space="0" w:color="auto"/>
        <w:left w:val="none" w:sz="0" w:space="0" w:color="auto"/>
        <w:bottom w:val="none" w:sz="0" w:space="0" w:color="auto"/>
        <w:right w:val="none" w:sz="0" w:space="0" w:color="auto"/>
      </w:divBdr>
    </w:div>
    <w:div w:id="1702509829">
      <w:bodyDiv w:val="1"/>
      <w:marLeft w:val="0"/>
      <w:marRight w:val="0"/>
      <w:marTop w:val="0"/>
      <w:marBottom w:val="0"/>
      <w:divBdr>
        <w:top w:val="none" w:sz="0" w:space="0" w:color="auto"/>
        <w:left w:val="none" w:sz="0" w:space="0" w:color="auto"/>
        <w:bottom w:val="none" w:sz="0" w:space="0" w:color="auto"/>
        <w:right w:val="none" w:sz="0" w:space="0" w:color="auto"/>
      </w:divBdr>
    </w:div>
    <w:div w:id="1763645778">
      <w:bodyDiv w:val="1"/>
      <w:marLeft w:val="0"/>
      <w:marRight w:val="0"/>
      <w:marTop w:val="0"/>
      <w:marBottom w:val="0"/>
      <w:divBdr>
        <w:top w:val="none" w:sz="0" w:space="0" w:color="auto"/>
        <w:left w:val="none" w:sz="0" w:space="0" w:color="auto"/>
        <w:bottom w:val="none" w:sz="0" w:space="0" w:color="auto"/>
        <w:right w:val="none" w:sz="0" w:space="0" w:color="auto"/>
      </w:divBdr>
    </w:div>
    <w:div w:id="1978797153">
      <w:bodyDiv w:val="1"/>
      <w:marLeft w:val="0"/>
      <w:marRight w:val="0"/>
      <w:marTop w:val="0"/>
      <w:marBottom w:val="0"/>
      <w:divBdr>
        <w:top w:val="none" w:sz="0" w:space="0" w:color="auto"/>
        <w:left w:val="none" w:sz="0" w:space="0" w:color="auto"/>
        <w:bottom w:val="none" w:sz="0" w:space="0" w:color="auto"/>
        <w:right w:val="none" w:sz="0" w:space="0" w:color="auto"/>
      </w:divBdr>
    </w:div>
    <w:div w:id="2121293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6/how-is-my-child-doing-in-the-foundation-phase-a-guide-for-parents-and-carers.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hwb.gov.wales/curriculum-for-wales/designing-your-curriculum/pedagogy" TargetMode="External"/><Relationship Id="rId12" Type="http://schemas.openxmlformats.org/officeDocument/2006/relationships/hyperlink" Target="https://www.structural-learning.com/post/direct-instruction-a-teachers-guid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wales/curriculum-wales-overview" TargetMode="External"/><Relationship Id="rId11" Type="http://schemas.openxmlformats.org/officeDocument/2006/relationships/hyperlink" Target="https://www.twinkl.co.uk/teaching-wiki/cross-curricular" TargetMode="External"/><Relationship Id="rId5" Type="http://schemas.openxmlformats.org/officeDocument/2006/relationships/hyperlink" Target="https://www.gov.wales/sites/default/files/publications/2018-03/successful-futures.pdf" TargetMode="External"/><Relationship Id="rId10" Type="http://schemas.openxmlformats.org/officeDocument/2006/relationships/hyperlink" Target="https://cliweb.org/cross-curricular-instruction/#:~:text=This%20allows%20students%20to%20broaden" TargetMode="External"/><Relationship Id="rId4" Type="http://schemas.openxmlformats.org/officeDocument/2006/relationships/hyperlink" Target="https://www.cmu.edu/teaching/designteach/teach/priorknowledge.html" TargetMode="External"/><Relationship Id="rId9" Type="http://schemas.openxmlformats.org/officeDocument/2006/relationships/hyperlink" Target="https://www.simplypsychology.org/Zone-of-Proximal-Development.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375</TotalTime>
  <Pages>7</Pages>
  <Words>3266</Words>
  <Characters>18621</Characters>
  <Application>Microsoft Office Word</Application>
  <DocSecurity>0</DocSecurity>
  <Lines>155</Lines>
  <Paragraphs>43</Paragraphs>
  <ScaleCrop>false</ScaleCrop>
  <Company/>
  <LinksUpToDate>false</LinksUpToDate>
  <CharactersWithSpaces>21844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dc:creator>
  <cp:keywords/>
  <dc:description/>
  <cp:lastModifiedBy>1</cp:lastModifiedBy>
  <cp:revision>23</cp:revision>
  <dcterms:created xsi:type="dcterms:W3CDTF">2023-04-04T12:22:00Z</dcterms:created>
  <dcterms:modified xsi:type="dcterms:W3CDTF">2023-04-15T15:28:00Z</dcterms:modified>
</cp:coreProperties>
</file>