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24295" w14:textId="49E9ACA9" w:rsidR="00804FD4" w:rsidRDefault="00804FD4" w:rsidP="00804FD4">
      <w:pPr>
        <w:rPr>
          <w:rFonts w:ascii="Times New Roman" w:hAnsi="Times New Roman" w:cs="Times New Roman"/>
          <w:b/>
          <w:bCs/>
          <w:sz w:val="44"/>
          <w:szCs w:val="44"/>
        </w:rPr>
      </w:pPr>
      <w:r w:rsidRPr="00DC62E8">
        <w:rPr>
          <w:rFonts w:ascii="Times New Roman" w:hAnsi="Times New Roman" w:cs="Times New Roman"/>
          <w:b/>
          <w:bCs/>
          <w:noProof/>
          <w:sz w:val="44"/>
          <w:szCs w:val="44"/>
        </w:rPr>
        <w:drawing>
          <wp:inline distT="0" distB="0" distL="0" distR="0" wp14:anchorId="2491BAEB" wp14:editId="05BC95F4">
            <wp:extent cx="4791744" cy="2476846"/>
            <wp:effectExtent l="0" t="0" r="8890" b="0"/>
            <wp:docPr id="184385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5832" name=""/>
                    <pic:cNvPicPr/>
                  </pic:nvPicPr>
                  <pic:blipFill>
                    <a:blip r:embed="rId8"/>
                    <a:stretch>
                      <a:fillRect/>
                    </a:stretch>
                  </pic:blipFill>
                  <pic:spPr>
                    <a:xfrm>
                      <a:off x="0" y="0"/>
                      <a:ext cx="4791744" cy="2476846"/>
                    </a:xfrm>
                    <a:prstGeom prst="rect">
                      <a:avLst/>
                    </a:prstGeom>
                  </pic:spPr>
                </pic:pic>
              </a:graphicData>
            </a:graphic>
          </wp:inline>
        </w:drawing>
      </w:r>
    </w:p>
    <w:p w14:paraId="5AF67479" w14:textId="77777777" w:rsidR="00804FD4" w:rsidRDefault="00804FD4" w:rsidP="00804FD4">
      <w:pPr>
        <w:rPr>
          <w:rFonts w:ascii="Times New Roman" w:hAnsi="Times New Roman" w:cs="Times New Roman"/>
          <w:b/>
          <w:bCs/>
          <w:sz w:val="44"/>
          <w:szCs w:val="44"/>
        </w:rPr>
      </w:pPr>
    </w:p>
    <w:p w14:paraId="7BFB8DF3" w14:textId="1C9E5289" w:rsidR="00804FD4" w:rsidRDefault="00394CCD" w:rsidP="00804FD4">
      <w:pPr>
        <w:rPr>
          <w:rFonts w:ascii="Times New Roman" w:hAnsi="Times New Roman" w:cs="Times New Roman"/>
          <w:b/>
          <w:bCs/>
          <w:sz w:val="44"/>
          <w:szCs w:val="44"/>
        </w:rPr>
      </w:pPr>
      <w:proofErr w:type="spellStart"/>
      <w:proofErr w:type="gramStart"/>
      <w:r>
        <w:rPr>
          <w:rFonts w:ascii="Times New Roman" w:hAnsi="Times New Roman" w:cs="Times New Roman"/>
          <w:b/>
          <w:bCs/>
          <w:sz w:val="44"/>
          <w:szCs w:val="44"/>
        </w:rPr>
        <w:t>Name:Bushra</w:t>
      </w:r>
      <w:proofErr w:type="spellEnd"/>
      <w:proofErr w:type="gramEnd"/>
      <w:r>
        <w:rPr>
          <w:rFonts w:ascii="Times New Roman" w:hAnsi="Times New Roman" w:cs="Times New Roman"/>
          <w:b/>
          <w:bCs/>
          <w:sz w:val="44"/>
          <w:szCs w:val="44"/>
        </w:rPr>
        <w:t xml:space="preserve"> Naila</w:t>
      </w:r>
    </w:p>
    <w:p w14:paraId="6D1C5B0F" w14:textId="4A7180E9" w:rsidR="00394CCD" w:rsidRDefault="00394CCD" w:rsidP="00804FD4">
      <w:pPr>
        <w:rPr>
          <w:rFonts w:ascii="Times New Roman" w:hAnsi="Times New Roman" w:cs="Times New Roman"/>
          <w:b/>
          <w:bCs/>
          <w:sz w:val="44"/>
          <w:szCs w:val="44"/>
        </w:rPr>
      </w:pPr>
      <w:r>
        <w:rPr>
          <w:rFonts w:ascii="Times New Roman" w:hAnsi="Times New Roman" w:cs="Times New Roman"/>
          <w:b/>
          <w:bCs/>
          <w:sz w:val="44"/>
          <w:szCs w:val="44"/>
        </w:rPr>
        <w:t>Student ID:2337327</w:t>
      </w:r>
    </w:p>
    <w:p w14:paraId="61EB79F9" w14:textId="3BDF2E2F" w:rsidR="00804FD4" w:rsidRPr="00DC62E8" w:rsidRDefault="00804FD4" w:rsidP="00804FD4">
      <w:pPr>
        <w:rPr>
          <w:rFonts w:ascii="Times New Roman" w:hAnsi="Times New Roman" w:cs="Times New Roman"/>
          <w:b/>
          <w:bCs/>
          <w:sz w:val="44"/>
          <w:szCs w:val="44"/>
        </w:rPr>
      </w:pPr>
      <w:proofErr w:type="spellStart"/>
      <w:r w:rsidRPr="00DC62E8">
        <w:rPr>
          <w:rFonts w:ascii="Times New Roman" w:hAnsi="Times New Roman" w:cs="Times New Roman"/>
          <w:b/>
          <w:bCs/>
          <w:sz w:val="44"/>
          <w:szCs w:val="44"/>
        </w:rPr>
        <w:t>Programme</w:t>
      </w:r>
      <w:proofErr w:type="spellEnd"/>
      <w:r w:rsidRPr="00DC62E8">
        <w:rPr>
          <w:rFonts w:ascii="Times New Roman" w:hAnsi="Times New Roman" w:cs="Times New Roman"/>
          <w:b/>
          <w:bCs/>
          <w:sz w:val="44"/>
          <w:szCs w:val="44"/>
        </w:rPr>
        <w:t>: BA Honours Business Management</w:t>
      </w:r>
    </w:p>
    <w:p w14:paraId="21B33507" w14:textId="77777777" w:rsidR="00804FD4" w:rsidRPr="00DC62E8" w:rsidRDefault="00804FD4" w:rsidP="00804FD4">
      <w:pPr>
        <w:rPr>
          <w:rFonts w:ascii="Times New Roman" w:hAnsi="Times New Roman" w:cs="Times New Roman"/>
          <w:b/>
          <w:bCs/>
          <w:sz w:val="44"/>
          <w:szCs w:val="44"/>
        </w:rPr>
      </w:pPr>
      <w:r w:rsidRPr="00DC62E8">
        <w:rPr>
          <w:rFonts w:ascii="Times New Roman" w:hAnsi="Times New Roman" w:cs="Times New Roman"/>
          <w:b/>
          <w:bCs/>
          <w:sz w:val="44"/>
          <w:szCs w:val="44"/>
        </w:rPr>
        <w:t>Module: Project Management</w:t>
      </w:r>
    </w:p>
    <w:p w14:paraId="730612C6" w14:textId="77777777" w:rsidR="00804FD4" w:rsidRPr="00DC62E8" w:rsidRDefault="00804FD4" w:rsidP="00804FD4">
      <w:pPr>
        <w:rPr>
          <w:rFonts w:ascii="Times New Roman" w:hAnsi="Times New Roman" w:cs="Times New Roman"/>
          <w:b/>
          <w:bCs/>
          <w:sz w:val="44"/>
          <w:szCs w:val="44"/>
        </w:rPr>
      </w:pPr>
      <w:r w:rsidRPr="00DC62E8">
        <w:rPr>
          <w:rFonts w:ascii="Times New Roman" w:hAnsi="Times New Roman" w:cs="Times New Roman"/>
          <w:b/>
          <w:bCs/>
          <w:sz w:val="44"/>
          <w:szCs w:val="44"/>
        </w:rPr>
        <w:t>Module code: LCBB6006</w:t>
      </w:r>
    </w:p>
    <w:p w14:paraId="4B0B2FD6" w14:textId="77777777" w:rsidR="00804FD4" w:rsidRPr="00DC62E8" w:rsidRDefault="00804FD4" w:rsidP="00804FD4">
      <w:pPr>
        <w:rPr>
          <w:rFonts w:ascii="Times New Roman" w:hAnsi="Times New Roman" w:cs="Times New Roman"/>
          <w:b/>
          <w:bCs/>
          <w:sz w:val="44"/>
          <w:szCs w:val="44"/>
        </w:rPr>
      </w:pPr>
      <w:r>
        <w:rPr>
          <w:rFonts w:ascii="Times New Roman" w:hAnsi="Times New Roman" w:cs="Times New Roman"/>
          <w:b/>
          <w:bCs/>
          <w:sz w:val="44"/>
          <w:szCs w:val="44"/>
        </w:rPr>
        <w:t xml:space="preserve">Assignment title: </w:t>
      </w:r>
      <w:r w:rsidRPr="00DC62E8">
        <w:rPr>
          <w:rFonts w:ascii="Times New Roman" w:hAnsi="Times New Roman" w:cs="Times New Roman"/>
          <w:b/>
          <w:bCs/>
          <w:sz w:val="44"/>
          <w:szCs w:val="44"/>
        </w:rPr>
        <w:t>Component 2 coursework essay</w:t>
      </w:r>
    </w:p>
    <w:p w14:paraId="1B9EB2DA" w14:textId="073712F7" w:rsidR="001764C6" w:rsidRDefault="001764C6" w:rsidP="00436D08">
      <w:pPr>
        <w:spacing w:line="360" w:lineRule="auto"/>
        <w:rPr>
          <w:rFonts w:ascii="Arial" w:hAnsi="Arial" w:cs="Arial"/>
          <w:b/>
          <w:bCs/>
          <w:sz w:val="22"/>
          <w:szCs w:val="22"/>
        </w:rPr>
      </w:pPr>
    </w:p>
    <w:p w14:paraId="37736225" w14:textId="77777777" w:rsidR="00804FD4" w:rsidRDefault="00804FD4" w:rsidP="00436D08">
      <w:pPr>
        <w:spacing w:line="360" w:lineRule="auto"/>
        <w:rPr>
          <w:rFonts w:ascii="Arial" w:hAnsi="Arial" w:cs="Arial"/>
          <w:b/>
          <w:bCs/>
          <w:sz w:val="22"/>
          <w:szCs w:val="22"/>
        </w:rPr>
      </w:pPr>
    </w:p>
    <w:p w14:paraId="0096F746" w14:textId="77777777" w:rsidR="00804FD4" w:rsidRDefault="00804FD4" w:rsidP="00436D08">
      <w:pPr>
        <w:spacing w:line="360" w:lineRule="auto"/>
        <w:rPr>
          <w:rFonts w:ascii="Arial" w:hAnsi="Arial" w:cs="Arial"/>
          <w:b/>
          <w:bCs/>
          <w:sz w:val="22"/>
          <w:szCs w:val="22"/>
        </w:rPr>
      </w:pPr>
    </w:p>
    <w:p w14:paraId="194B41B0" w14:textId="77777777" w:rsidR="00804FD4" w:rsidRDefault="00804FD4" w:rsidP="00436D08">
      <w:pPr>
        <w:spacing w:line="360" w:lineRule="auto"/>
        <w:rPr>
          <w:rFonts w:ascii="Arial" w:hAnsi="Arial" w:cs="Arial"/>
          <w:b/>
          <w:bCs/>
          <w:sz w:val="22"/>
          <w:szCs w:val="22"/>
        </w:rPr>
      </w:pPr>
    </w:p>
    <w:p w14:paraId="30D1918F" w14:textId="77777777" w:rsidR="00804FD4" w:rsidRDefault="00804FD4" w:rsidP="00436D08">
      <w:pPr>
        <w:spacing w:line="360" w:lineRule="auto"/>
        <w:rPr>
          <w:rFonts w:ascii="Arial" w:hAnsi="Arial" w:cs="Arial"/>
          <w:b/>
          <w:bCs/>
          <w:sz w:val="22"/>
          <w:szCs w:val="22"/>
        </w:rPr>
      </w:pPr>
    </w:p>
    <w:p w14:paraId="46035A9C" w14:textId="77777777" w:rsidR="00804FD4" w:rsidRDefault="00804FD4" w:rsidP="00436D08">
      <w:pPr>
        <w:spacing w:line="360" w:lineRule="auto"/>
        <w:rPr>
          <w:rFonts w:ascii="Arial" w:hAnsi="Arial" w:cs="Arial"/>
          <w:b/>
          <w:bCs/>
          <w:sz w:val="22"/>
          <w:szCs w:val="22"/>
        </w:rPr>
      </w:pPr>
    </w:p>
    <w:p w14:paraId="712421CF" w14:textId="77777777" w:rsidR="00804FD4" w:rsidRDefault="00804FD4" w:rsidP="00436D08">
      <w:pPr>
        <w:spacing w:line="360" w:lineRule="auto"/>
        <w:rPr>
          <w:rFonts w:ascii="Arial" w:hAnsi="Arial" w:cs="Arial"/>
          <w:b/>
          <w:bCs/>
          <w:sz w:val="22"/>
          <w:szCs w:val="22"/>
        </w:rPr>
      </w:pPr>
    </w:p>
    <w:p w14:paraId="2284C753" w14:textId="77777777" w:rsidR="00804FD4" w:rsidRDefault="00804FD4" w:rsidP="00436D08">
      <w:pPr>
        <w:spacing w:line="360" w:lineRule="auto"/>
        <w:rPr>
          <w:rFonts w:ascii="Arial" w:hAnsi="Arial" w:cs="Arial"/>
          <w:b/>
          <w:bCs/>
          <w:sz w:val="22"/>
          <w:szCs w:val="22"/>
        </w:rPr>
      </w:pPr>
    </w:p>
    <w:p w14:paraId="4A2DB671" w14:textId="77777777" w:rsidR="00804FD4" w:rsidRDefault="00804FD4" w:rsidP="00436D08">
      <w:pPr>
        <w:spacing w:line="360" w:lineRule="auto"/>
        <w:rPr>
          <w:rFonts w:ascii="Arial" w:hAnsi="Arial" w:cs="Arial"/>
          <w:b/>
          <w:bCs/>
          <w:sz w:val="22"/>
          <w:szCs w:val="22"/>
        </w:rPr>
      </w:pPr>
    </w:p>
    <w:p w14:paraId="29821886" w14:textId="77777777" w:rsidR="00804FD4" w:rsidRDefault="00804FD4" w:rsidP="00436D08">
      <w:pPr>
        <w:spacing w:line="360" w:lineRule="auto"/>
        <w:rPr>
          <w:rFonts w:ascii="Arial" w:hAnsi="Arial" w:cs="Arial"/>
          <w:b/>
          <w:bCs/>
          <w:sz w:val="22"/>
          <w:szCs w:val="22"/>
        </w:rPr>
      </w:pPr>
    </w:p>
    <w:p w14:paraId="649B6A3C" w14:textId="77777777" w:rsidR="00804FD4" w:rsidRDefault="00804FD4" w:rsidP="00436D08">
      <w:pPr>
        <w:spacing w:line="360" w:lineRule="auto"/>
        <w:rPr>
          <w:rFonts w:ascii="Arial" w:hAnsi="Arial" w:cs="Arial"/>
          <w:b/>
          <w:bCs/>
          <w:sz w:val="22"/>
          <w:szCs w:val="22"/>
        </w:rPr>
      </w:pPr>
    </w:p>
    <w:p w14:paraId="064E59F4" w14:textId="77777777" w:rsidR="00804FD4" w:rsidRDefault="00804FD4" w:rsidP="00436D08">
      <w:pPr>
        <w:spacing w:line="360" w:lineRule="auto"/>
        <w:rPr>
          <w:rFonts w:ascii="Arial" w:hAnsi="Arial" w:cs="Arial"/>
          <w:b/>
          <w:bCs/>
          <w:sz w:val="22"/>
          <w:szCs w:val="22"/>
        </w:rPr>
      </w:pPr>
    </w:p>
    <w:p w14:paraId="7D7EAE9F" w14:textId="77777777" w:rsidR="00804FD4" w:rsidRDefault="00804FD4" w:rsidP="00436D08">
      <w:pPr>
        <w:spacing w:line="360" w:lineRule="auto"/>
        <w:rPr>
          <w:rFonts w:ascii="Arial" w:hAnsi="Arial" w:cs="Arial"/>
          <w:b/>
          <w:bCs/>
          <w:sz w:val="22"/>
          <w:szCs w:val="22"/>
        </w:rPr>
      </w:pPr>
    </w:p>
    <w:p w14:paraId="4CFCBB11" w14:textId="77777777" w:rsidR="00804FD4" w:rsidRDefault="00804FD4" w:rsidP="00436D08">
      <w:pPr>
        <w:spacing w:line="360" w:lineRule="auto"/>
        <w:rPr>
          <w:rFonts w:ascii="Arial" w:hAnsi="Arial" w:cs="Arial"/>
          <w:b/>
          <w:bCs/>
          <w:sz w:val="22"/>
          <w:szCs w:val="22"/>
        </w:rPr>
      </w:pPr>
    </w:p>
    <w:p w14:paraId="47ABBC17" w14:textId="77777777" w:rsidR="00804FD4" w:rsidRDefault="00804FD4" w:rsidP="00436D08">
      <w:pPr>
        <w:spacing w:line="360" w:lineRule="auto"/>
        <w:rPr>
          <w:rFonts w:ascii="Arial" w:hAnsi="Arial" w:cs="Arial"/>
          <w:b/>
          <w:bCs/>
          <w:sz w:val="22"/>
          <w:szCs w:val="22"/>
        </w:rPr>
      </w:pPr>
    </w:p>
    <w:p w14:paraId="2D01DDD3" w14:textId="77777777" w:rsidR="00804FD4" w:rsidRDefault="00804FD4" w:rsidP="00436D08">
      <w:pPr>
        <w:spacing w:line="360" w:lineRule="auto"/>
        <w:rPr>
          <w:rFonts w:ascii="Arial" w:hAnsi="Arial" w:cs="Arial"/>
          <w:b/>
          <w:bCs/>
          <w:sz w:val="22"/>
          <w:szCs w:val="22"/>
        </w:rPr>
      </w:pPr>
    </w:p>
    <w:p w14:paraId="2967021C" w14:textId="77777777" w:rsidR="00804FD4" w:rsidRDefault="00804FD4" w:rsidP="00436D08">
      <w:pPr>
        <w:spacing w:line="360" w:lineRule="auto"/>
        <w:rPr>
          <w:rFonts w:ascii="Arial" w:hAnsi="Arial" w:cs="Arial"/>
          <w:b/>
          <w:bCs/>
          <w:sz w:val="22"/>
          <w:szCs w:val="22"/>
        </w:rPr>
      </w:pPr>
    </w:p>
    <w:p w14:paraId="00002534" w14:textId="77777777" w:rsidR="00804FD4" w:rsidRDefault="00804FD4" w:rsidP="00436D08">
      <w:pPr>
        <w:spacing w:line="360" w:lineRule="auto"/>
        <w:rPr>
          <w:rFonts w:ascii="Arial" w:hAnsi="Arial" w:cs="Arial"/>
          <w:b/>
          <w:bCs/>
          <w:sz w:val="22"/>
          <w:szCs w:val="22"/>
        </w:rPr>
      </w:pPr>
    </w:p>
    <w:sdt>
      <w:sdtPr>
        <w:rPr>
          <w:rFonts w:ascii="Arial" w:eastAsiaTheme="minorHAnsi" w:hAnsi="Arial" w:cs="Arial"/>
          <w:b/>
          <w:bCs/>
          <w:color w:val="000000" w:themeColor="text1"/>
          <w:kern w:val="2"/>
          <w:sz w:val="24"/>
          <w:szCs w:val="24"/>
          <w14:ligatures w14:val="standardContextual"/>
        </w:rPr>
        <w:id w:val="-1159374318"/>
        <w:docPartObj>
          <w:docPartGallery w:val="Table of Contents"/>
          <w:docPartUnique/>
        </w:docPartObj>
      </w:sdtPr>
      <w:sdtEndPr>
        <w:rPr>
          <w:b w:val="0"/>
          <w:bCs w:val="0"/>
          <w:noProof/>
          <w:color w:val="auto"/>
          <w:sz w:val="22"/>
          <w:szCs w:val="22"/>
        </w:rPr>
      </w:sdtEndPr>
      <w:sdtContent>
        <w:p w14:paraId="7E86B718" w14:textId="1902ED38" w:rsidR="007B215E" w:rsidRDefault="007B215E" w:rsidP="007B215E">
          <w:pPr>
            <w:pStyle w:val="TOCHeading"/>
            <w:jc w:val="center"/>
            <w:rPr>
              <w:rFonts w:ascii="Arial" w:hAnsi="Arial" w:cs="Arial"/>
              <w:b/>
              <w:bCs/>
              <w:color w:val="000000" w:themeColor="text1"/>
            </w:rPr>
          </w:pPr>
          <w:r w:rsidRPr="007B215E">
            <w:rPr>
              <w:rFonts w:ascii="Arial" w:hAnsi="Arial" w:cs="Arial"/>
              <w:b/>
              <w:bCs/>
              <w:color w:val="000000" w:themeColor="text1"/>
            </w:rPr>
            <w:t>TABLE OF CONTENTS</w:t>
          </w:r>
        </w:p>
        <w:p w14:paraId="2DEBAD6C" w14:textId="77777777" w:rsidR="007B215E" w:rsidRPr="007B215E" w:rsidRDefault="007B215E" w:rsidP="007B215E"/>
        <w:p w14:paraId="4B3577A5" w14:textId="7C30514D" w:rsidR="007B215E" w:rsidRPr="007B215E" w:rsidRDefault="007B215E">
          <w:pPr>
            <w:pStyle w:val="TOC1"/>
            <w:tabs>
              <w:tab w:val="right" w:leader="dot" w:pos="9350"/>
            </w:tabs>
            <w:rPr>
              <w:rFonts w:ascii="Arial" w:hAnsi="Arial" w:cs="Arial"/>
              <w:noProof/>
              <w:sz w:val="22"/>
              <w:szCs w:val="22"/>
            </w:rPr>
          </w:pPr>
          <w:r w:rsidRPr="007B215E">
            <w:rPr>
              <w:rFonts w:ascii="Arial" w:hAnsi="Arial" w:cs="Arial"/>
              <w:sz w:val="22"/>
              <w:szCs w:val="22"/>
            </w:rPr>
            <w:fldChar w:fldCharType="begin"/>
          </w:r>
          <w:r w:rsidRPr="007B215E">
            <w:rPr>
              <w:rFonts w:ascii="Arial" w:hAnsi="Arial" w:cs="Arial"/>
              <w:sz w:val="22"/>
              <w:szCs w:val="22"/>
            </w:rPr>
            <w:instrText xml:space="preserve"> TOC \o "1-3" \h \z \u </w:instrText>
          </w:r>
          <w:r w:rsidRPr="007B215E">
            <w:rPr>
              <w:rFonts w:ascii="Arial" w:hAnsi="Arial" w:cs="Arial"/>
              <w:sz w:val="22"/>
              <w:szCs w:val="22"/>
            </w:rPr>
            <w:fldChar w:fldCharType="separate"/>
          </w:r>
          <w:hyperlink w:anchor="_Toc236532331" w:history="1">
            <w:r w:rsidRPr="007B215E">
              <w:rPr>
                <w:rStyle w:val="Hyperlink"/>
                <w:rFonts w:ascii="Arial" w:hAnsi="Arial" w:cs="Arial"/>
                <w:noProof/>
                <w:sz w:val="22"/>
                <w:szCs w:val="22"/>
              </w:rPr>
              <w:t>Introduction</w:t>
            </w:r>
            <w:r w:rsidRPr="007B215E">
              <w:rPr>
                <w:rFonts w:ascii="Arial" w:hAnsi="Arial" w:cs="Arial"/>
                <w:noProof/>
                <w:webHidden/>
                <w:sz w:val="22"/>
                <w:szCs w:val="22"/>
              </w:rPr>
              <w:tab/>
            </w:r>
            <w:r w:rsidRPr="007B215E">
              <w:rPr>
                <w:rFonts w:ascii="Arial" w:hAnsi="Arial" w:cs="Arial"/>
                <w:noProof/>
                <w:webHidden/>
                <w:sz w:val="22"/>
                <w:szCs w:val="22"/>
              </w:rPr>
              <w:fldChar w:fldCharType="begin"/>
            </w:r>
            <w:r w:rsidRPr="007B215E">
              <w:rPr>
                <w:rFonts w:ascii="Arial" w:hAnsi="Arial" w:cs="Arial"/>
                <w:noProof/>
                <w:webHidden/>
                <w:sz w:val="22"/>
                <w:szCs w:val="22"/>
              </w:rPr>
              <w:instrText xml:space="preserve"> PAGEREF _Toc236532331 \h </w:instrText>
            </w:r>
            <w:r w:rsidRPr="007B215E">
              <w:rPr>
                <w:rFonts w:ascii="Arial" w:hAnsi="Arial" w:cs="Arial"/>
                <w:noProof/>
                <w:webHidden/>
                <w:sz w:val="22"/>
                <w:szCs w:val="22"/>
              </w:rPr>
            </w:r>
            <w:r w:rsidRPr="007B215E">
              <w:rPr>
                <w:rFonts w:ascii="Arial" w:hAnsi="Arial" w:cs="Arial"/>
                <w:noProof/>
                <w:webHidden/>
                <w:sz w:val="22"/>
                <w:szCs w:val="22"/>
              </w:rPr>
              <w:fldChar w:fldCharType="separate"/>
            </w:r>
            <w:r w:rsidRPr="007B215E">
              <w:rPr>
                <w:rFonts w:ascii="Arial" w:hAnsi="Arial" w:cs="Arial"/>
                <w:noProof/>
                <w:webHidden/>
                <w:sz w:val="22"/>
                <w:szCs w:val="22"/>
              </w:rPr>
              <w:t>3</w:t>
            </w:r>
            <w:r w:rsidRPr="007B215E">
              <w:rPr>
                <w:rFonts w:ascii="Arial" w:hAnsi="Arial" w:cs="Arial"/>
                <w:noProof/>
                <w:webHidden/>
                <w:sz w:val="22"/>
                <w:szCs w:val="22"/>
              </w:rPr>
              <w:fldChar w:fldCharType="end"/>
            </w:r>
          </w:hyperlink>
        </w:p>
        <w:p w14:paraId="5D3BCB7B" w14:textId="342ACB9D" w:rsidR="007B215E" w:rsidRPr="007B215E" w:rsidRDefault="007B215E">
          <w:pPr>
            <w:pStyle w:val="TOC1"/>
            <w:tabs>
              <w:tab w:val="right" w:leader="dot" w:pos="9350"/>
            </w:tabs>
            <w:rPr>
              <w:rFonts w:ascii="Arial" w:hAnsi="Arial" w:cs="Arial"/>
              <w:noProof/>
              <w:sz w:val="22"/>
              <w:szCs w:val="22"/>
            </w:rPr>
          </w:pPr>
          <w:hyperlink w:anchor="_Toc236532332" w:history="1">
            <w:r w:rsidRPr="007B215E">
              <w:rPr>
                <w:rStyle w:val="Hyperlink"/>
                <w:rFonts w:ascii="Arial" w:hAnsi="Arial" w:cs="Arial"/>
                <w:noProof/>
                <w:sz w:val="22"/>
                <w:szCs w:val="22"/>
              </w:rPr>
              <w:t>Turnkey Contracting</w:t>
            </w:r>
            <w:r w:rsidRPr="007B215E">
              <w:rPr>
                <w:rFonts w:ascii="Arial" w:hAnsi="Arial" w:cs="Arial"/>
                <w:noProof/>
                <w:webHidden/>
                <w:sz w:val="22"/>
                <w:szCs w:val="22"/>
              </w:rPr>
              <w:tab/>
            </w:r>
            <w:r w:rsidRPr="007B215E">
              <w:rPr>
                <w:rFonts w:ascii="Arial" w:hAnsi="Arial" w:cs="Arial"/>
                <w:noProof/>
                <w:webHidden/>
                <w:sz w:val="22"/>
                <w:szCs w:val="22"/>
              </w:rPr>
              <w:fldChar w:fldCharType="begin"/>
            </w:r>
            <w:r w:rsidRPr="007B215E">
              <w:rPr>
                <w:rFonts w:ascii="Arial" w:hAnsi="Arial" w:cs="Arial"/>
                <w:noProof/>
                <w:webHidden/>
                <w:sz w:val="22"/>
                <w:szCs w:val="22"/>
              </w:rPr>
              <w:instrText xml:space="preserve"> PAGEREF _Toc236532332 \h </w:instrText>
            </w:r>
            <w:r w:rsidRPr="007B215E">
              <w:rPr>
                <w:rFonts w:ascii="Arial" w:hAnsi="Arial" w:cs="Arial"/>
                <w:noProof/>
                <w:webHidden/>
                <w:sz w:val="22"/>
                <w:szCs w:val="22"/>
              </w:rPr>
            </w:r>
            <w:r w:rsidRPr="007B215E">
              <w:rPr>
                <w:rFonts w:ascii="Arial" w:hAnsi="Arial" w:cs="Arial"/>
                <w:noProof/>
                <w:webHidden/>
                <w:sz w:val="22"/>
                <w:szCs w:val="22"/>
              </w:rPr>
              <w:fldChar w:fldCharType="separate"/>
            </w:r>
            <w:r w:rsidRPr="007B215E">
              <w:rPr>
                <w:rFonts w:ascii="Arial" w:hAnsi="Arial" w:cs="Arial"/>
                <w:noProof/>
                <w:webHidden/>
                <w:sz w:val="22"/>
                <w:szCs w:val="22"/>
              </w:rPr>
              <w:t>3</w:t>
            </w:r>
            <w:r w:rsidRPr="007B215E">
              <w:rPr>
                <w:rFonts w:ascii="Arial" w:hAnsi="Arial" w:cs="Arial"/>
                <w:noProof/>
                <w:webHidden/>
                <w:sz w:val="22"/>
                <w:szCs w:val="22"/>
              </w:rPr>
              <w:fldChar w:fldCharType="end"/>
            </w:r>
          </w:hyperlink>
        </w:p>
        <w:p w14:paraId="59FA2604" w14:textId="5DD0608F" w:rsidR="007B215E" w:rsidRPr="007B215E" w:rsidRDefault="007B215E">
          <w:pPr>
            <w:pStyle w:val="TOC1"/>
            <w:tabs>
              <w:tab w:val="right" w:leader="dot" w:pos="9350"/>
            </w:tabs>
            <w:rPr>
              <w:rFonts w:ascii="Arial" w:hAnsi="Arial" w:cs="Arial"/>
              <w:noProof/>
              <w:sz w:val="22"/>
              <w:szCs w:val="22"/>
            </w:rPr>
          </w:pPr>
          <w:hyperlink w:anchor="_Toc236532333" w:history="1">
            <w:r w:rsidRPr="007B215E">
              <w:rPr>
                <w:rStyle w:val="Hyperlink"/>
                <w:rFonts w:ascii="Arial" w:hAnsi="Arial" w:cs="Arial"/>
                <w:noProof/>
                <w:sz w:val="22"/>
                <w:szCs w:val="22"/>
              </w:rPr>
              <w:t>Multicontract Approach</w:t>
            </w:r>
            <w:r w:rsidRPr="007B215E">
              <w:rPr>
                <w:rFonts w:ascii="Arial" w:hAnsi="Arial" w:cs="Arial"/>
                <w:noProof/>
                <w:webHidden/>
                <w:sz w:val="22"/>
                <w:szCs w:val="22"/>
              </w:rPr>
              <w:tab/>
            </w:r>
            <w:r w:rsidRPr="007B215E">
              <w:rPr>
                <w:rFonts w:ascii="Arial" w:hAnsi="Arial" w:cs="Arial"/>
                <w:noProof/>
                <w:webHidden/>
                <w:sz w:val="22"/>
                <w:szCs w:val="22"/>
              </w:rPr>
              <w:fldChar w:fldCharType="begin"/>
            </w:r>
            <w:r w:rsidRPr="007B215E">
              <w:rPr>
                <w:rFonts w:ascii="Arial" w:hAnsi="Arial" w:cs="Arial"/>
                <w:noProof/>
                <w:webHidden/>
                <w:sz w:val="22"/>
                <w:szCs w:val="22"/>
              </w:rPr>
              <w:instrText xml:space="preserve"> PAGEREF _Toc236532333 \h </w:instrText>
            </w:r>
            <w:r w:rsidRPr="007B215E">
              <w:rPr>
                <w:rFonts w:ascii="Arial" w:hAnsi="Arial" w:cs="Arial"/>
                <w:noProof/>
                <w:webHidden/>
                <w:sz w:val="22"/>
                <w:szCs w:val="22"/>
              </w:rPr>
            </w:r>
            <w:r w:rsidRPr="007B215E">
              <w:rPr>
                <w:rFonts w:ascii="Arial" w:hAnsi="Arial" w:cs="Arial"/>
                <w:noProof/>
                <w:webHidden/>
                <w:sz w:val="22"/>
                <w:szCs w:val="22"/>
              </w:rPr>
              <w:fldChar w:fldCharType="separate"/>
            </w:r>
            <w:r w:rsidRPr="007B215E">
              <w:rPr>
                <w:rFonts w:ascii="Arial" w:hAnsi="Arial" w:cs="Arial"/>
                <w:noProof/>
                <w:webHidden/>
                <w:sz w:val="22"/>
                <w:szCs w:val="22"/>
              </w:rPr>
              <w:t>4</w:t>
            </w:r>
            <w:r w:rsidRPr="007B215E">
              <w:rPr>
                <w:rFonts w:ascii="Arial" w:hAnsi="Arial" w:cs="Arial"/>
                <w:noProof/>
                <w:webHidden/>
                <w:sz w:val="22"/>
                <w:szCs w:val="22"/>
              </w:rPr>
              <w:fldChar w:fldCharType="end"/>
            </w:r>
          </w:hyperlink>
        </w:p>
        <w:p w14:paraId="6C915CB7" w14:textId="2CB2A169" w:rsidR="007B215E" w:rsidRPr="007B215E" w:rsidRDefault="007B215E">
          <w:pPr>
            <w:pStyle w:val="TOC1"/>
            <w:tabs>
              <w:tab w:val="right" w:leader="dot" w:pos="9350"/>
            </w:tabs>
            <w:rPr>
              <w:rFonts w:ascii="Arial" w:hAnsi="Arial" w:cs="Arial"/>
              <w:noProof/>
              <w:sz w:val="22"/>
              <w:szCs w:val="22"/>
            </w:rPr>
          </w:pPr>
          <w:hyperlink w:anchor="_Toc236532334" w:history="1">
            <w:r w:rsidRPr="007B215E">
              <w:rPr>
                <w:rStyle w:val="Hyperlink"/>
                <w:rFonts w:ascii="Arial" w:hAnsi="Arial" w:cs="Arial"/>
                <w:noProof/>
                <w:sz w:val="22"/>
                <w:szCs w:val="22"/>
              </w:rPr>
              <w:t>Do-It-Yourself (DIY) Approach</w:t>
            </w:r>
            <w:r w:rsidRPr="007B215E">
              <w:rPr>
                <w:rFonts w:ascii="Arial" w:hAnsi="Arial" w:cs="Arial"/>
                <w:noProof/>
                <w:webHidden/>
                <w:sz w:val="22"/>
                <w:szCs w:val="22"/>
              </w:rPr>
              <w:tab/>
            </w:r>
            <w:r w:rsidRPr="007B215E">
              <w:rPr>
                <w:rFonts w:ascii="Arial" w:hAnsi="Arial" w:cs="Arial"/>
                <w:noProof/>
                <w:webHidden/>
                <w:sz w:val="22"/>
                <w:szCs w:val="22"/>
              </w:rPr>
              <w:fldChar w:fldCharType="begin"/>
            </w:r>
            <w:r w:rsidRPr="007B215E">
              <w:rPr>
                <w:rFonts w:ascii="Arial" w:hAnsi="Arial" w:cs="Arial"/>
                <w:noProof/>
                <w:webHidden/>
                <w:sz w:val="22"/>
                <w:szCs w:val="22"/>
              </w:rPr>
              <w:instrText xml:space="preserve"> PAGEREF _Toc236532334 \h </w:instrText>
            </w:r>
            <w:r w:rsidRPr="007B215E">
              <w:rPr>
                <w:rFonts w:ascii="Arial" w:hAnsi="Arial" w:cs="Arial"/>
                <w:noProof/>
                <w:webHidden/>
                <w:sz w:val="22"/>
                <w:szCs w:val="22"/>
              </w:rPr>
            </w:r>
            <w:r w:rsidRPr="007B215E">
              <w:rPr>
                <w:rFonts w:ascii="Arial" w:hAnsi="Arial" w:cs="Arial"/>
                <w:noProof/>
                <w:webHidden/>
                <w:sz w:val="22"/>
                <w:szCs w:val="22"/>
              </w:rPr>
              <w:fldChar w:fldCharType="separate"/>
            </w:r>
            <w:r w:rsidRPr="007B215E">
              <w:rPr>
                <w:rFonts w:ascii="Arial" w:hAnsi="Arial" w:cs="Arial"/>
                <w:noProof/>
                <w:webHidden/>
                <w:sz w:val="22"/>
                <w:szCs w:val="22"/>
              </w:rPr>
              <w:t>5</w:t>
            </w:r>
            <w:r w:rsidRPr="007B215E">
              <w:rPr>
                <w:rFonts w:ascii="Arial" w:hAnsi="Arial" w:cs="Arial"/>
                <w:noProof/>
                <w:webHidden/>
                <w:sz w:val="22"/>
                <w:szCs w:val="22"/>
              </w:rPr>
              <w:fldChar w:fldCharType="end"/>
            </w:r>
          </w:hyperlink>
        </w:p>
        <w:p w14:paraId="1F9EBC96" w14:textId="47A8638F" w:rsidR="007B215E" w:rsidRPr="007B215E" w:rsidRDefault="007B215E">
          <w:pPr>
            <w:pStyle w:val="TOC1"/>
            <w:tabs>
              <w:tab w:val="right" w:leader="dot" w:pos="9350"/>
            </w:tabs>
            <w:rPr>
              <w:rFonts w:ascii="Arial" w:hAnsi="Arial" w:cs="Arial"/>
              <w:noProof/>
              <w:sz w:val="22"/>
              <w:szCs w:val="22"/>
            </w:rPr>
          </w:pPr>
          <w:hyperlink w:anchor="_Toc236532335" w:history="1">
            <w:r w:rsidRPr="007B215E">
              <w:rPr>
                <w:rStyle w:val="Hyperlink"/>
                <w:rFonts w:ascii="Arial" w:hAnsi="Arial" w:cs="Arial"/>
                <w:noProof/>
                <w:sz w:val="22"/>
                <w:szCs w:val="22"/>
              </w:rPr>
              <w:t>Multicontract + DIY Approach</w:t>
            </w:r>
            <w:r w:rsidRPr="007B215E">
              <w:rPr>
                <w:rFonts w:ascii="Arial" w:hAnsi="Arial" w:cs="Arial"/>
                <w:noProof/>
                <w:webHidden/>
                <w:sz w:val="22"/>
                <w:szCs w:val="22"/>
              </w:rPr>
              <w:tab/>
            </w:r>
            <w:r w:rsidRPr="007B215E">
              <w:rPr>
                <w:rFonts w:ascii="Arial" w:hAnsi="Arial" w:cs="Arial"/>
                <w:noProof/>
                <w:webHidden/>
                <w:sz w:val="22"/>
                <w:szCs w:val="22"/>
              </w:rPr>
              <w:fldChar w:fldCharType="begin"/>
            </w:r>
            <w:r w:rsidRPr="007B215E">
              <w:rPr>
                <w:rFonts w:ascii="Arial" w:hAnsi="Arial" w:cs="Arial"/>
                <w:noProof/>
                <w:webHidden/>
                <w:sz w:val="22"/>
                <w:szCs w:val="22"/>
              </w:rPr>
              <w:instrText xml:space="preserve"> PAGEREF _Toc236532335 \h </w:instrText>
            </w:r>
            <w:r w:rsidRPr="007B215E">
              <w:rPr>
                <w:rFonts w:ascii="Arial" w:hAnsi="Arial" w:cs="Arial"/>
                <w:noProof/>
                <w:webHidden/>
                <w:sz w:val="22"/>
                <w:szCs w:val="22"/>
              </w:rPr>
            </w:r>
            <w:r w:rsidRPr="007B215E">
              <w:rPr>
                <w:rFonts w:ascii="Arial" w:hAnsi="Arial" w:cs="Arial"/>
                <w:noProof/>
                <w:webHidden/>
                <w:sz w:val="22"/>
                <w:szCs w:val="22"/>
              </w:rPr>
              <w:fldChar w:fldCharType="separate"/>
            </w:r>
            <w:r w:rsidRPr="007B215E">
              <w:rPr>
                <w:rFonts w:ascii="Arial" w:hAnsi="Arial" w:cs="Arial"/>
                <w:noProof/>
                <w:webHidden/>
                <w:sz w:val="22"/>
                <w:szCs w:val="22"/>
              </w:rPr>
              <w:t>6</w:t>
            </w:r>
            <w:r w:rsidRPr="007B215E">
              <w:rPr>
                <w:rFonts w:ascii="Arial" w:hAnsi="Arial" w:cs="Arial"/>
                <w:noProof/>
                <w:webHidden/>
                <w:sz w:val="22"/>
                <w:szCs w:val="22"/>
              </w:rPr>
              <w:fldChar w:fldCharType="end"/>
            </w:r>
          </w:hyperlink>
        </w:p>
        <w:p w14:paraId="27B593BF" w14:textId="7F75718B" w:rsidR="007B215E" w:rsidRPr="007B215E" w:rsidRDefault="007B215E">
          <w:pPr>
            <w:pStyle w:val="TOC1"/>
            <w:tabs>
              <w:tab w:val="right" w:leader="dot" w:pos="9350"/>
            </w:tabs>
            <w:rPr>
              <w:rFonts w:ascii="Arial" w:hAnsi="Arial" w:cs="Arial"/>
              <w:noProof/>
              <w:sz w:val="22"/>
              <w:szCs w:val="22"/>
            </w:rPr>
          </w:pPr>
          <w:hyperlink w:anchor="_Toc236532336" w:history="1">
            <w:r w:rsidRPr="007B215E">
              <w:rPr>
                <w:rStyle w:val="Hyperlink"/>
                <w:rFonts w:ascii="Arial" w:hAnsi="Arial" w:cs="Arial"/>
                <w:noProof/>
                <w:sz w:val="22"/>
                <w:szCs w:val="22"/>
              </w:rPr>
              <w:t>Conclusion</w:t>
            </w:r>
            <w:r w:rsidRPr="007B215E">
              <w:rPr>
                <w:rFonts w:ascii="Arial" w:hAnsi="Arial" w:cs="Arial"/>
                <w:noProof/>
                <w:webHidden/>
                <w:sz w:val="22"/>
                <w:szCs w:val="22"/>
              </w:rPr>
              <w:tab/>
            </w:r>
            <w:r w:rsidRPr="007B215E">
              <w:rPr>
                <w:rFonts w:ascii="Arial" w:hAnsi="Arial" w:cs="Arial"/>
                <w:noProof/>
                <w:webHidden/>
                <w:sz w:val="22"/>
                <w:szCs w:val="22"/>
              </w:rPr>
              <w:fldChar w:fldCharType="begin"/>
            </w:r>
            <w:r w:rsidRPr="007B215E">
              <w:rPr>
                <w:rFonts w:ascii="Arial" w:hAnsi="Arial" w:cs="Arial"/>
                <w:noProof/>
                <w:webHidden/>
                <w:sz w:val="22"/>
                <w:szCs w:val="22"/>
              </w:rPr>
              <w:instrText xml:space="preserve"> PAGEREF _Toc236532336 \h </w:instrText>
            </w:r>
            <w:r w:rsidRPr="007B215E">
              <w:rPr>
                <w:rFonts w:ascii="Arial" w:hAnsi="Arial" w:cs="Arial"/>
                <w:noProof/>
                <w:webHidden/>
                <w:sz w:val="22"/>
                <w:szCs w:val="22"/>
              </w:rPr>
            </w:r>
            <w:r w:rsidRPr="007B215E">
              <w:rPr>
                <w:rFonts w:ascii="Arial" w:hAnsi="Arial" w:cs="Arial"/>
                <w:noProof/>
                <w:webHidden/>
                <w:sz w:val="22"/>
                <w:szCs w:val="22"/>
              </w:rPr>
              <w:fldChar w:fldCharType="separate"/>
            </w:r>
            <w:r w:rsidRPr="007B215E">
              <w:rPr>
                <w:rFonts w:ascii="Arial" w:hAnsi="Arial" w:cs="Arial"/>
                <w:noProof/>
                <w:webHidden/>
                <w:sz w:val="22"/>
                <w:szCs w:val="22"/>
              </w:rPr>
              <w:t>7</w:t>
            </w:r>
            <w:r w:rsidRPr="007B215E">
              <w:rPr>
                <w:rFonts w:ascii="Arial" w:hAnsi="Arial" w:cs="Arial"/>
                <w:noProof/>
                <w:webHidden/>
                <w:sz w:val="22"/>
                <w:szCs w:val="22"/>
              </w:rPr>
              <w:fldChar w:fldCharType="end"/>
            </w:r>
          </w:hyperlink>
        </w:p>
        <w:p w14:paraId="112B11E7" w14:textId="5791CBBE" w:rsidR="007B215E" w:rsidRDefault="007B215E">
          <w:r w:rsidRPr="007B215E">
            <w:rPr>
              <w:rFonts w:ascii="Arial" w:hAnsi="Arial" w:cs="Arial"/>
              <w:noProof/>
              <w:sz w:val="22"/>
              <w:szCs w:val="22"/>
            </w:rPr>
            <w:fldChar w:fldCharType="end"/>
          </w:r>
        </w:p>
      </w:sdtContent>
    </w:sdt>
    <w:p w14:paraId="26522172" w14:textId="77777777" w:rsidR="007B215E" w:rsidRDefault="007B215E">
      <w:pPr>
        <w:rPr>
          <w:rFonts w:ascii="Arial" w:eastAsiaTheme="majorEastAsia" w:hAnsi="Arial" w:cs="Arial"/>
          <w:b/>
          <w:bCs/>
          <w:color w:val="000000" w:themeColor="text1"/>
        </w:rPr>
      </w:pPr>
      <w:r>
        <w:rPr>
          <w:rFonts w:ascii="Arial" w:hAnsi="Arial" w:cs="Arial"/>
          <w:b/>
          <w:bCs/>
          <w:color w:val="000000" w:themeColor="text1"/>
        </w:rPr>
        <w:br w:type="page"/>
      </w:r>
    </w:p>
    <w:p w14:paraId="6B8BBB37" w14:textId="53BD7584" w:rsidR="002338E6" w:rsidRPr="00436D08" w:rsidRDefault="002338E6" w:rsidP="00436D08">
      <w:pPr>
        <w:pStyle w:val="Heading1"/>
        <w:spacing w:line="360" w:lineRule="auto"/>
        <w:rPr>
          <w:rFonts w:ascii="Arial" w:hAnsi="Arial" w:cs="Arial"/>
          <w:b/>
          <w:bCs/>
          <w:color w:val="000000" w:themeColor="text1"/>
          <w:sz w:val="24"/>
          <w:szCs w:val="24"/>
        </w:rPr>
      </w:pPr>
      <w:bookmarkStart w:id="0" w:name="_Toc236532331"/>
      <w:r w:rsidRPr="00436D08">
        <w:rPr>
          <w:rFonts w:ascii="Arial" w:hAnsi="Arial" w:cs="Arial"/>
          <w:b/>
          <w:bCs/>
          <w:color w:val="000000" w:themeColor="text1"/>
          <w:sz w:val="24"/>
          <w:szCs w:val="24"/>
        </w:rPr>
        <w:lastRenderedPageBreak/>
        <w:t>Introduction</w:t>
      </w:r>
      <w:bookmarkEnd w:id="0"/>
    </w:p>
    <w:p w14:paraId="51FDF9A4" w14:textId="77777777"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Project management (PM) is the discipline of managing projects to achieve specific goals and objectives within a defined timeframe, budget, and scope of work while adhering to the agreed-upon constraints of time, cost, and quality (Project Management Institute, 2021). Contracting is one of the key aspects of PM that is often overlooked, but it is a central aspect of PM practice by which a project owner acquires the goods, services, and expertise of an external party to complete a project (Turner, 2003). Except </w:t>
      </w:r>
      <w:proofErr w:type="gramStart"/>
      <w:r w:rsidRPr="007C6D8F">
        <w:rPr>
          <w:rFonts w:ascii="Arial" w:hAnsi="Arial" w:cs="Arial"/>
          <w:sz w:val="22"/>
          <w:szCs w:val="22"/>
        </w:rPr>
        <w:t>in</w:t>
      </w:r>
      <w:proofErr w:type="gramEnd"/>
      <w:r w:rsidRPr="007C6D8F">
        <w:rPr>
          <w:rFonts w:ascii="Arial" w:hAnsi="Arial" w:cs="Arial"/>
          <w:sz w:val="22"/>
          <w:szCs w:val="22"/>
        </w:rPr>
        <w:t xml:space="preserve"> the smallest projects, sponsors can't perform </w:t>
      </w:r>
      <w:proofErr w:type="gramStart"/>
      <w:r w:rsidRPr="007C6D8F">
        <w:rPr>
          <w:rFonts w:ascii="Arial" w:hAnsi="Arial" w:cs="Arial"/>
          <w:sz w:val="22"/>
          <w:szCs w:val="22"/>
        </w:rPr>
        <w:t>all of</w:t>
      </w:r>
      <w:proofErr w:type="gramEnd"/>
      <w:r w:rsidRPr="007C6D8F">
        <w:rPr>
          <w:rFonts w:ascii="Arial" w:hAnsi="Arial" w:cs="Arial"/>
          <w:sz w:val="22"/>
          <w:szCs w:val="22"/>
        </w:rPr>
        <w:t xml:space="preserve"> the functions themselves and must decide how contractual responsibilities for design, procurement and execution are to be shared between parties (Turner and Simister, 2001). This decision, also known as “contract strategy”, can have a major impact on the risk allocation, cost certainty, schedule control, and the quality of the final product (Merrow, 2022).</w:t>
      </w:r>
    </w:p>
    <w:p w14:paraId="175ED89B" w14:textId="0DC00073"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The PM literature typically identifies four types of contracting: Turnkey, Multicontract, Do-It-Yourself (DIY) and a combination of Multicontract and DIY (Turner, 2014). In each method, the managerial and financial risks are allocated differently between the client and the contracting parties, and each method is more or less appropriate to specific project situations, depending on, for example, the complexity of the project, the client's in-house capability and the level of design certainty that can be achieved at the start of the job. (Morris and Hough, 1987). This essay describes each of the four contracting methods, critically assesses their pros and cons, and, using a renewable energy infrastructure project, specifically a utility-scale solar photovoltaic (PV) installation, as a running example, contextualises this discussion. Utility-scale solar PV projects are a good example of situations where contracting choices interact with technical uncertainty, multiple specialist inputs and time-critical delivery (Eriksson, 2008; Winch, </w:t>
      </w:r>
      <w:r w:rsidR="00CE4B29">
        <w:rPr>
          <w:rFonts w:ascii="Arial" w:hAnsi="Arial" w:cs="Arial"/>
          <w:sz w:val="22"/>
          <w:szCs w:val="22"/>
        </w:rPr>
        <w:t>2012</w:t>
      </w:r>
      <w:r w:rsidRPr="007C6D8F">
        <w:rPr>
          <w:rFonts w:ascii="Arial" w:hAnsi="Arial" w:cs="Arial"/>
          <w:sz w:val="22"/>
          <w:szCs w:val="22"/>
        </w:rPr>
        <w:t>).</w:t>
      </w:r>
    </w:p>
    <w:p w14:paraId="2CA8657C" w14:textId="13D67B26" w:rsidR="007C6D8F" w:rsidRPr="00436D08" w:rsidRDefault="007C6D8F" w:rsidP="00436D08">
      <w:pPr>
        <w:pStyle w:val="Heading1"/>
        <w:spacing w:line="360" w:lineRule="auto"/>
        <w:rPr>
          <w:rFonts w:ascii="Arial" w:hAnsi="Arial" w:cs="Arial"/>
          <w:b/>
          <w:bCs/>
          <w:color w:val="000000" w:themeColor="text1"/>
          <w:sz w:val="24"/>
          <w:szCs w:val="24"/>
        </w:rPr>
      </w:pPr>
      <w:bookmarkStart w:id="1" w:name="_Toc236532332"/>
      <w:r w:rsidRPr="00436D08">
        <w:rPr>
          <w:rFonts w:ascii="Arial" w:hAnsi="Arial" w:cs="Arial"/>
          <w:b/>
          <w:bCs/>
          <w:color w:val="000000" w:themeColor="text1"/>
          <w:sz w:val="24"/>
          <w:szCs w:val="24"/>
        </w:rPr>
        <w:t>Turnkey Contracting</w:t>
      </w:r>
      <w:bookmarkEnd w:id="1"/>
    </w:p>
    <w:p w14:paraId="534A2235" w14:textId="26967070"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Turnkey contracts are a type of contract that requires a single contractor to be responsible for the design, procurement, construction and commissioning of a facility, so that the client is literally only expected to "turn the key" (Turner, 2003). This method is closely related to the Engineering, Procurement, and Construction (EPC) contracts where one organisation coordinates all the phases and interfaces on the client's behalf (Rowlinson and McDermott, </w:t>
      </w:r>
      <w:r w:rsidR="00BD5143">
        <w:rPr>
          <w:rFonts w:ascii="Arial" w:hAnsi="Arial" w:cs="Arial"/>
          <w:sz w:val="22"/>
          <w:szCs w:val="22"/>
        </w:rPr>
        <w:t>2005</w:t>
      </w:r>
      <w:r w:rsidRPr="007C6D8F">
        <w:rPr>
          <w:rFonts w:ascii="Arial" w:hAnsi="Arial" w:cs="Arial"/>
          <w:sz w:val="22"/>
          <w:szCs w:val="22"/>
        </w:rPr>
        <w:t>).</w:t>
      </w:r>
    </w:p>
    <w:p w14:paraId="5E0F3520" w14:textId="7560BD8E"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The major benefit of the turnkey approach is that the client only has one point of responsibility as opposed to a multitude of specialist companies (Masterman</w:t>
      </w:r>
      <w:r w:rsidR="00BD5143">
        <w:rPr>
          <w:rFonts w:ascii="Arial" w:hAnsi="Arial" w:cs="Arial"/>
          <w:sz w:val="22"/>
          <w:szCs w:val="22"/>
        </w:rPr>
        <w:t xml:space="preserve"> and </w:t>
      </w:r>
      <w:r w:rsidR="00BD5143" w:rsidRPr="00BD5143">
        <w:rPr>
          <w:rFonts w:ascii="Arial" w:hAnsi="Arial" w:cs="Arial"/>
          <w:sz w:val="22"/>
          <w:szCs w:val="22"/>
        </w:rPr>
        <w:t>Masterman</w:t>
      </w:r>
      <w:r w:rsidRPr="007C6D8F">
        <w:rPr>
          <w:rFonts w:ascii="Arial" w:hAnsi="Arial" w:cs="Arial"/>
          <w:sz w:val="22"/>
          <w:szCs w:val="22"/>
        </w:rPr>
        <w:t>, 200</w:t>
      </w:r>
      <w:r w:rsidR="00BD5143">
        <w:rPr>
          <w:rFonts w:ascii="Arial" w:hAnsi="Arial" w:cs="Arial"/>
          <w:sz w:val="22"/>
          <w:szCs w:val="22"/>
        </w:rPr>
        <w:t>3</w:t>
      </w:r>
      <w:r w:rsidRPr="007C6D8F">
        <w:rPr>
          <w:rFonts w:ascii="Arial" w:hAnsi="Arial" w:cs="Arial"/>
          <w:sz w:val="22"/>
          <w:szCs w:val="22"/>
        </w:rPr>
        <w:t xml:space="preserve">). This approach also often moves most of the technical and schedule risk to the contractor, as the contractor will be contractually responsible for providing a specific deliverable for a set fee </w:t>
      </w:r>
      <w:r w:rsidRPr="007C6D8F">
        <w:rPr>
          <w:rFonts w:ascii="Arial" w:hAnsi="Arial" w:cs="Arial"/>
          <w:sz w:val="22"/>
          <w:szCs w:val="22"/>
        </w:rPr>
        <w:lastRenderedPageBreak/>
        <w:t>(Merrow, 2022). This helps to ensure cost certainty, especially if the client has limited in-house project management resources or if the project is capital intensive and cost overruns have serious repercussions (Turner and Simister, 2001). A turnkey EPC contract enables a utility client with no solar PV engineering capability to commission a solar PV plant without having to deal with solar PV panel suppliers, civil works contractors and grid-connections specialists individually (Winch, 201</w:t>
      </w:r>
      <w:r w:rsidR="00CE4B29">
        <w:rPr>
          <w:rFonts w:ascii="Arial" w:hAnsi="Arial" w:cs="Arial"/>
          <w:sz w:val="22"/>
          <w:szCs w:val="22"/>
        </w:rPr>
        <w:t>2</w:t>
      </w:r>
      <w:r w:rsidRPr="007C6D8F">
        <w:rPr>
          <w:rFonts w:ascii="Arial" w:hAnsi="Arial" w:cs="Arial"/>
          <w:sz w:val="22"/>
          <w:szCs w:val="22"/>
        </w:rPr>
        <w:t>).</w:t>
      </w:r>
    </w:p>
    <w:p w14:paraId="0875FFB8" w14:textId="77777777"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But there are drawbacks to the turnkey option. The client has less control over the details of the design after entering into a contract, and changes in scope are likely to be expensive and disruptive (Turner, 2014). The client is also highly reliant on the competency, integrity and financial stability of the selected contractor; if the contractor is not good, it can cause the project to be in danger as there is no other party doing the quality assurance work independently (Merrow, 2022). In addition, as contractors will price in a risk premium to reflect the risks that they are absorbing, turnkey contracts can be more costly overall than those that allow the client to absorb more of the risk (Turner and Simister, 2001). In the case of technically new or fast-changing projects, for example a solar field with state-of-the-art storage integration, a fixed price/fixed scope turnkey contract might be a bad fit, because the design of the project is likely to change as it is being built (Morris and Hough, 1987).</w:t>
      </w:r>
    </w:p>
    <w:p w14:paraId="31DFE952" w14:textId="263F2285" w:rsidR="007C6D8F" w:rsidRPr="00436D08" w:rsidRDefault="007C6D8F" w:rsidP="00436D08">
      <w:pPr>
        <w:pStyle w:val="Heading1"/>
        <w:spacing w:line="360" w:lineRule="auto"/>
        <w:rPr>
          <w:rFonts w:ascii="Arial" w:hAnsi="Arial" w:cs="Arial"/>
          <w:b/>
          <w:bCs/>
          <w:color w:val="000000" w:themeColor="text1"/>
          <w:sz w:val="24"/>
          <w:szCs w:val="24"/>
        </w:rPr>
      </w:pPr>
      <w:bookmarkStart w:id="2" w:name="_Toc236532333"/>
      <w:r w:rsidRPr="00436D08">
        <w:rPr>
          <w:rFonts w:ascii="Arial" w:hAnsi="Arial" w:cs="Arial"/>
          <w:b/>
          <w:bCs/>
          <w:color w:val="000000" w:themeColor="text1"/>
          <w:sz w:val="24"/>
          <w:szCs w:val="24"/>
        </w:rPr>
        <w:t>Multicontract Approach</w:t>
      </w:r>
      <w:bookmarkEnd w:id="2"/>
    </w:p>
    <w:p w14:paraId="7606C075" w14:textId="77777777"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The multiple-contract strategy, also known as the multicontract method, consists of several individual contracts with various specialist </w:t>
      </w:r>
      <w:proofErr w:type="gramStart"/>
      <w:r w:rsidRPr="007C6D8F">
        <w:rPr>
          <w:rFonts w:ascii="Arial" w:hAnsi="Arial" w:cs="Arial"/>
          <w:sz w:val="22"/>
          <w:szCs w:val="22"/>
        </w:rPr>
        <w:t>organisations</w:t>
      </w:r>
      <w:proofErr w:type="gramEnd"/>
      <w:r w:rsidRPr="007C6D8F">
        <w:rPr>
          <w:rFonts w:ascii="Arial" w:hAnsi="Arial" w:cs="Arial"/>
          <w:sz w:val="22"/>
          <w:szCs w:val="22"/>
        </w:rPr>
        <w:t xml:space="preserve"> each of which covers a specific package of work, but with the client or an appointed project manager coordinating the overall project (Turner, 2003). In the "Client's Project Management Team" model, the client's project management team takes over the role of the integrator as in the turnkey model, but here the responsibility is distributed among the various designers, suppliers and constructors (Chen and Frame, 2006).</w:t>
      </w:r>
    </w:p>
    <w:p w14:paraId="7C124841" w14:textId="2BFAB1AA"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One of the benefits of the multicontract approach is that the client can choose the lowest cost or best specialist for each contract, as opposed to the main contractor's chosen subcontractors and the mark-up they charge (Rowlinson and McDermott, </w:t>
      </w:r>
      <w:r w:rsidR="00BD5143">
        <w:rPr>
          <w:rFonts w:ascii="Arial" w:hAnsi="Arial" w:cs="Arial"/>
          <w:sz w:val="22"/>
          <w:szCs w:val="22"/>
        </w:rPr>
        <w:t>2005</w:t>
      </w:r>
      <w:r w:rsidRPr="007C6D8F">
        <w:rPr>
          <w:rFonts w:ascii="Arial" w:hAnsi="Arial" w:cs="Arial"/>
          <w:sz w:val="22"/>
          <w:szCs w:val="22"/>
        </w:rPr>
        <w:t xml:space="preserve">). This can lead to real cost savings as competitive tendering takes place on a package-by-package basis and not as a single package cost (Winch, </w:t>
      </w:r>
      <w:r w:rsidR="00CE4B29">
        <w:rPr>
          <w:rFonts w:ascii="Arial" w:hAnsi="Arial" w:cs="Arial"/>
          <w:sz w:val="22"/>
          <w:szCs w:val="22"/>
        </w:rPr>
        <w:t>2012</w:t>
      </w:r>
      <w:r w:rsidRPr="007C6D8F">
        <w:rPr>
          <w:rFonts w:ascii="Arial" w:hAnsi="Arial" w:cs="Arial"/>
          <w:sz w:val="22"/>
          <w:szCs w:val="22"/>
        </w:rPr>
        <w:t xml:space="preserve">). It also enables the client to make changes to the design of individual packages without having to renegotiate the whole turnkey contract and allows packages to be let in sequence so that construction on the first packages (e.g. site works) can commence before the </w:t>
      </w:r>
      <w:r w:rsidRPr="007C6D8F">
        <w:rPr>
          <w:rFonts w:ascii="Arial" w:hAnsi="Arial" w:cs="Arial"/>
          <w:sz w:val="22"/>
          <w:szCs w:val="22"/>
        </w:rPr>
        <w:lastRenderedPageBreak/>
        <w:t>design of the second packages (e.g. electrical systems) is finalised, a ‘fast-tracking' benefit especially relevant for renewable energy projects that may be time-constrained for subsidy or grid-connection.</w:t>
      </w:r>
    </w:p>
    <w:p w14:paraId="646ADA46" w14:textId="77777777"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The downside of this is that the coordination risk and interface risk becomes significantly client risk (Turner and Simister, 2001). Since no single contractor has end-to-end responsibility, disputes can be tricky to resolve, such as whether the failure to achieve expected performance of a solar PV plant is due to the quality of the solar panels, the installation of the inverters or the civil groundworks (Merrow, 2022). This approach also requires a client organisation to have a high level of project management skills and experience as the client is responsible for coordinating interfaces, quality assurance and contractual administration for all packages (Morris and Hough, 1987). For clients without such capability, the management of interfaces can cause administrative problems and risk schedule slippage, which can be more expensive than the cost savings from competitive package pricing (Eriksson, 2008).</w:t>
      </w:r>
    </w:p>
    <w:p w14:paraId="7244A896" w14:textId="5F1C0741" w:rsidR="007C6D8F" w:rsidRPr="00436D08" w:rsidRDefault="007C6D8F" w:rsidP="00436D08">
      <w:pPr>
        <w:pStyle w:val="Heading1"/>
        <w:spacing w:line="360" w:lineRule="auto"/>
        <w:rPr>
          <w:rFonts w:ascii="Arial" w:hAnsi="Arial" w:cs="Arial"/>
          <w:b/>
          <w:bCs/>
          <w:color w:val="000000" w:themeColor="text1"/>
          <w:sz w:val="24"/>
          <w:szCs w:val="24"/>
        </w:rPr>
      </w:pPr>
      <w:bookmarkStart w:id="3" w:name="_Toc236532334"/>
      <w:r w:rsidRPr="00436D08">
        <w:rPr>
          <w:rFonts w:ascii="Arial" w:hAnsi="Arial" w:cs="Arial"/>
          <w:b/>
          <w:bCs/>
          <w:color w:val="000000" w:themeColor="text1"/>
          <w:sz w:val="24"/>
          <w:szCs w:val="24"/>
        </w:rPr>
        <w:t>Do-It-Yourself (DIY) Approach</w:t>
      </w:r>
      <w:bookmarkEnd w:id="3"/>
    </w:p>
    <w:p w14:paraId="4F0477AE" w14:textId="35B846A6"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The DIY (in-house) contracting approach is where the client </w:t>
      </w:r>
      <w:proofErr w:type="gramStart"/>
      <w:r w:rsidRPr="007C6D8F">
        <w:rPr>
          <w:rFonts w:ascii="Arial" w:hAnsi="Arial" w:cs="Arial"/>
          <w:sz w:val="22"/>
          <w:szCs w:val="22"/>
        </w:rPr>
        <w:t>is able to</w:t>
      </w:r>
      <w:proofErr w:type="gramEnd"/>
      <w:r w:rsidRPr="007C6D8F">
        <w:rPr>
          <w:rFonts w:ascii="Arial" w:hAnsi="Arial" w:cs="Arial"/>
          <w:sz w:val="22"/>
          <w:szCs w:val="22"/>
        </w:rPr>
        <w:t xml:space="preserve"> carry out the project mainly with his own resources, staff and procedures, and only use external contractors for specialist work that is not reasonably practicable in-house (Turner, 2003). This approach is most feasible for organisations with significant existing technical skills that are directly applicable to the project, for example, an energy utility with a well-established in-house engineering department that is installing a solar power project on land owned and known by the utility (Winch, </w:t>
      </w:r>
      <w:r w:rsidR="00CE4B29">
        <w:rPr>
          <w:rFonts w:ascii="Arial" w:hAnsi="Arial" w:cs="Arial"/>
          <w:sz w:val="22"/>
          <w:szCs w:val="22"/>
        </w:rPr>
        <w:t>2012</w:t>
      </w:r>
      <w:r w:rsidRPr="007C6D8F">
        <w:rPr>
          <w:rFonts w:ascii="Arial" w:hAnsi="Arial" w:cs="Arial"/>
          <w:sz w:val="22"/>
          <w:szCs w:val="22"/>
        </w:rPr>
        <w:t>).</w:t>
      </w:r>
    </w:p>
    <w:p w14:paraId="79702B58" w14:textId="77777777"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The main benefit of the DIY approach is that the client has control over quality, time and cost as the decision-making power is not spread among external parties with potentially different commercial interests (Chen and Frame, 2006). The DIY approach can also be more cost-effective than external </w:t>
      </w:r>
      <w:proofErr w:type="gramStart"/>
      <w:r w:rsidRPr="007C6D8F">
        <w:rPr>
          <w:rFonts w:ascii="Arial" w:hAnsi="Arial" w:cs="Arial"/>
          <w:sz w:val="22"/>
          <w:szCs w:val="22"/>
        </w:rPr>
        <w:t>contracting</w:t>
      </w:r>
      <w:proofErr w:type="gramEnd"/>
      <w:r w:rsidRPr="007C6D8F">
        <w:rPr>
          <w:rFonts w:ascii="Arial" w:hAnsi="Arial" w:cs="Arial"/>
          <w:sz w:val="22"/>
          <w:szCs w:val="22"/>
        </w:rPr>
        <w:t xml:space="preserve"> options, as there is no mark-up paid by the contractor on the bulk of the work, </w:t>
      </w:r>
      <w:proofErr w:type="gramStart"/>
      <w:r w:rsidRPr="007C6D8F">
        <w:rPr>
          <w:rFonts w:ascii="Arial" w:hAnsi="Arial" w:cs="Arial"/>
          <w:sz w:val="22"/>
          <w:szCs w:val="22"/>
        </w:rPr>
        <w:t>as long as</w:t>
      </w:r>
      <w:proofErr w:type="gramEnd"/>
      <w:r w:rsidRPr="007C6D8F">
        <w:rPr>
          <w:rFonts w:ascii="Arial" w:hAnsi="Arial" w:cs="Arial"/>
          <w:sz w:val="22"/>
          <w:szCs w:val="22"/>
        </w:rPr>
        <w:t xml:space="preserve"> the client's 'internal resources' are utilised efficiently and not needed elsewhere at the same time (Merrow, 2022). Further, knowledge and lessons learnt are not locked up with an external contractor but within the organisation, which helps build organisational capability in the longer term (Turner, 2014).</w:t>
      </w:r>
    </w:p>
    <w:p w14:paraId="5F3BC6B4" w14:textId="19A5CC3B"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However, there are significant risks when the DIY approach is </w:t>
      </w:r>
      <w:proofErr w:type="gramStart"/>
      <w:r w:rsidRPr="007C6D8F">
        <w:rPr>
          <w:rFonts w:ascii="Arial" w:hAnsi="Arial" w:cs="Arial"/>
          <w:sz w:val="22"/>
          <w:szCs w:val="22"/>
        </w:rPr>
        <w:t>used</w:t>
      </w:r>
      <w:proofErr w:type="gramEnd"/>
      <w:r w:rsidRPr="007C6D8F">
        <w:rPr>
          <w:rFonts w:ascii="Arial" w:hAnsi="Arial" w:cs="Arial"/>
          <w:sz w:val="22"/>
          <w:szCs w:val="22"/>
        </w:rPr>
        <w:t xml:space="preserve"> and a client's internal capability is not aligned with the requirements of the project. Having a permanent in-house staff involves significant overheads (people, training, equipment, management etc.) which can be </w:t>
      </w:r>
      <w:r w:rsidRPr="007C6D8F">
        <w:rPr>
          <w:rFonts w:ascii="Arial" w:hAnsi="Arial" w:cs="Arial"/>
          <w:sz w:val="22"/>
          <w:szCs w:val="22"/>
        </w:rPr>
        <w:lastRenderedPageBreak/>
        <w:t xml:space="preserve">underutilised when there is no work, making it less cost effective than the flexible and variable cost of contracting out (Turner and Simister, 2001). The DIY approach also places all risk on the client: in case of failure, liability cannot be transferred to another </w:t>
      </w:r>
      <w:proofErr w:type="gramStart"/>
      <w:r w:rsidRPr="007C6D8F">
        <w:rPr>
          <w:rFonts w:ascii="Arial" w:hAnsi="Arial" w:cs="Arial"/>
          <w:sz w:val="22"/>
          <w:szCs w:val="22"/>
        </w:rPr>
        <w:t>party</w:t>
      </w:r>
      <w:proofErr w:type="gramEnd"/>
      <w:r w:rsidRPr="007C6D8F">
        <w:rPr>
          <w:rFonts w:ascii="Arial" w:hAnsi="Arial" w:cs="Arial"/>
          <w:sz w:val="22"/>
          <w:szCs w:val="22"/>
        </w:rPr>
        <w:t xml:space="preserve"> and the client will experience the full consequences of the failure in both financial and reputational aspects (Morris and Hough, 1987). In projects where the technology is very specialised or is changing quickly (e.g. newer thin-film PV technologies or more advanced battery storage integration), an organisation lacking in-depth and up-to-date knowledge of these technologies may end up performing poorly, and it is not appropriate to rely on DIY delivery for projects at the frontier of a client's existing competencies (Rowlinson and McDermott, </w:t>
      </w:r>
      <w:r w:rsidR="00BD5143">
        <w:rPr>
          <w:rFonts w:ascii="Arial" w:hAnsi="Arial" w:cs="Arial"/>
          <w:sz w:val="22"/>
          <w:szCs w:val="22"/>
        </w:rPr>
        <w:t>2005</w:t>
      </w:r>
      <w:r w:rsidRPr="007C6D8F">
        <w:rPr>
          <w:rFonts w:ascii="Arial" w:hAnsi="Arial" w:cs="Arial"/>
          <w:sz w:val="22"/>
          <w:szCs w:val="22"/>
        </w:rPr>
        <w:t>).</w:t>
      </w:r>
    </w:p>
    <w:p w14:paraId="1342CB6C" w14:textId="514F38A1" w:rsidR="007C6D8F" w:rsidRPr="00436D08" w:rsidRDefault="007C6D8F" w:rsidP="00436D08">
      <w:pPr>
        <w:pStyle w:val="Heading1"/>
        <w:spacing w:line="360" w:lineRule="auto"/>
        <w:rPr>
          <w:rFonts w:ascii="Arial" w:hAnsi="Arial" w:cs="Arial"/>
          <w:b/>
          <w:bCs/>
          <w:color w:val="000000" w:themeColor="text1"/>
          <w:sz w:val="24"/>
          <w:szCs w:val="24"/>
        </w:rPr>
      </w:pPr>
      <w:bookmarkStart w:id="4" w:name="_Toc236532335"/>
      <w:r w:rsidRPr="00436D08">
        <w:rPr>
          <w:rFonts w:ascii="Arial" w:hAnsi="Arial" w:cs="Arial"/>
          <w:b/>
          <w:bCs/>
          <w:color w:val="000000" w:themeColor="text1"/>
          <w:sz w:val="24"/>
          <w:szCs w:val="24"/>
        </w:rPr>
        <w:t>Multicontract + DIY Approach</w:t>
      </w:r>
      <w:bookmarkEnd w:id="4"/>
    </w:p>
    <w:p w14:paraId="0482B485" w14:textId="6F3C2140"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The last method is a mix between the multicontract and DIY methods, where the client carries out some of the project work in-house, but also allows other specific packages of work to external specialist contractors (Turner, 2003). This hybrid method </w:t>
      </w:r>
      <w:proofErr w:type="gramStart"/>
      <w:r w:rsidRPr="007C6D8F">
        <w:rPr>
          <w:rFonts w:ascii="Arial" w:hAnsi="Arial" w:cs="Arial"/>
          <w:sz w:val="22"/>
          <w:szCs w:val="22"/>
        </w:rPr>
        <w:t>is a reflection of</w:t>
      </w:r>
      <w:proofErr w:type="gramEnd"/>
      <w:r w:rsidRPr="007C6D8F">
        <w:rPr>
          <w:rFonts w:ascii="Arial" w:hAnsi="Arial" w:cs="Arial"/>
          <w:sz w:val="22"/>
          <w:szCs w:val="22"/>
        </w:rPr>
        <w:t xml:space="preserve"> the fact that few clients have full in-house expertise in </w:t>
      </w:r>
      <w:proofErr w:type="gramStart"/>
      <w:r w:rsidRPr="007C6D8F">
        <w:rPr>
          <w:rFonts w:ascii="Arial" w:hAnsi="Arial" w:cs="Arial"/>
          <w:sz w:val="22"/>
          <w:szCs w:val="22"/>
        </w:rPr>
        <w:t>all of</w:t>
      </w:r>
      <w:proofErr w:type="gramEnd"/>
      <w:r w:rsidRPr="007C6D8F">
        <w:rPr>
          <w:rFonts w:ascii="Arial" w:hAnsi="Arial" w:cs="Arial"/>
          <w:sz w:val="22"/>
          <w:szCs w:val="22"/>
        </w:rPr>
        <w:t xml:space="preserve"> the disciplines needed on a complex project and it is not always desirable to contract out work that the organisation can do competitively itself (</w:t>
      </w:r>
      <w:r w:rsidR="00BD5143" w:rsidRPr="007C6D8F">
        <w:rPr>
          <w:rFonts w:ascii="Arial" w:hAnsi="Arial" w:cs="Arial"/>
          <w:sz w:val="22"/>
          <w:szCs w:val="22"/>
        </w:rPr>
        <w:t>Masterman</w:t>
      </w:r>
      <w:r w:rsidR="00BD5143">
        <w:rPr>
          <w:rFonts w:ascii="Arial" w:hAnsi="Arial" w:cs="Arial"/>
          <w:sz w:val="22"/>
          <w:szCs w:val="22"/>
        </w:rPr>
        <w:t xml:space="preserve"> and </w:t>
      </w:r>
      <w:r w:rsidR="00BD5143" w:rsidRPr="00BD5143">
        <w:rPr>
          <w:rFonts w:ascii="Arial" w:hAnsi="Arial" w:cs="Arial"/>
          <w:sz w:val="22"/>
          <w:szCs w:val="22"/>
        </w:rPr>
        <w:t>Masterman</w:t>
      </w:r>
      <w:r w:rsidR="00BD5143" w:rsidRPr="007C6D8F">
        <w:rPr>
          <w:rFonts w:ascii="Arial" w:hAnsi="Arial" w:cs="Arial"/>
          <w:sz w:val="22"/>
          <w:szCs w:val="22"/>
        </w:rPr>
        <w:t>, 200</w:t>
      </w:r>
      <w:r w:rsidR="00BD5143">
        <w:rPr>
          <w:rFonts w:ascii="Arial" w:hAnsi="Arial" w:cs="Arial"/>
          <w:sz w:val="22"/>
          <w:szCs w:val="22"/>
        </w:rPr>
        <w:t>3</w:t>
      </w:r>
      <w:r w:rsidRPr="007C6D8F">
        <w:rPr>
          <w:rFonts w:ascii="Arial" w:hAnsi="Arial" w:cs="Arial"/>
          <w:sz w:val="22"/>
          <w:szCs w:val="22"/>
        </w:rPr>
        <w:t>).</w:t>
      </w:r>
    </w:p>
    <w:p w14:paraId="25541455" w14:textId="6D658028"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The benefit of this hybrid approach is that it can be flexible: an organisation can leverage on true strengths of its staff, for example, a utility company could prepare the site, carry out civil groundwork and plan for ongoing operations and maintenance, while the solar module supply, inverter installation and grid-interconnection engineering is outsourced to external specialists who have the required technical expertise (Winch, </w:t>
      </w:r>
      <w:r w:rsidR="00CE4B29">
        <w:rPr>
          <w:rFonts w:ascii="Arial" w:hAnsi="Arial" w:cs="Arial"/>
          <w:sz w:val="22"/>
          <w:szCs w:val="22"/>
        </w:rPr>
        <w:t>2012</w:t>
      </w:r>
      <w:r w:rsidRPr="007C6D8F">
        <w:rPr>
          <w:rFonts w:ascii="Arial" w:hAnsi="Arial" w:cs="Arial"/>
          <w:sz w:val="22"/>
          <w:szCs w:val="22"/>
        </w:rPr>
        <w:t xml:space="preserve">). This selective allocation is an </w:t>
      </w:r>
      <w:proofErr w:type="spellStart"/>
      <w:r w:rsidRPr="007C6D8F">
        <w:rPr>
          <w:rFonts w:ascii="Arial" w:hAnsi="Arial" w:cs="Arial"/>
          <w:sz w:val="22"/>
          <w:szCs w:val="22"/>
        </w:rPr>
        <w:t>optimisation</w:t>
      </w:r>
      <w:proofErr w:type="spellEnd"/>
      <w:r w:rsidRPr="007C6D8F">
        <w:rPr>
          <w:rFonts w:ascii="Arial" w:hAnsi="Arial" w:cs="Arial"/>
          <w:sz w:val="22"/>
          <w:szCs w:val="22"/>
        </w:rPr>
        <w:t xml:space="preserve"> of both cost and quality outcomes as compared to either a purely DIY or a purely multicontract approach because work is allocated based on genuine comparative advantage (Eriksson, 2008). It also offers a way to develop in-house expertise over time, through the involvement of staff in complex packages with external experts (Turner, 2014).</w:t>
      </w:r>
    </w:p>
    <w:p w14:paraId="259CB555" w14:textId="77777777" w:rsidR="007C6D8F" w:rsidRPr="007C6D8F" w:rsidRDefault="007C6D8F" w:rsidP="00436D08">
      <w:pPr>
        <w:spacing w:line="360" w:lineRule="auto"/>
        <w:jc w:val="both"/>
        <w:rPr>
          <w:rFonts w:ascii="Arial" w:hAnsi="Arial" w:cs="Arial"/>
          <w:sz w:val="22"/>
          <w:szCs w:val="22"/>
        </w:rPr>
      </w:pPr>
      <w:r w:rsidRPr="007C6D8F">
        <w:rPr>
          <w:rFonts w:ascii="Arial" w:hAnsi="Arial" w:cs="Arial"/>
          <w:sz w:val="22"/>
          <w:szCs w:val="22"/>
        </w:rPr>
        <w:t xml:space="preserve">The main drawback is complexity of management; in addition to the interfaces between external contractors (pure multicontract method), there are interfaces between internal teams and external contractors, which can lead to ambiguity in terms of accountability, especially when in-house and contracting teams need to work together on the same tasks at the same time (Turner and Simister, 2001). This hybrid approach can be problematic because it may suffer from the drawbacks of both the multicontract approach (coordination issues) and the DIY approach (exposure to overhead </w:t>
      </w:r>
      <w:r w:rsidRPr="007C6D8F">
        <w:rPr>
          <w:rFonts w:ascii="Arial" w:hAnsi="Arial" w:cs="Arial"/>
          <w:sz w:val="22"/>
          <w:szCs w:val="22"/>
        </w:rPr>
        <w:lastRenderedPageBreak/>
        <w:t>costs), while at the same time failing to enjoy either approach's benefits (Merrow, 2022; Chen and Frame, 2006).</w:t>
      </w:r>
    </w:p>
    <w:p w14:paraId="07E5370E" w14:textId="673C6788" w:rsidR="007C6D8F" w:rsidRPr="00436D08" w:rsidRDefault="007C6D8F" w:rsidP="00436D08">
      <w:pPr>
        <w:pStyle w:val="Heading1"/>
        <w:spacing w:line="360" w:lineRule="auto"/>
        <w:rPr>
          <w:rFonts w:ascii="Arial" w:hAnsi="Arial" w:cs="Arial"/>
          <w:b/>
          <w:bCs/>
          <w:color w:val="000000" w:themeColor="text1"/>
          <w:sz w:val="24"/>
          <w:szCs w:val="24"/>
        </w:rPr>
      </w:pPr>
      <w:bookmarkStart w:id="5" w:name="_Toc236532336"/>
      <w:r w:rsidRPr="00436D08">
        <w:rPr>
          <w:rFonts w:ascii="Arial" w:hAnsi="Arial" w:cs="Arial"/>
          <w:b/>
          <w:bCs/>
          <w:color w:val="000000" w:themeColor="text1"/>
          <w:sz w:val="24"/>
          <w:szCs w:val="24"/>
        </w:rPr>
        <w:t>Conclusion</w:t>
      </w:r>
      <w:bookmarkEnd w:id="5"/>
    </w:p>
    <w:p w14:paraId="712D9EA0" w14:textId="3A3D64B7" w:rsidR="002338E6" w:rsidRPr="007C6D8F" w:rsidRDefault="007C6D8F" w:rsidP="00436D08">
      <w:pPr>
        <w:spacing w:line="360" w:lineRule="auto"/>
        <w:jc w:val="both"/>
        <w:rPr>
          <w:rFonts w:ascii="Arial" w:hAnsi="Arial" w:cs="Arial"/>
          <w:b/>
          <w:bCs/>
          <w:sz w:val="22"/>
          <w:szCs w:val="22"/>
        </w:rPr>
      </w:pPr>
      <w:r w:rsidRPr="007C6D8F">
        <w:rPr>
          <w:rFonts w:ascii="Arial" w:hAnsi="Arial" w:cs="Arial"/>
          <w:sz w:val="22"/>
          <w:szCs w:val="22"/>
        </w:rPr>
        <w:t xml:space="preserve">The selection of contracting methods (Turnkey, Multicontract, DIY, Multicontract + DIY) is not one that can be determined as being the best method for all projects, but rather the method that is best suited to the characteristics of the project and the client organisation (Turner, 2003). Turnkey contracting is beneficial to clients who want to ensure that costs are certain and that there is minimal management involved, but it has the drawback of not offering as much design flexibility and can be more expensive overall (Merrow, 2022). The multicontract method is cost and schedule efficient due to competitive </w:t>
      </w:r>
      <w:proofErr w:type="gramStart"/>
      <w:r w:rsidRPr="007C6D8F">
        <w:rPr>
          <w:rFonts w:ascii="Arial" w:hAnsi="Arial" w:cs="Arial"/>
          <w:sz w:val="22"/>
          <w:szCs w:val="22"/>
        </w:rPr>
        <w:t>packaging, but</w:t>
      </w:r>
      <w:proofErr w:type="gramEnd"/>
      <w:r w:rsidRPr="007C6D8F">
        <w:rPr>
          <w:rFonts w:ascii="Arial" w:hAnsi="Arial" w:cs="Arial"/>
          <w:sz w:val="22"/>
          <w:szCs w:val="22"/>
        </w:rPr>
        <w:t xml:space="preserve"> requires a high degree of coordination capability within the company (Rowlinson and McDermott, </w:t>
      </w:r>
      <w:r w:rsidR="00BD5143">
        <w:rPr>
          <w:rFonts w:ascii="Arial" w:hAnsi="Arial" w:cs="Arial"/>
          <w:sz w:val="22"/>
          <w:szCs w:val="22"/>
        </w:rPr>
        <w:t>2005</w:t>
      </w:r>
      <w:r w:rsidRPr="007C6D8F">
        <w:rPr>
          <w:rFonts w:ascii="Arial" w:hAnsi="Arial" w:cs="Arial"/>
          <w:sz w:val="22"/>
          <w:szCs w:val="22"/>
        </w:rPr>
        <w:t xml:space="preserve">). DIY delivery maximises control and retains organisational knowledge but is centralised in risk and reliant on </w:t>
      </w:r>
      <w:proofErr w:type="gramStart"/>
      <w:r w:rsidRPr="007C6D8F">
        <w:rPr>
          <w:rFonts w:ascii="Arial" w:hAnsi="Arial" w:cs="Arial"/>
          <w:sz w:val="22"/>
          <w:szCs w:val="22"/>
        </w:rPr>
        <w:t>an actual</w:t>
      </w:r>
      <w:proofErr w:type="gramEnd"/>
      <w:r w:rsidRPr="007C6D8F">
        <w:rPr>
          <w:rFonts w:ascii="Arial" w:hAnsi="Arial" w:cs="Arial"/>
          <w:sz w:val="22"/>
          <w:szCs w:val="22"/>
        </w:rPr>
        <w:t xml:space="preserve"> internal expertise (Morris and Hough, 1987). The hybrid Multicontract + DIY approach is the most flexible of the four in terms of delivery method to match organisational </w:t>
      </w:r>
      <w:proofErr w:type="gramStart"/>
      <w:r w:rsidRPr="007C6D8F">
        <w:rPr>
          <w:rFonts w:ascii="Arial" w:hAnsi="Arial" w:cs="Arial"/>
          <w:sz w:val="22"/>
          <w:szCs w:val="22"/>
        </w:rPr>
        <w:t>strengths, but</w:t>
      </w:r>
      <w:proofErr w:type="gramEnd"/>
      <w:r w:rsidRPr="007C6D8F">
        <w:rPr>
          <w:rFonts w:ascii="Arial" w:hAnsi="Arial" w:cs="Arial"/>
          <w:sz w:val="22"/>
          <w:szCs w:val="22"/>
        </w:rPr>
        <w:t xml:space="preserve"> is the most complex in terms of coordination challenges (Turner, 2014). However, as demonstrated in the solar PV case study throughout this essay, the selection of the contract strategy must be realistic in the assessment of an organisation's technical capability, risk appetite and project management maturity prior to the selection of a contract method (Eriksson, 2008; Winch, </w:t>
      </w:r>
      <w:r w:rsidR="00CE4B29">
        <w:rPr>
          <w:rFonts w:ascii="Arial" w:hAnsi="Arial" w:cs="Arial"/>
          <w:sz w:val="22"/>
          <w:szCs w:val="22"/>
        </w:rPr>
        <w:t>2012</w:t>
      </w:r>
      <w:r w:rsidRPr="007C6D8F">
        <w:rPr>
          <w:rFonts w:ascii="Arial" w:hAnsi="Arial" w:cs="Arial"/>
          <w:sz w:val="22"/>
          <w:szCs w:val="22"/>
        </w:rPr>
        <w:t>).</w:t>
      </w:r>
      <w:r w:rsidR="002338E6" w:rsidRPr="007C6D8F">
        <w:rPr>
          <w:rFonts w:ascii="Arial" w:hAnsi="Arial" w:cs="Arial"/>
          <w:b/>
          <w:bCs/>
          <w:sz w:val="22"/>
          <w:szCs w:val="22"/>
        </w:rPr>
        <w:br w:type="page"/>
      </w:r>
    </w:p>
    <w:p w14:paraId="432F15D8" w14:textId="409C517D" w:rsidR="002338E6" w:rsidRPr="0017138D" w:rsidRDefault="00A93849" w:rsidP="00436D08">
      <w:pPr>
        <w:spacing w:line="360" w:lineRule="auto"/>
        <w:jc w:val="center"/>
        <w:rPr>
          <w:rFonts w:ascii="Arial" w:hAnsi="Arial" w:cs="Arial"/>
          <w:b/>
          <w:bCs/>
        </w:rPr>
      </w:pPr>
      <w:r w:rsidRPr="0017138D">
        <w:rPr>
          <w:rFonts w:ascii="Arial" w:hAnsi="Arial" w:cs="Arial"/>
          <w:b/>
          <w:bCs/>
        </w:rPr>
        <w:lastRenderedPageBreak/>
        <w:t>REFERENCES</w:t>
      </w:r>
    </w:p>
    <w:p w14:paraId="4129396E" w14:textId="77777777" w:rsidR="00091B2D" w:rsidRDefault="00091B2D" w:rsidP="00436D08">
      <w:pPr>
        <w:spacing w:line="360" w:lineRule="auto"/>
        <w:jc w:val="both"/>
        <w:rPr>
          <w:rFonts w:ascii="Arial" w:hAnsi="Arial" w:cs="Arial"/>
          <w:sz w:val="22"/>
          <w:szCs w:val="22"/>
        </w:rPr>
      </w:pPr>
      <w:r w:rsidRPr="00BD5143">
        <w:rPr>
          <w:rFonts w:ascii="Arial" w:hAnsi="Arial" w:cs="Arial"/>
          <w:sz w:val="22"/>
          <w:szCs w:val="22"/>
        </w:rPr>
        <w:t xml:space="preserve">Chen, Y., &amp; Frame, J. D. (2006). </w:t>
      </w:r>
      <w:r w:rsidRPr="00BD5143">
        <w:rPr>
          <w:rFonts w:ascii="Arial" w:hAnsi="Arial" w:cs="Arial"/>
          <w:i/>
          <w:iCs/>
          <w:sz w:val="22"/>
          <w:szCs w:val="22"/>
        </w:rPr>
        <w:t>Principles of contracting for project management</w:t>
      </w:r>
      <w:r w:rsidRPr="00BD5143">
        <w:rPr>
          <w:rFonts w:ascii="Arial" w:hAnsi="Arial" w:cs="Arial"/>
          <w:sz w:val="22"/>
          <w:szCs w:val="22"/>
        </w:rPr>
        <w:t xml:space="preserve">. University of Management of </w:t>
      </w:r>
      <w:proofErr w:type="spellStart"/>
      <w:r w:rsidRPr="00BD5143">
        <w:rPr>
          <w:rFonts w:ascii="Arial" w:hAnsi="Arial" w:cs="Arial"/>
          <w:sz w:val="22"/>
          <w:szCs w:val="22"/>
        </w:rPr>
        <w:t>Techonology</w:t>
      </w:r>
      <w:proofErr w:type="spellEnd"/>
      <w:r w:rsidRPr="00BD5143">
        <w:rPr>
          <w:rFonts w:ascii="Arial" w:hAnsi="Arial" w:cs="Arial"/>
          <w:sz w:val="22"/>
          <w:szCs w:val="22"/>
        </w:rPr>
        <w:t>.</w:t>
      </w:r>
    </w:p>
    <w:p w14:paraId="658D0507" w14:textId="77777777" w:rsidR="00091B2D" w:rsidRDefault="00091B2D" w:rsidP="00436D08">
      <w:pPr>
        <w:spacing w:line="360" w:lineRule="auto"/>
        <w:jc w:val="both"/>
        <w:rPr>
          <w:rFonts w:ascii="Arial" w:hAnsi="Arial" w:cs="Arial"/>
          <w:sz w:val="22"/>
          <w:szCs w:val="22"/>
        </w:rPr>
      </w:pPr>
      <w:r w:rsidRPr="00BD5143">
        <w:rPr>
          <w:rFonts w:ascii="Arial" w:hAnsi="Arial" w:cs="Arial"/>
          <w:sz w:val="22"/>
          <w:szCs w:val="22"/>
        </w:rPr>
        <w:t xml:space="preserve">Eriksson, P. E. (2008). Procurement effects on coopetition in client-contractor relationships. </w:t>
      </w:r>
      <w:r w:rsidRPr="00BD5143">
        <w:rPr>
          <w:rFonts w:ascii="Arial" w:hAnsi="Arial" w:cs="Arial"/>
          <w:i/>
          <w:iCs/>
          <w:sz w:val="22"/>
          <w:szCs w:val="22"/>
        </w:rPr>
        <w:t>Journal of construction Engineering and Management</w:t>
      </w:r>
      <w:r w:rsidRPr="00BD5143">
        <w:rPr>
          <w:rFonts w:ascii="Arial" w:hAnsi="Arial" w:cs="Arial"/>
          <w:sz w:val="22"/>
          <w:szCs w:val="22"/>
        </w:rPr>
        <w:t xml:space="preserve">, </w:t>
      </w:r>
      <w:r w:rsidRPr="00BD5143">
        <w:rPr>
          <w:rFonts w:ascii="Arial" w:hAnsi="Arial" w:cs="Arial"/>
          <w:i/>
          <w:iCs/>
          <w:sz w:val="22"/>
          <w:szCs w:val="22"/>
        </w:rPr>
        <w:t>134</w:t>
      </w:r>
      <w:r w:rsidRPr="00BD5143">
        <w:rPr>
          <w:rFonts w:ascii="Arial" w:hAnsi="Arial" w:cs="Arial"/>
          <w:sz w:val="22"/>
          <w:szCs w:val="22"/>
        </w:rPr>
        <w:t>(2), 103-111.</w:t>
      </w:r>
    </w:p>
    <w:p w14:paraId="6E06D61A" w14:textId="77777777" w:rsidR="00091B2D" w:rsidRDefault="00091B2D" w:rsidP="00436D08">
      <w:pPr>
        <w:spacing w:line="360" w:lineRule="auto"/>
        <w:jc w:val="both"/>
        <w:rPr>
          <w:rFonts w:ascii="Arial" w:hAnsi="Arial" w:cs="Arial"/>
          <w:sz w:val="22"/>
          <w:szCs w:val="22"/>
        </w:rPr>
      </w:pPr>
      <w:r w:rsidRPr="00BD5143">
        <w:rPr>
          <w:rFonts w:ascii="Arial" w:hAnsi="Arial" w:cs="Arial"/>
          <w:sz w:val="22"/>
          <w:szCs w:val="22"/>
        </w:rPr>
        <w:t xml:space="preserve">Masterman, J. W., &amp; Masterman, J. (2003). </w:t>
      </w:r>
      <w:r w:rsidRPr="00BD5143">
        <w:rPr>
          <w:rFonts w:ascii="Arial" w:hAnsi="Arial" w:cs="Arial"/>
          <w:i/>
          <w:iCs/>
          <w:sz w:val="22"/>
          <w:szCs w:val="22"/>
        </w:rPr>
        <w:t>An introduction to building procurement systems</w:t>
      </w:r>
      <w:r w:rsidRPr="00BD5143">
        <w:rPr>
          <w:rFonts w:ascii="Arial" w:hAnsi="Arial" w:cs="Arial"/>
          <w:sz w:val="22"/>
          <w:szCs w:val="22"/>
        </w:rPr>
        <w:t>. Routledge.</w:t>
      </w:r>
    </w:p>
    <w:p w14:paraId="17508741" w14:textId="77777777" w:rsidR="00091B2D" w:rsidRDefault="00091B2D" w:rsidP="00436D08">
      <w:pPr>
        <w:spacing w:line="360" w:lineRule="auto"/>
        <w:jc w:val="both"/>
        <w:rPr>
          <w:rFonts w:ascii="Arial" w:hAnsi="Arial" w:cs="Arial"/>
          <w:sz w:val="22"/>
          <w:szCs w:val="22"/>
        </w:rPr>
      </w:pPr>
      <w:r w:rsidRPr="00BD5143">
        <w:rPr>
          <w:rFonts w:ascii="Arial" w:hAnsi="Arial" w:cs="Arial"/>
          <w:sz w:val="22"/>
          <w:szCs w:val="22"/>
        </w:rPr>
        <w:t xml:space="preserve">Merrow, E. W. (2022). </w:t>
      </w:r>
      <w:r w:rsidRPr="00BD5143">
        <w:rPr>
          <w:rFonts w:ascii="Arial" w:hAnsi="Arial" w:cs="Arial"/>
          <w:i/>
          <w:iCs/>
          <w:sz w:val="22"/>
          <w:szCs w:val="22"/>
        </w:rPr>
        <w:t>Contract strategies for major projects: Mastering the most difficult element of project management</w:t>
      </w:r>
      <w:r w:rsidRPr="00BD5143">
        <w:rPr>
          <w:rFonts w:ascii="Arial" w:hAnsi="Arial" w:cs="Arial"/>
          <w:sz w:val="22"/>
          <w:szCs w:val="22"/>
        </w:rPr>
        <w:t>. John Wiley &amp; Sons.</w:t>
      </w:r>
    </w:p>
    <w:p w14:paraId="076179FF" w14:textId="77777777" w:rsidR="00091B2D" w:rsidRDefault="00091B2D" w:rsidP="00436D08">
      <w:pPr>
        <w:spacing w:line="360" w:lineRule="auto"/>
        <w:jc w:val="both"/>
        <w:rPr>
          <w:rFonts w:ascii="Arial" w:hAnsi="Arial" w:cs="Arial"/>
          <w:sz w:val="22"/>
          <w:szCs w:val="22"/>
        </w:rPr>
      </w:pPr>
      <w:r w:rsidRPr="00BD5143">
        <w:rPr>
          <w:rFonts w:ascii="Arial" w:hAnsi="Arial" w:cs="Arial"/>
          <w:sz w:val="22"/>
          <w:szCs w:val="22"/>
        </w:rPr>
        <w:t>Morris, P. W., &amp; Hough, G. H. (1987). The anatomy of major projects: A study of the reality of project management.</w:t>
      </w:r>
    </w:p>
    <w:p w14:paraId="4191D3A6" w14:textId="77777777" w:rsidR="00091B2D" w:rsidRPr="007C6D8F" w:rsidRDefault="00091B2D" w:rsidP="00436D08">
      <w:pPr>
        <w:spacing w:line="360" w:lineRule="auto"/>
        <w:jc w:val="both"/>
        <w:rPr>
          <w:rFonts w:ascii="Arial" w:hAnsi="Arial" w:cs="Arial"/>
          <w:sz w:val="22"/>
          <w:szCs w:val="22"/>
        </w:rPr>
      </w:pPr>
      <w:r w:rsidRPr="007C6D8F">
        <w:rPr>
          <w:rFonts w:ascii="Arial" w:hAnsi="Arial" w:cs="Arial"/>
          <w:sz w:val="22"/>
          <w:szCs w:val="22"/>
        </w:rPr>
        <w:t xml:space="preserve">Project Management Institute (2021) </w:t>
      </w:r>
      <w:r w:rsidRPr="007C6D8F">
        <w:rPr>
          <w:rFonts w:ascii="Arial" w:hAnsi="Arial" w:cs="Arial"/>
          <w:i/>
          <w:iCs/>
          <w:sz w:val="22"/>
          <w:szCs w:val="22"/>
        </w:rPr>
        <w:t>A Guide to the Project Management Body of Knowledge (PMBOK Guide)</w:t>
      </w:r>
      <w:r w:rsidRPr="007C6D8F">
        <w:rPr>
          <w:rFonts w:ascii="Arial" w:hAnsi="Arial" w:cs="Arial"/>
          <w:sz w:val="22"/>
          <w:szCs w:val="22"/>
        </w:rPr>
        <w:t xml:space="preserve">. 7th </w:t>
      </w:r>
      <w:proofErr w:type="spellStart"/>
      <w:r w:rsidRPr="007C6D8F">
        <w:rPr>
          <w:rFonts w:ascii="Arial" w:hAnsi="Arial" w:cs="Arial"/>
          <w:sz w:val="22"/>
          <w:szCs w:val="22"/>
        </w:rPr>
        <w:t>edn</w:t>
      </w:r>
      <w:proofErr w:type="spellEnd"/>
      <w:r w:rsidRPr="007C6D8F">
        <w:rPr>
          <w:rFonts w:ascii="Arial" w:hAnsi="Arial" w:cs="Arial"/>
          <w:sz w:val="22"/>
          <w:szCs w:val="22"/>
        </w:rPr>
        <w:t>. Newtown Square, PA: Project Management Institute.</w:t>
      </w:r>
      <w:r>
        <w:rPr>
          <w:rFonts w:ascii="Arial" w:hAnsi="Arial" w:cs="Arial"/>
          <w:sz w:val="22"/>
          <w:szCs w:val="22"/>
        </w:rPr>
        <w:t xml:space="preserve"> Available Online. Retrieved from: </w:t>
      </w:r>
      <w:hyperlink r:id="rId9" w:history="1">
        <w:r w:rsidRPr="00B95FB1">
          <w:rPr>
            <w:rStyle w:val="Hyperlink"/>
            <w:rFonts w:ascii="Arial" w:hAnsi="Arial" w:cs="Arial"/>
            <w:sz w:val="22"/>
            <w:szCs w:val="22"/>
          </w:rPr>
          <w:t>https://tegnum.edu.pe/wp-content/uploads/2023/09/Project-Management-Institute-A-Guide-to-the-Project-Management-Body-of-Knowledge-PMBOK-R-Guide-PMBOK%C2%AE%EF%B8%8F-Guide-Project-Management-Institute-2021.pdf</w:t>
        </w:r>
      </w:hyperlink>
      <w:r>
        <w:rPr>
          <w:rFonts w:ascii="Arial" w:hAnsi="Arial" w:cs="Arial"/>
          <w:sz w:val="22"/>
          <w:szCs w:val="22"/>
        </w:rPr>
        <w:t xml:space="preserve"> </w:t>
      </w:r>
    </w:p>
    <w:p w14:paraId="127160FF" w14:textId="77777777" w:rsidR="00091B2D" w:rsidRDefault="00091B2D" w:rsidP="00436D08">
      <w:pPr>
        <w:spacing w:line="360" w:lineRule="auto"/>
        <w:jc w:val="both"/>
        <w:rPr>
          <w:rFonts w:ascii="Arial" w:hAnsi="Arial" w:cs="Arial"/>
          <w:sz w:val="22"/>
          <w:szCs w:val="22"/>
        </w:rPr>
      </w:pPr>
      <w:r w:rsidRPr="00BD5143">
        <w:rPr>
          <w:rFonts w:ascii="Arial" w:hAnsi="Arial" w:cs="Arial"/>
          <w:sz w:val="22"/>
          <w:szCs w:val="22"/>
        </w:rPr>
        <w:t xml:space="preserve">Rowlinson, S., &amp; McDermott, P. (Eds.). (2005). </w:t>
      </w:r>
      <w:r w:rsidRPr="00BD5143">
        <w:rPr>
          <w:rFonts w:ascii="Arial" w:hAnsi="Arial" w:cs="Arial"/>
          <w:i/>
          <w:iCs/>
          <w:sz w:val="22"/>
          <w:szCs w:val="22"/>
        </w:rPr>
        <w:t>Procurement systems: A guide to best practice in construction</w:t>
      </w:r>
      <w:r w:rsidRPr="00BD5143">
        <w:rPr>
          <w:rFonts w:ascii="Arial" w:hAnsi="Arial" w:cs="Arial"/>
          <w:sz w:val="22"/>
          <w:szCs w:val="22"/>
        </w:rPr>
        <w:t>. Routledge.</w:t>
      </w:r>
    </w:p>
    <w:p w14:paraId="22A2DA60" w14:textId="77777777" w:rsidR="00091B2D" w:rsidRDefault="00091B2D" w:rsidP="00436D08">
      <w:pPr>
        <w:spacing w:line="360" w:lineRule="auto"/>
        <w:jc w:val="both"/>
        <w:rPr>
          <w:rFonts w:ascii="Arial" w:hAnsi="Arial" w:cs="Arial"/>
          <w:sz w:val="22"/>
          <w:szCs w:val="22"/>
        </w:rPr>
      </w:pPr>
      <w:r w:rsidRPr="00CE4B29">
        <w:rPr>
          <w:rFonts w:ascii="Arial" w:hAnsi="Arial" w:cs="Arial"/>
          <w:sz w:val="22"/>
          <w:szCs w:val="22"/>
        </w:rPr>
        <w:t xml:space="preserve">Turner, J. R., &amp; Simister, S. J. (2001). Project contract management and a theory of organization. </w:t>
      </w:r>
      <w:r w:rsidRPr="00CE4B29">
        <w:rPr>
          <w:rFonts w:ascii="Arial" w:hAnsi="Arial" w:cs="Arial"/>
          <w:i/>
          <w:iCs/>
          <w:sz w:val="22"/>
          <w:szCs w:val="22"/>
        </w:rPr>
        <w:t>International journal of project management</w:t>
      </w:r>
      <w:r w:rsidRPr="00CE4B29">
        <w:rPr>
          <w:rFonts w:ascii="Arial" w:hAnsi="Arial" w:cs="Arial"/>
          <w:sz w:val="22"/>
          <w:szCs w:val="22"/>
        </w:rPr>
        <w:t xml:space="preserve">, </w:t>
      </w:r>
      <w:r w:rsidRPr="00CE4B29">
        <w:rPr>
          <w:rFonts w:ascii="Arial" w:hAnsi="Arial" w:cs="Arial"/>
          <w:i/>
          <w:iCs/>
          <w:sz w:val="22"/>
          <w:szCs w:val="22"/>
        </w:rPr>
        <w:t>19</w:t>
      </w:r>
      <w:r w:rsidRPr="00CE4B29">
        <w:rPr>
          <w:rFonts w:ascii="Arial" w:hAnsi="Arial" w:cs="Arial"/>
          <w:sz w:val="22"/>
          <w:szCs w:val="22"/>
        </w:rPr>
        <w:t>(8), 457-464.</w:t>
      </w:r>
    </w:p>
    <w:p w14:paraId="5CA05024" w14:textId="77777777" w:rsidR="00091B2D" w:rsidRPr="007C6D8F" w:rsidRDefault="00091B2D" w:rsidP="00436D08">
      <w:pPr>
        <w:spacing w:line="360" w:lineRule="auto"/>
        <w:jc w:val="both"/>
        <w:rPr>
          <w:rFonts w:ascii="Arial" w:hAnsi="Arial" w:cs="Arial"/>
          <w:sz w:val="22"/>
          <w:szCs w:val="22"/>
        </w:rPr>
      </w:pPr>
      <w:r w:rsidRPr="007C6D8F">
        <w:rPr>
          <w:rFonts w:ascii="Arial" w:hAnsi="Arial" w:cs="Arial"/>
          <w:sz w:val="22"/>
          <w:szCs w:val="22"/>
        </w:rPr>
        <w:t xml:space="preserve">Turner, J.R. (ed.) (2003) </w:t>
      </w:r>
      <w:r w:rsidRPr="007C6D8F">
        <w:rPr>
          <w:rFonts w:ascii="Arial" w:hAnsi="Arial" w:cs="Arial"/>
          <w:i/>
          <w:iCs/>
          <w:sz w:val="22"/>
          <w:szCs w:val="22"/>
        </w:rPr>
        <w:t>Contracting for Project Management</w:t>
      </w:r>
      <w:r w:rsidRPr="007C6D8F">
        <w:rPr>
          <w:rFonts w:ascii="Arial" w:hAnsi="Arial" w:cs="Arial"/>
          <w:sz w:val="22"/>
          <w:szCs w:val="22"/>
        </w:rPr>
        <w:t>. Aldershot: Gower.</w:t>
      </w:r>
    </w:p>
    <w:p w14:paraId="0D2F68EC" w14:textId="77777777" w:rsidR="00091B2D" w:rsidRPr="007C6D8F" w:rsidRDefault="00091B2D" w:rsidP="00436D08">
      <w:pPr>
        <w:spacing w:line="360" w:lineRule="auto"/>
        <w:jc w:val="both"/>
        <w:rPr>
          <w:rFonts w:ascii="Arial" w:hAnsi="Arial" w:cs="Arial"/>
          <w:sz w:val="22"/>
          <w:szCs w:val="22"/>
        </w:rPr>
      </w:pPr>
      <w:r w:rsidRPr="007C6D8F">
        <w:rPr>
          <w:rFonts w:ascii="Arial" w:hAnsi="Arial" w:cs="Arial"/>
          <w:sz w:val="22"/>
          <w:szCs w:val="22"/>
        </w:rPr>
        <w:t xml:space="preserve">Turner, J.R. (ed.) (2014) </w:t>
      </w:r>
      <w:r w:rsidRPr="007C6D8F">
        <w:rPr>
          <w:rFonts w:ascii="Arial" w:hAnsi="Arial" w:cs="Arial"/>
          <w:i/>
          <w:iCs/>
          <w:sz w:val="22"/>
          <w:szCs w:val="22"/>
        </w:rPr>
        <w:t>Gower Handbook of Project Management</w:t>
      </w:r>
      <w:r w:rsidRPr="007C6D8F">
        <w:rPr>
          <w:rFonts w:ascii="Arial" w:hAnsi="Arial" w:cs="Arial"/>
          <w:sz w:val="22"/>
          <w:szCs w:val="22"/>
        </w:rPr>
        <w:t xml:space="preserve">. 5th </w:t>
      </w:r>
      <w:proofErr w:type="spellStart"/>
      <w:r w:rsidRPr="007C6D8F">
        <w:rPr>
          <w:rFonts w:ascii="Arial" w:hAnsi="Arial" w:cs="Arial"/>
          <w:sz w:val="22"/>
          <w:szCs w:val="22"/>
        </w:rPr>
        <w:t>edn</w:t>
      </w:r>
      <w:proofErr w:type="spellEnd"/>
      <w:r w:rsidRPr="007C6D8F">
        <w:rPr>
          <w:rFonts w:ascii="Arial" w:hAnsi="Arial" w:cs="Arial"/>
          <w:sz w:val="22"/>
          <w:szCs w:val="22"/>
        </w:rPr>
        <w:t>. Farnham: Gower.</w:t>
      </w:r>
    </w:p>
    <w:p w14:paraId="6ED8D22A" w14:textId="77777777" w:rsidR="00091B2D" w:rsidRPr="007C6D8F" w:rsidRDefault="00091B2D" w:rsidP="00436D08">
      <w:pPr>
        <w:spacing w:line="360" w:lineRule="auto"/>
        <w:jc w:val="both"/>
        <w:rPr>
          <w:rFonts w:ascii="Arial" w:hAnsi="Arial" w:cs="Arial"/>
          <w:sz w:val="22"/>
          <w:szCs w:val="22"/>
        </w:rPr>
      </w:pPr>
      <w:r w:rsidRPr="00CE4B29">
        <w:rPr>
          <w:rFonts w:ascii="Arial" w:hAnsi="Arial" w:cs="Arial"/>
          <w:sz w:val="22"/>
          <w:szCs w:val="22"/>
        </w:rPr>
        <w:t xml:space="preserve">Winch, G. M. (2012). </w:t>
      </w:r>
      <w:r w:rsidRPr="00CE4B29">
        <w:rPr>
          <w:rFonts w:ascii="Arial" w:hAnsi="Arial" w:cs="Arial"/>
          <w:i/>
          <w:iCs/>
          <w:sz w:val="22"/>
          <w:szCs w:val="22"/>
        </w:rPr>
        <w:t>Managing construction projects</w:t>
      </w:r>
      <w:r w:rsidRPr="00CE4B29">
        <w:rPr>
          <w:rFonts w:ascii="Arial" w:hAnsi="Arial" w:cs="Arial"/>
          <w:sz w:val="22"/>
          <w:szCs w:val="22"/>
        </w:rPr>
        <w:t>. John Wiley &amp; Sons.</w:t>
      </w:r>
    </w:p>
    <w:sectPr w:rsidR="00091B2D" w:rsidRPr="007C6D8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62C45" w14:textId="77777777" w:rsidR="00643510" w:rsidRDefault="00643510" w:rsidP="00C727A2">
      <w:pPr>
        <w:spacing w:after="0" w:line="240" w:lineRule="auto"/>
      </w:pPr>
      <w:r>
        <w:separator/>
      </w:r>
    </w:p>
  </w:endnote>
  <w:endnote w:type="continuationSeparator" w:id="0">
    <w:p w14:paraId="0C346C7C" w14:textId="77777777" w:rsidR="00643510" w:rsidRDefault="00643510" w:rsidP="00C72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372"/>
      <w:docPartObj>
        <w:docPartGallery w:val="Page Numbers (Bottom of Page)"/>
        <w:docPartUnique/>
      </w:docPartObj>
    </w:sdtPr>
    <w:sdtEndPr>
      <w:rPr>
        <w:noProof/>
      </w:rPr>
    </w:sdtEndPr>
    <w:sdtContent>
      <w:p w14:paraId="79B4D977" w14:textId="1C560786" w:rsidR="00C727A2" w:rsidRDefault="00C727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C54BB3" w14:textId="77777777" w:rsidR="00C727A2" w:rsidRDefault="00C727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F5221" w14:textId="77777777" w:rsidR="00643510" w:rsidRDefault="00643510" w:rsidP="00C727A2">
      <w:pPr>
        <w:spacing w:after="0" w:line="240" w:lineRule="auto"/>
      </w:pPr>
      <w:r>
        <w:separator/>
      </w:r>
    </w:p>
  </w:footnote>
  <w:footnote w:type="continuationSeparator" w:id="0">
    <w:p w14:paraId="3FF02F1A" w14:textId="77777777" w:rsidR="00643510" w:rsidRDefault="00643510" w:rsidP="00C727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0E5682"/>
    <w:multiLevelType w:val="multilevel"/>
    <w:tmpl w:val="1F289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8420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8E6"/>
    <w:rsid w:val="00091B2D"/>
    <w:rsid w:val="00144ABC"/>
    <w:rsid w:val="0017138D"/>
    <w:rsid w:val="001764C6"/>
    <w:rsid w:val="002338E6"/>
    <w:rsid w:val="00394CCD"/>
    <w:rsid w:val="00436D08"/>
    <w:rsid w:val="004E43FD"/>
    <w:rsid w:val="005D338E"/>
    <w:rsid w:val="00643510"/>
    <w:rsid w:val="007B215E"/>
    <w:rsid w:val="007C6D8F"/>
    <w:rsid w:val="00804FD4"/>
    <w:rsid w:val="008248FF"/>
    <w:rsid w:val="00993848"/>
    <w:rsid w:val="00A93849"/>
    <w:rsid w:val="00BD5143"/>
    <w:rsid w:val="00C727A2"/>
    <w:rsid w:val="00CE4B29"/>
    <w:rsid w:val="00E42B0D"/>
    <w:rsid w:val="00E86D79"/>
    <w:rsid w:val="00E92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B46D2"/>
  <w15:chartTrackingRefBased/>
  <w15:docId w15:val="{9BAE2B2A-35F5-4781-AB46-4DE4DDF0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3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38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38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38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38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38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38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38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8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38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38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38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38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38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38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38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38E6"/>
    <w:rPr>
      <w:rFonts w:eastAsiaTheme="majorEastAsia" w:cstheme="majorBidi"/>
      <w:color w:val="272727" w:themeColor="text1" w:themeTint="D8"/>
    </w:rPr>
  </w:style>
  <w:style w:type="paragraph" w:styleId="Title">
    <w:name w:val="Title"/>
    <w:basedOn w:val="Normal"/>
    <w:next w:val="Normal"/>
    <w:link w:val="TitleChar"/>
    <w:uiPriority w:val="10"/>
    <w:qFormat/>
    <w:rsid w:val="00233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8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8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8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38E6"/>
    <w:pPr>
      <w:spacing w:before="160"/>
      <w:jc w:val="center"/>
    </w:pPr>
    <w:rPr>
      <w:i/>
      <w:iCs/>
      <w:color w:val="404040" w:themeColor="text1" w:themeTint="BF"/>
    </w:rPr>
  </w:style>
  <w:style w:type="character" w:customStyle="1" w:styleId="QuoteChar">
    <w:name w:val="Quote Char"/>
    <w:basedOn w:val="DefaultParagraphFont"/>
    <w:link w:val="Quote"/>
    <w:uiPriority w:val="29"/>
    <w:rsid w:val="002338E6"/>
    <w:rPr>
      <w:i/>
      <w:iCs/>
      <w:color w:val="404040" w:themeColor="text1" w:themeTint="BF"/>
    </w:rPr>
  </w:style>
  <w:style w:type="paragraph" w:styleId="ListParagraph">
    <w:name w:val="List Paragraph"/>
    <w:basedOn w:val="Normal"/>
    <w:uiPriority w:val="34"/>
    <w:qFormat/>
    <w:rsid w:val="002338E6"/>
    <w:pPr>
      <w:ind w:left="720"/>
      <w:contextualSpacing/>
    </w:pPr>
  </w:style>
  <w:style w:type="character" w:styleId="IntenseEmphasis">
    <w:name w:val="Intense Emphasis"/>
    <w:basedOn w:val="DefaultParagraphFont"/>
    <w:uiPriority w:val="21"/>
    <w:qFormat/>
    <w:rsid w:val="002338E6"/>
    <w:rPr>
      <w:i/>
      <w:iCs/>
      <w:color w:val="0F4761" w:themeColor="accent1" w:themeShade="BF"/>
    </w:rPr>
  </w:style>
  <w:style w:type="paragraph" w:styleId="IntenseQuote">
    <w:name w:val="Intense Quote"/>
    <w:basedOn w:val="Normal"/>
    <w:next w:val="Normal"/>
    <w:link w:val="IntenseQuoteChar"/>
    <w:uiPriority w:val="30"/>
    <w:qFormat/>
    <w:rsid w:val="00233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38E6"/>
    <w:rPr>
      <w:i/>
      <w:iCs/>
      <w:color w:val="0F4761" w:themeColor="accent1" w:themeShade="BF"/>
    </w:rPr>
  </w:style>
  <w:style w:type="character" w:styleId="IntenseReference">
    <w:name w:val="Intense Reference"/>
    <w:basedOn w:val="DefaultParagraphFont"/>
    <w:uiPriority w:val="32"/>
    <w:qFormat/>
    <w:rsid w:val="002338E6"/>
    <w:rPr>
      <w:b/>
      <w:bCs/>
      <w:smallCaps/>
      <w:color w:val="0F4761" w:themeColor="accent1" w:themeShade="BF"/>
      <w:spacing w:val="5"/>
    </w:rPr>
  </w:style>
  <w:style w:type="paragraph" w:styleId="TOCHeading">
    <w:name w:val="TOC Heading"/>
    <w:basedOn w:val="Heading1"/>
    <w:next w:val="Normal"/>
    <w:uiPriority w:val="39"/>
    <w:unhideWhenUsed/>
    <w:qFormat/>
    <w:rsid w:val="007B215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B215E"/>
    <w:pPr>
      <w:spacing w:after="100"/>
    </w:pPr>
  </w:style>
  <w:style w:type="character" w:styleId="Hyperlink">
    <w:name w:val="Hyperlink"/>
    <w:basedOn w:val="DefaultParagraphFont"/>
    <w:uiPriority w:val="99"/>
    <w:unhideWhenUsed/>
    <w:rsid w:val="007B215E"/>
    <w:rPr>
      <w:color w:val="467886" w:themeColor="hyperlink"/>
      <w:u w:val="single"/>
    </w:rPr>
  </w:style>
  <w:style w:type="character" w:styleId="UnresolvedMention">
    <w:name w:val="Unresolved Mention"/>
    <w:basedOn w:val="DefaultParagraphFont"/>
    <w:uiPriority w:val="99"/>
    <w:semiHidden/>
    <w:unhideWhenUsed/>
    <w:rsid w:val="00BD5143"/>
    <w:rPr>
      <w:color w:val="605E5C"/>
      <w:shd w:val="clear" w:color="auto" w:fill="E1DFDD"/>
    </w:rPr>
  </w:style>
  <w:style w:type="paragraph" w:styleId="Header">
    <w:name w:val="header"/>
    <w:basedOn w:val="Normal"/>
    <w:link w:val="HeaderChar"/>
    <w:uiPriority w:val="99"/>
    <w:unhideWhenUsed/>
    <w:rsid w:val="00C727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7A2"/>
  </w:style>
  <w:style w:type="paragraph" w:styleId="Footer">
    <w:name w:val="footer"/>
    <w:basedOn w:val="Normal"/>
    <w:link w:val="FooterChar"/>
    <w:uiPriority w:val="99"/>
    <w:unhideWhenUsed/>
    <w:rsid w:val="00C727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gnum.edu.pe/wp-content/uploads/2023/09/Project-Management-Institute-A-Guide-to-the-Project-Management-Body-of-Knowledge-PMBOK-R-Guide-PMBOK%C2%AE%EF%B8%8F-Guide-Project-Management-Institute-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4DF48-71D0-4BF3-92A9-C7761F9F2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2276</Words>
  <Characters>12976</Characters>
  <Application>Microsoft Office Word</Application>
  <DocSecurity>0</DocSecurity>
  <Lines>108</Lines>
  <Paragraphs>30</Paragraphs>
  <ScaleCrop>false</ScaleCrop>
  <Company/>
  <LinksUpToDate>false</LinksUpToDate>
  <CharactersWithSpaces>15222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Sabeeqa Ahsan</cp:lastModifiedBy>
  <cp:revision>2</cp:revision>
  <dcterms:created xsi:type="dcterms:W3CDTF">2026-08-09T22:05:00Z</dcterms:created>
  <dcterms:modified xsi:type="dcterms:W3CDTF">2026-08-09T22:05:00Z</dcterms:modified>
</cp:coreProperties>
</file>