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E7844" w14:textId="3B3CB4B4" w:rsidR="004C5A36" w:rsidRPr="001D1549" w:rsidRDefault="004C5A36" w:rsidP="00A25637">
      <w:pPr>
        <w:spacing w:line="360" w:lineRule="auto"/>
        <w:rPr>
          <w:rFonts w:cstheme="minorHAnsi"/>
          <w:b/>
          <w:bCs/>
        </w:rPr>
      </w:pPr>
      <w:r w:rsidRPr="001D1549">
        <w:rPr>
          <w:rFonts w:cstheme="minorHAnsi"/>
          <w:b/>
          <w:bCs/>
        </w:rPr>
        <w:t>Ellie Bowen (220058</w:t>
      </w:r>
      <w:r w:rsidR="00426E63" w:rsidRPr="001D1549">
        <w:rPr>
          <w:rFonts w:cstheme="minorHAnsi"/>
          <w:b/>
          <w:bCs/>
        </w:rPr>
        <w:t xml:space="preserve">4) </w:t>
      </w:r>
    </w:p>
    <w:p w14:paraId="2AAFE7CB" w14:textId="363572D2" w:rsidR="00426E63" w:rsidRPr="001D1549" w:rsidRDefault="00324C14" w:rsidP="00A25637">
      <w:pPr>
        <w:spacing w:line="360" w:lineRule="auto"/>
        <w:rPr>
          <w:rFonts w:cstheme="minorHAnsi"/>
          <w:b/>
          <w:bCs/>
        </w:rPr>
      </w:pPr>
      <w:r w:rsidRPr="001D1549">
        <w:rPr>
          <w:rFonts w:cstheme="minorHAnsi"/>
          <w:b/>
          <w:bCs/>
        </w:rPr>
        <w:t>Policing the Public (BMPL5003)</w:t>
      </w:r>
    </w:p>
    <w:p w14:paraId="000A78C9" w14:textId="1E3F299D" w:rsidR="00374F8D" w:rsidRPr="001D1549" w:rsidRDefault="0014700C" w:rsidP="00A25637">
      <w:pPr>
        <w:spacing w:line="360" w:lineRule="auto"/>
        <w:rPr>
          <w:rFonts w:cstheme="minorHAnsi"/>
        </w:rPr>
      </w:pPr>
      <w:r w:rsidRPr="001D1549">
        <w:rPr>
          <w:rFonts w:cstheme="minorHAnsi"/>
          <w:b/>
          <w:bCs/>
        </w:rPr>
        <w:t>Title:</w:t>
      </w:r>
      <w:r w:rsidRPr="001D1549">
        <w:rPr>
          <w:rFonts w:cstheme="minorHAnsi"/>
        </w:rPr>
        <w:t xml:space="preserve"> </w:t>
      </w:r>
      <w:r w:rsidR="0088007B" w:rsidRPr="001D1549">
        <w:rPr>
          <w:rFonts w:cstheme="minorHAnsi"/>
        </w:rPr>
        <w:t xml:space="preserve">An examination of how crime </w:t>
      </w:r>
      <w:r w:rsidR="00374F8D" w:rsidRPr="001D1549">
        <w:rPr>
          <w:rFonts w:cstheme="minorHAnsi"/>
        </w:rPr>
        <w:t xml:space="preserve">and anti-social behaviour affect local communities </w:t>
      </w:r>
    </w:p>
    <w:p w14:paraId="3E986645" w14:textId="77777777" w:rsidR="008B2DBF" w:rsidRDefault="008B2DBF" w:rsidP="005C3F52">
      <w:pPr>
        <w:spacing w:line="360" w:lineRule="auto"/>
        <w:rPr>
          <w:rFonts w:cstheme="minorHAnsi"/>
        </w:rPr>
      </w:pPr>
    </w:p>
    <w:p w14:paraId="7977DBC9" w14:textId="77777777" w:rsidR="005C3F52" w:rsidRPr="005C3F52" w:rsidRDefault="005C3F52" w:rsidP="005C3F52">
      <w:pPr>
        <w:spacing w:line="360" w:lineRule="auto"/>
        <w:rPr>
          <w:rFonts w:cstheme="minorHAnsi"/>
        </w:rPr>
      </w:pPr>
      <w:r w:rsidRPr="005C3F52">
        <w:rPr>
          <w:rFonts w:cstheme="minorHAnsi"/>
        </w:rPr>
        <w:t xml:space="preserve">This essay will examine how crime and anti-social behaviour affect local communities. There are a variety of crimes that occur within a community, which can affect how it is perceived. An example of this is burglary, which can be defined by </w:t>
      </w:r>
      <w:r w:rsidRPr="005C3F52">
        <w:rPr>
          <w:rFonts w:cstheme="minorHAnsi"/>
          <w:i/>
        </w:rPr>
        <w:t>the Theft Act [1968]</w:t>
      </w:r>
      <w:r w:rsidRPr="005C3F52">
        <w:rPr>
          <w:rFonts w:cstheme="minorHAnsi"/>
        </w:rPr>
        <w:t xml:space="preserve"> as entering a building as a trespasser with the intention of committing theft, grievous bodily harm, or criminal damage (Crown Prosecution Service, 2022). </w:t>
      </w:r>
      <w:r w:rsidRPr="005C3F52">
        <w:rPr>
          <w:rFonts w:cstheme="minorHAnsi"/>
          <w:bCs/>
        </w:rPr>
        <w:t>Burglary has an adverse effect on a</w:t>
      </w:r>
      <w:r w:rsidRPr="005C3F52">
        <w:rPr>
          <w:rFonts w:cstheme="minorHAnsi"/>
        </w:rPr>
        <w:t xml:space="preserve"> community, it can cause financial difficulties, </w:t>
      </w:r>
      <w:r w:rsidRPr="005C3F52">
        <w:rPr>
          <w:rFonts w:cstheme="minorHAnsi"/>
          <w:bCs/>
        </w:rPr>
        <w:t>impact their emotional well-being and sense of community (Victim Support, 2023).</w:t>
      </w:r>
      <w:r w:rsidRPr="005C3F52">
        <w:rPr>
          <w:rFonts w:cstheme="minorHAnsi"/>
        </w:rPr>
        <w:t xml:space="preserve"> In addition to this, anti-social behaviour is a common occurrence within a community. Anti-social behaviour is defined as conduct that has or is able to cause harassment, alarm, and distress to an individual (College of Policing, 2023). Examples of anti-social behaviour include threats, vandalism, or excessive noise. Crime and anti-social behaviour that occurs within a specific area are dealt with by community policing. </w:t>
      </w:r>
    </w:p>
    <w:p w14:paraId="0637ACA7" w14:textId="77777777" w:rsidR="005C3F52" w:rsidRPr="005C3F52" w:rsidRDefault="005C3F52" w:rsidP="005C3F52">
      <w:pPr>
        <w:spacing w:line="360" w:lineRule="auto"/>
        <w:rPr>
          <w:rFonts w:cstheme="minorHAnsi"/>
        </w:rPr>
      </w:pPr>
    </w:p>
    <w:p w14:paraId="20E73519" w14:textId="77777777" w:rsidR="005C3F52" w:rsidRPr="005C3F52" w:rsidRDefault="005C3F52" w:rsidP="005C3F52">
      <w:pPr>
        <w:spacing w:line="360" w:lineRule="auto"/>
        <w:rPr>
          <w:rFonts w:cstheme="minorHAnsi"/>
        </w:rPr>
      </w:pPr>
      <w:r w:rsidRPr="005C3F52">
        <w:rPr>
          <w:rFonts w:cstheme="minorHAnsi"/>
        </w:rPr>
        <w:t xml:space="preserve">The concept of policing was introduced by Sir Robert Peel under the </w:t>
      </w:r>
      <w:r w:rsidRPr="00696170">
        <w:rPr>
          <w:rFonts w:cstheme="minorHAnsi"/>
          <w:i/>
          <w:iCs/>
        </w:rPr>
        <w:t>Metropolitan Police Act [1829]</w:t>
      </w:r>
      <w:r w:rsidRPr="005C3F52">
        <w:rPr>
          <w:rFonts w:cstheme="minorHAnsi"/>
        </w:rPr>
        <w:t xml:space="preserve"> to maintain and assert authority to deter crime and deviance. However, policing in the nineteenth century was different from as we know it today. Community policing is a method of deterring and managing crime whilst improving relationships with the public. A community policing team includes a variety of personnel such as Police Officers, Special Constables, and Police Community Support Officers. A neighbourhood policing team will deter crime by increasing police presence through foot patrols, </w:t>
      </w:r>
      <w:r w:rsidRPr="005C3F52">
        <w:rPr>
          <w:rFonts w:cstheme="minorHAnsi"/>
          <w:bCs/>
        </w:rPr>
        <w:t>‘Police and Communities Together’ meetings, and contact strategies (Bennett, 1994). The effectiveness of community policing is dependent on how it is applied and perceived by a community. Evidence suggests that increased police presence improves the public perception of police which contributes to improving community cohesion (Hanway &amp; Hambly, 2023).</w:t>
      </w:r>
      <w:r w:rsidRPr="005C3F52">
        <w:rPr>
          <w:rFonts w:cstheme="minorHAnsi"/>
        </w:rPr>
        <w:t xml:space="preserve"> However, the case of Fiona Pilkington is an example of ineffective community policing. </w:t>
      </w:r>
    </w:p>
    <w:p w14:paraId="60ECBCEC" w14:textId="77777777" w:rsidR="005C3F52" w:rsidRPr="005C3F52" w:rsidRDefault="005C3F52" w:rsidP="005C3F52">
      <w:pPr>
        <w:spacing w:line="360" w:lineRule="auto"/>
        <w:rPr>
          <w:rFonts w:cstheme="minorHAnsi"/>
          <w:bCs/>
        </w:rPr>
      </w:pPr>
    </w:p>
    <w:p w14:paraId="75189674" w14:textId="77777777" w:rsidR="005C3F52" w:rsidRPr="005C3F52" w:rsidRDefault="005C3F52" w:rsidP="005C3F52">
      <w:pPr>
        <w:spacing w:line="360" w:lineRule="auto"/>
        <w:rPr>
          <w:rFonts w:cstheme="minorHAnsi"/>
        </w:rPr>
      </w:pPr>
      <w:r w:rsidRPr="005C3F52">
        <w:rPr>
          <w:rFonts w:cstheme="minorHAnsi"/>
          <w:bCs/>
        </w:rPr>
        <w:t>Throughout this essay, the Fiona Pilkington case will be used to demonstrate the effect of crime and anti-social behaviour on local communities. Pilkington and her family were victims of anti-social behaviour which persisted over several years.</w:t>
      </w:r>
      <w:r w:rsidRPr="005C3F52">
        <w:rPr>
          <w:rFonts w:cstheme="minorHAnsi"/>
        </w:rPr>
        <w:t xml:space="preserve"> The failure to resolve the anti-</w:t>
      </w:r>
      <w:r w:rsidRPr="005C3F52">
        <w:rPr>
          <w:rFonts w:cstheme="minorHAnsi"/>
        </w:rPr>
        <w:lastRenderedPageBreak/>
        <w:t xml:space="preserve">social behaviour against her family resulted in Pilkington taking her own life and her </w:t>
      </w:r>
      <w:r w:rsidRPr="005C3F52">
        <w:rPr>
          <w:rFonts w:cstheme="minorHAnsi"/>
          <w:bCs/>
        </w:rPr>
        <w:t xml:space="preserve">daughter </w:t>
      </w:r>
      <w:r w:rsidRPr="005C3F52">
        <w:rPr>
          <w:rFonts w:cstheme="minorHAnsi"/>
        </w:rPr>
        <w:t xml:space="preserve">Francecca </w:t>
      </w:r>
      <w:r w:rsidRPr="005C3F52">
        <w:rPr>
          <w:rFonts w:cstheme="minorHAnsi"/>
          <w:bCs/>
        </w:rPr>
        <w:t>Hardwick’s.</w:t>
      </w:r>
      <w:r w:rsidRPr="005C3F52">
        <w:rPr>
          <w:rFonts w:cstheme="minorHAnsi"/>
        </w:rPr>
        <w:t xml:space="preserve"> Evidence provided by Leicestershire Police shows that there were several occurrences of crime and anti-social behaviour reported by Pilkington and the community (Independent Police Complaints Commission, 2009). This incident had a significant effect on the community, it caused doubts that safeguarding protocols were not adhered to and that the public </w:t>
      </w:r>
      <w:r w:rsidRPr="005C3F52">
        <w:rPr>
          <w:rFonts w:cstheme="minorHAnsi"/>
          <w:bCs/>
        </w:rPr>
        <w:t>were exposed to danger (Hampshire Safeguarding Adults Board, 2009).</w:t>
      </w:r>
      <w:r w:rsidRPr="005C3F52">
        <w:rPr>
          <w:rFonts w:cstheme="minorHAnsi"/>
        </w:rPr>
        <w:t xml:space="preserve"> </w:t>
      </w:r>
    </w:p>
    <w:p w14:paraId="4B50CF7C" w14:textId="77777777" w:rsidR="005C3F52" w:rsidRPr="005C3F52" w:rsidRDefault="005C3F52" w:rsidP="005C3F52">
      <w:pPr>
        <w:spacing w:line="360" w:lineRule="auto"/>
        <w:rPr>
          <w:rFonts w:cstheme="minorHAnsi"/>
        </w:rPr>
      </w:pPr>
      <w:r w:rsidRPr="005C3F52">
        <w:rPr>
          <w:rFonts w:cstheme="minorHAnsi"/>
        </w:rPr>
        <w:t xml:space="preserve"> </w:t>
      </w:r>
    </w:p>
    <w:p w14:paraId="76349EBC" w14:textId="77777777" w:rsidR="005C3F52" w:rsidRPr="005C3F52" w:rsidRDefault="005C3F52" w:rsidP="005C3F52">
      <w:pPr>
        <w:spacing w:line="360" w:lineRule="auto"/>
        <w:rPr>
          <w:rFonts w:cstheme="minorHAnsi"/>
        </w:rPr>
      </w:pPr>
      <w:r w:rsidRPr="005C3F52">
        <w:rPr>
          <w:rFonts w:cstheme="minorHAnsi"/>
        </w:rPr>
        <w:t xml:space="preserve">Crime and anti-social behaviour can have an adverse effect on its victims and the community. One example of how it can affect the local community is by inflicting emotional or psychological harm upon the victim which includes distress, depression, and anxiety.  However, evidence suggests that those who are affected by ill mental health and physical disabilities are commonly victims of anti-social behaviour (Home Office, 2023). This is evident in Fiona Pilkington’s case as her daughter suffered from physical and mental impairments, which made her more susceptible to being targeted. </w:t>
      </w:r>
    </w:p>
    <w:p w14:paraId="5BBA9891" w14:textId="77777777" w:rsidR="005C3F52" w:rsidRPr="005C3F52" w:rsidRDefault="005C3F52" w:rsidP="005C3F52">
      <w:pPr>
        <w:spacing w:line="360" w:lineRule="auto"/>
        <w:rPr>
          <w:rFonts w:cstheme="minorHAnsi"/>
        </w:rPr>
      </w:pPr>
    </w:p>
    <w:p w14:paraId="207BDFB3" w14:textId="77777777" w:rsidR="005C3F52" w:rsidRPr="005C3F52" w:rsidRDefault="005C3F52" w:rsidP="005C3F52">
      <w:pPr>
        <w:spacing w:line="360" w:lineRule="auto"/>
        <w:rPr>
          <w:rFonts w:cstheme="minorHAnsi"/>
        </w:rPr>
      </w:pPr>
      <w:r w:rsidRPr="005C3F52">
        <w:rPr>
          <w:rFonts w:cstheme="minorHAnsi"/>
        </w:rPr>
        <w:t>Crime and anti-social behaviour may inflict physical harm upon a community, this includes injuries, violence, or death. There is a high correlation between crime and death, which is apparent in the case of Fiona Pilkington. Those who have suffered repeat violent offences are likely to commit suicide or are at greater risk of dying due to drug or alcohol-related abuse (Moberg et</w:t>
      </w:r>
      <w:r w:rsidRPr="005C3F52">
        <w:rPr>
          <w:rFonts w:cstheme="minorHAnsi"/>
          <w:bCs/>
        </w:rPr>
        <w:t xml:space="preserve"> al, 2012). The nature of one’s death may impact the effect that it has on the community, the loss of Pilkington and her daughter caused distress, anger, and loss of confidence in the police. This had an impact on police and community relationships which made it difficult for police to respond effectively. </w:t>
      </w:r>
    </w:p>
    <w:p w14:paraId="4B419484" w14:textId="77777777" w:rsidR="005C3F52" w:rsidRPr="005C3F52" w:rsidRDefault="005C3F52" w:rsidP="005C3F52">
      <w:pPr>
        <w:spacing w:line="360" w:lineRule="auto"/>
        <w:rPr>
          <w:rFonts w:cstheme="minorHAnsi"/>
        </w:rPr>
      </w:pPr>
    </w:p>
    <w:p w14:paraId="2DEB7887" w14:textId="64777EA3" w:rsidR="005C3F52" w:rsidRPr="005C3F52" w:rsidRDefault="005C3F52" w:rsidP="005C3F52">
      <w:pPr>
        <w:spacing w:line="360" w:lineRule="auto"/>
        <w:rPr>
          <w:rFonts w:cstheme="minorHAnsi"/>
        </w:rPr>
      </w:pPr>
      <w:r w:rsidRPr="005C3F52">
        <w:rPr>
          <w:rFonts w:cstheme="minorHAnsi"/>
        </w:rPr>
        <w:t>Another effect crime and anti-social behaviour has on a community is economic harm such as financial loss or impact on the victim’s occupation. During 2015/16 it was estimated that fifty billion pounds were caused in damage to individuals who were victims of crime (Heeks et.al., 2018). This can be detrimental to those who are victims of crime and anti-social behaviour as deprived areas are commonly targeted (Home Office, 2023).  Crime and anti-social behaviour</w:t>
      </w:r>
      <w:r w:rsidR="00F9527D">
        <w:rPr>
          <w:rFonts w:cstheme="minorHAnsi"/>
        </w:rPr>
        <w:t xml:space="preserve"> </w:t>
      </w:r>
      <w:r w:rsidR="00F9527D" w:rsidRPr="005C3F52">
        <w:rPr>
          <w:rFonts w:cstheme="minorHAnsi"/>
        </w:rPr>
        <w:t>occur</w:t>
      </w:r>
      <w:r w:rsidRPr="005C3F52">
        <w:rPr>
          <w:rFonts w:cstheme="minorHAnsi"/>
        </w:rPr>
        <w:t xml:space="preserve"> frequently within deprived areas as there are fewer opportunities available to those who reside there (Nettle </w:t>
      </w:r>
      <w:r w:rsidRPr="005C3F52">
        <w:rPr>
          <w:rFonts w:cstheme="minorHAnsi"/>
          <w:bCs/>
        </w:rPr>
        <w:t>&amp; De Courson, 2021).</w:t>
      </w:r>
      <w:r w:rsidRPr="005C3F52">
        <w:rPr>
          <w:rFonts w:cstheme="minorHAnsi"/>
        </w:rPr>
        <w:t xml:space="preserve"> There have been numerous </w:t>
      </w:r>
      <w:r w:rsidRPr="005C3F52">
        <w:rPr>
          <w:rFonts w:cstheme="minorHAnsi"/>
        </w:rPr>
        <w:lastRenderedPageBreak/>
        <w:t xml:space="preserve">attempts to reduce the amount of crime and anti-social behaviour within these areas with partner agencies cooperating to provide activities, youth clubs, and education to delinquent individuals. </w:t>
      </w:r>
    </w:p>
    <w:p w14:paraId="3D7B8E16" w14:textId="77777777" w:rsidR="005C3F52" w:rsidRPr="005C3F52" w:rsidRDefault="005C3F52" w:rsidP="005C3F52">
      <w:pPr>
        <w:spacing w:line="360" w:lineRule="auto"/>
        <w:rPr>
          <w:rFonts w:cstheme="minorHAnsi"/>
        </w:rPr>
      </w:pPr>
    </w:p>
    <w:p w14:paraId="4806C0ED" w14:textId="77777777" w:rsidR="005C3F52" w:rsidRPr="005C3F52" w:rsidRDefault="005C3F52" w:rsidP="005C3F52">
      <w:pPr>
        <w:spacing w:line="360" w:lineRule="auto"/>
        <w:rPr>
          <w:rFonts w:cstheme="minorHAnsi"/>
        </w:rPr>
      </w:pPr>
      <w:r w:rsidRPr="005C3F52">
        <w:rPr>
          <w:rFonts w:cstheme="minorHAnsi"/>
        </w:rPr>
        <w:t xml:space="preserve">Invasion of privacy is a common result of crimes such as burglary and cyber-related attacks. It is estimated that 275, 919 offences of burglaries were committed in the year ending March 2023 which demonstrates a decrease in comparison to previous years (Office for National Statistics, 2023). This can leave the victims fearful and may have a significant effect on their emotional well-being. Almost 25% of victims who have experienced burglary have suffered from psychological trauma including sleep deprivation. As well as this, 11% of those have not been able to reside in their home alone following the burglary (University of Portsmouth, 2016). The victim’s sense of security is vulnerable after an invasion of privacy; therefore, it could impact their perception of the community and the police. </w:t>
      </w:r>
    </w:p>
    <w:p w14:paraId="46242342" w14:textId="77777777" w:rsidR="005C3F52" w:rsidRPr="005C3F52" w:rsidRDefault="005C3F52" w:rsidP="005C3F52">
      <w:pPr>
        <w:spacing w:line="360" w:lineRule="auto"/>
        <w:rPr>
          <w:rFonts w:cstheme="minorHAnsi"/>
        </w:rPr>
      </w:pPr>
    </w:p>
    <w:p w14:paraId="736968AD" w14:textId="77777777" w:rsidR="005C3F52" w:rsidRPr="005C3F52" w:rsidRDefault="005C3F52" w:rsidP="005C3F52">
      <w:pPr>
        <w:spacing w:line="360" w:lineRule="auto"/>
        <w:rPr>
          <w:rFonts w:cstheme="minorHAnsi"/>
        </w:rPr>
      </w:pPr>
      <w:r w:rsidRPr="005C3F52">
        <w:rPr>
          <w:rFonts w:cstheme="minorHAnsi"/>
        </w:rPr>
        <w:t xml:space="preserve">In addition to this, frequent occurrences of crime and anti-social behaviour can affect police funding and its resources. To reduce the amount of crime and anti-social behaviour the police would have to employ more officers, acquire the relevant technology, and fund training programs. However, it is estimated that police services across England and Wales could face a £700,000,000 reduction in funding by 2026 (UNISON, 2023). With limited funding, the police have fewer resources which makes it difficult to police effectively. </w:t>
      </w:r>
    </w:p>
    <w:p w14:paraId="2DE19C8D" w14:textId="77777777" w:rsidR="005C3F52" w:rsidRPr="005C3F52" w:rsidRDefault="005C3F52" w:rsidP="005C3F52">
      <w:pPr>
        <w:spacing w:line="360" w:lineRule="auto"/>
        <w:rPr>
          <w:rFonts w:cstheme="minorHAnsi"/>
        </w:rPr>
      </w:pPr>
    </w:p>
    <w:p w14:paraId="433F8FAF" w14:textId="77777777" w:rsidR="005C3F52" w:rsidRPr="005C3F52" w:rsidRDefault="005C3F52" w:rsidP="005C3F52">
      <w:pPr>
        <w:spacing w:line="360" w:lineRule="auto"/>
        <w:rPr>
          <w:rFonts w:cstheme="minorHAnsi"/>
        </w:rPr>
      </w:pPr>
      <w:r w:rsidRPr="005C3F52">
        <w:rPr>
          <w:rFonts w:cstheme="minorHAnsi"/>
        </w:rPr>
        <w:t>In an attempt to reduce crime and anti-social behaviour, the police have adapted their methods of policing to ensure that it applies to modern-day society. The influence of evidence-based policing has introduced a variety of policing methods that constitute effective and appropriate police action. An example of this is ‘Problem-Oriented Policing’, this concept focuses on an assortment of related events that are causing concern within a community (Goldstein, 1979). This method of policing has proven effective in reducing crime and appropriately preserves public safety. However, it is not frequently used amongst different forces (College of Policing, 2023). Secondly, the ‘SARA’ module is a key component of community policing (Weisburd et</w:t>
      </w:r>
      <w:r w:rsidRPr="005C3F52">
        <w:rPr>
          <w:rFonts w:cstheme="minorHAnsi"/>
          <w:bCs/>
        </w:rPr>
        <w:t xml:space="preserve"> al., 2008). Its purpose is to scan, analyse, respond, and assess all aspects of crime and provides solutions to deter it. This module is an effective method of applying problem-solving initiatives into policing practice (College of Policing, </w:t>
      </w:r>
      <w:r w:rsidRPr="005C3F52">
        <w:rPr>
          <w:rFonts w:cstheme="minorHAnsi"/>
          <w:bCs/>
        </w:rPr>
        <w:lastRenderedPageBreak/>
        <w:t>2022). Although experts have recognised that this module generalises complex crimes (Brandon, 2015).</w:t>
      </w:r>
      <w:r w:rsidRPr="005C3F52">
        <w:rPr>
          <w:rFonts w:cstheme="minorHAnsi"/>
        </w:rPr>
        <w:t xml:space="preserve"> The combination of ‘Problem-Oriented Policing’ and ‘SARA’ has provided an effective and appropriate solution for reducing crime and anti-social behaviour (Burton &amp; McGregor, 2018). </w:t>
      </w:r>
    </w:p>
    <w:p w14:paraId="78780AD5" w14:textId="77777777" w:rsidR="005C3F52" w:rsidRPr="005C3F52" w:rsidRDefault="005C3F52" w:rsidP="005C3F52">
      <w:pPr>
        <w:spacing w:line="360" w:lineRule="auto"/>
        <w:rPr>
          <w:rFonts w:cstheme="minorHAnsi"/>
          <w:bCs/>
        </w:rPr>
      </w:pPr>
    </w:p>
    <w:p w14:paraId="30447A8D" w14:textId="77777777" w:rsidR="005C3F52" w:rsidRPr="005C3F52" w:rsidRDefault="005C3F52" w:rsidP="005C3F52">
      <w:pPr>
        <w:spacing w:line="360" w:lineRule="auto"/>
        <w:rPr>
          <w:rFonts w:cstheme="minorHAnsi"/>
        </w:rPr>
      </w:pPr>
      <w:r w:rsidRPr="005C3F52">
        <w:rPr>
          <w:rFonts w:cstheme="minorHAnsi"/>
          <w:bCs/>
        </w:rPr>
        <w:t xml:space="preserve">The police service must adhere to multiple protocols to ensure that their actions are effective and appropriate. An example of this is the </w:t>
      </w:r>
      <w:r w:rsidRPr="005C3F52">
        <w:rPr>
          <w:rFonts w:cstheme="minorHAnsi"/>
          <w:bCs/>
          <w:i/>
          <w:iCs/>
        </w:rPr>
        <w:t>Police and Criminal Evidence Act [1984]</w:t>
      </w:r>
      <w:r w:rsidRPr="005C3F52">
        <w:rPr>
          <w:rFonts w:cstheme="minorHAnsi"/>
          <w:bCs/>
        </w:rPr>
        <w:t xml:space="preserve"> which is legislation that defines police authority and preserves individual rights (Government UK, 2013). However, there have been many incidents where the legislation has been misused which has impacted the community and police relationships. This impacts the ability to reduce crime and anti-social behaviour effectively. </w:t>
      </w:r>
    </w:p>
    <w:p w14:paraId="4E1E3FB9" w14:textId="77777777" w:rsidR="005C3F52" w:rsidRPr="005C3F52" w:rsidRDefault="005C3F52" w:rsidP="005C3F52">
      <w:pPr>
        <w:spacing w:line="360" w:lineRule="auto"/>
        <w:rPr>
          <w:rFonts w:cstheme="minorHAnsi"/>
        </w:rPr>
      </w:pPr>
    </w:p>
    <w:p w14:paraId="797F8780" w14:textId="77777777" w:rsidR="005C3F52" w:rsidRPr="005C3F52" w:rsidRDefault="005C3F52" w:rsidP="005C3F52">
      <w:pPr>
        <w:spacing w:line="360" w:lineRule="auto"/>
        <w:rPr>
          <w:rFonts w:cstheme="minorHAnsi"/>
        </w:rPr>
      </w:pPr>
      <w:r w:rsidRPr="005C3F52">
        <w:rPr>
          <w:rFonts w:cstheme="minorHAnsi"/>
        </w:rPr>
        <w:t xml:space="preserve">Similarly, the policing principles were implemented to deter crime and create an effective police service. It was acknowledged that policing by consent is a fundamental aspect of community policing and that the public has a significant impact on how it is conducted (Government UK, 2012). Maintaining public safety, respecting individuals’ rights, and using proportionate force constitutes effective and appropriate police action. The Leicestershire Police Service failed to maintain the safety of Pilkington’s community, resulting in a sense of distrust between the police and the public. A lack of trust between police and the public has an impact on the effectiveness of community policing (Department of Justice, no date). </w:t>
      </w:r>
    </w:p>
    <w:p w14:paraId="2C7E3DE6" w14:textId="77777777" w:rsidR="005C3F52" w:rsidRPr="005C3F52" w:rsidRDefault="005C3F52" w:rsidP="005C3F52">
      <w:pPr>
        <w:spacing w:line="360" w:lineRule="auto"/>
        <w:rPr>
          <w:rFonts w:cstheme="minorHAnsi"/>
        </w:rPr>
      </w:pPr>
    </w:p>
    <w:p w14:paraId="021978E6" w14:textId="77777777" w:rsidR="005C3F52" w:rsidRPr="005C3F52" w:rsidRDefault="005C3F52" w:rsidP="005C3F52">
      <w:pPr>
        <w:spacing w:line="360" w:lineRule="auto"/>
        <w:rPr>
          <w:rFonts w:cstheme="minorHAnsi"/>
        </w:rPr>
      </w:pPr>
      <w:r w:rsidRPr="005C3F52">
        <w:rPr>
          <w:rFonts w:cstheme="minorHAnsi"/>
        </w:rPr>
        <w:t xml:space="preserve">Alongside this, the police will also use the National Decision Model to aid their discretion to ensure that their decisions are justifiable, proportionate, and necessary. However, the Independent Police Complaint Commission (2009) noted that the reports of crime and </w:t>
      </w:r>
      <w:r w:rsidRPr="005C3F52">
        <w:rPr>
          <w:rFonts w:cstheme="minorHAnsi"/>
          <w:bCs/>
        </w:rPr>
        <w:t>anti-social behaviour in Pilkington’s neighbourhood were not investigated correctly.</w:t>
      </w:r>
      <w:r w:rsidRPr="005C3F52">
        <w:rPr>
          <w:rFonts w:cstheme="minorHAnsi"/>
        </w:rPr>
        <w:t xml:space="preserve"> It is possible to argue that the National Decision Module was not applied correctly in the case of Fiona Pilkington, which affected effective and appropriate police action.</w:t>
      </w:r>
    </w:p>
    <w:p w14:paraId="263FC8F4" w14:textId="77777777" w:rsidR="005C3F52" w:rsidRPr="005C3F52" w:rsidRDefault="005C3F52" w:rsidP="005C3F52">
      <w:pPr>
        <w:spacing w:line="360" w:lineRule="auto"/>
        <w:rPr>
          <w:rFonts w:cstheme="minorHAnsi"/>
        </w:rPr>
      </w:pPr>
    </w:p>
    <w:p w14:paraId="780CF15C" w14:textId="77777777" w:rsidR="005C3F52" w:rsidRPr="005C3F52" w:rsidRDefault="005C3F52" w:rsidP="005C3F52">
      <w:pPr>
        <w:spacing w:line="360" w:lineRule="auto"/>
        <w:rPr>
          <w:rFonts w:cstheme="minorHAnsi"/>
        </w:rPr>
      </w:pPr>
      <w:r w:rsidRPr="005C3F52">
        <w:rPr>
          <w:rFonts w:cstheme="minorHAnsi"/>
        </w:rPr>
        <w:t xml:space="preserve">It is important to acknowledge how crime and anti-social behaviour can affect the trust between the community and the police. One example of how it can affect the trust between the police and the community is that crime goes unreported. According to the Crime Survey for England and Wales, there were nine million offences experienced by individuals over </w:t>
      </w:r>
      <w:r w:rsidRPr="005C3F52">
        <w:rPr>
          <w:rFonts w:cstheme="minorHAnsi"/>
        </w:rPr>
        <w:lastRenderedPageBreak/>
        <w:t>sixteen years of age in 2022. However, police recorded data suggests that there were 2.1 million offences committed in the same year (Office for National Statistics, 2023). The comparison between the police-recorded and independently collected data demonstrates that there is a disproportionate amount of crime that goes undocumented. There are multiple reasons why crime and anti-social behaviour goes unrecorded, including the individual’s perception of crime, fear, and lack of confidence in the police (</w:t>
      </w:r>
      <w:proofErr w:type="spellStart"/>
      <w:r w:rsidRPr="005C3F52">
        <w:rPr>
          <w:rFonts w:cstheme="minorHAnsi"/>
        </w:rPr>
        <w:t>Doorewaard</w:t>
      </w:r>
      <w:proofErr w:type="spellEnd"/>
      <w:r w:rsidRPr="005C3F52">
        <w:rPr>
          <w:rFonts w:cstheme="minorHAnsi"/>
        </w:rPr>
        <w:t xml:space="preserve">, 2014). Unrecorded crime can affect the police’s ability to accurately assess crime and anti-social </w:t>
      </w:r>
      <w:r w:rsidRPr="005C3F52">
        <w:rPr>
          <w:rFonts w:cstheme="minorHAnsi"/>
          <w:bCs/>
        </w:rPr>
        <w:t xml:space="preserve">behaviour within a community and allocate the correct resources to respond to it. </w:t>
      </w:r>
    </w:p>
    <w:p w14:paraId="23945A86" w14:textId="77777777" w:rsidR="005C3F52" w:rsidRPr="005C3F52" w:rsidRDefault="005C3F52" w:rsidP="005C3F52">
      <w:pPr>
        <w:spacing w:line="360" w:lineRule="auto"/>
        <w:rPr>
          <w:rFonts w:cstheme="minorHAnsi"/>
        </w:rPr>
      </w:pPr>
    </w:p>
    <w:p w14:paraId="0D618326" w14:textId="77777777" w:rsidR="005C3F52" w:rsidRPr="005C3F52" w:rsidRDefault="005C3F52" w:rsidP="005C3F52">
      <w:pPr>
        <w:spacing w:line="360" w:lineRule="auto"/>
        <w:rPr>
          <w:rFonts w:cstheme="minorHAnsi"/>
        </w:rPr>
      </w:pPr>
      <w:r w:rsidRPr="005C3F52">
        <w:rPr>
          <w:rFonts w:cstheme="minorHAnsi"/>
        </w:rPr>
        <w:t xml:space="preserve">A lack of confidence will affect the ability to police by consent accordingly as it is highly dependent on well-established community and police relationships. There were 81,142 complaints made against police during 2022/23, which is an increase from previous years (Independent Office for Police Conduct, 2023). Neighbourhood policing teams must ensure that issues that </w:t>
      </w:r>
      <w:r w:rsidRPr="005C3F52">
        <w:rPr>
          <w:rFonts w:cstheme="minorHAnsi"/>
          <w:bCs/>
        </w:rPr>
        <w:t>concern</w:t>
      </w:r>
      <w:r w:rsidRPr="005C3F52">
        <w:rPr>
          <w:rFonts w:cstheme="minorHAnsi"/>
        </w:rPr>
        <w:t xml:space="preserve"> the community are addressed promptly and appropriately to improve public perception of the police (Myhill </w:t>
      </w:r>
      <w:r w:rsidRPr="005C3F52">
        <w:rPr>
          <w:rFonts w:cstheme="minorHAnsi"/>
          <w:bCs/>
        </w:rPr>
        <w:t>&amp; Beak, 2008).</w:t>
      </w:r>
      <w:r w:rsidRPr="005C3F52">
        <w:rPr>
          <w:rFonts w:cstheme="minorHAnsi"/>
        </w:rPr>
        <w:t xml:space="preserve"> Ignorance of these problems will leave the community feeling unsatisfied and it increases the possibility of crime and anti-social behaviour continuing as seen in the case of Fiona Pilkington. </w:t>
      </w:r>
    </w:p>
    <w:p w14:paraId="70F112AE" w14:textId="77777777" w:rsidR="005C3F52" w:rsidRPr="005C3F52" w:rsidRDefault="005C3F52" w:rsidP="005C3F52">
      <w:pPr>
        <w:spacing w:line="360" w:lineRule="auto"/>
        <w:rPr>
          <w:rFonts w:cstheme="minorHAnsi"/>
        </w:rPr>
      </w:pPr>
    </w:p>
    <w:p w14:paraId="6B66A128" w14:textId="77777777" w:rsidR="005C3F52" w:rsidRPr="005C3F52" w:rsidRDefault="005C3F52" w:rsidP="005C3F52">
      <w:pPr>
        <w:spacing w:line="360" w:lineRule="auto"/>
        <w:rPr>
          <w:rFonts w:cstheme="minorHAnsi"/>
        </w:rPr>
      </w:pPr>
      <w:r w:rsidRPr="005C3F52">
        <w:rPr>
          <w:rFonts w:cstheme="minorHAnsi"/>
        </w:rPr>
        <w:t xml:space="preserve">Crime and anti-social behaviour can significantly impact the community’s willingness to comply with policing protocols if they are not adhered to correctly. The misuse of police powers can influence the public’s perception of the police when authority is used in a biased or ineffective manner. Failure to identify the vulnerability of Fiona Pilkington and her family led to an investigation conducted by the Independent Police Complaints Commission (2009) which scrutinised the Leicestershire Police </w:t>
      </w:r>
      <w:r w:rsidRPr="005C3F52">
        <w:rPr>
          <w:rFonts w:cstheme="minorHAnsi"/>
          <w:bCs/>
        </w:rPr>
        <w:t>Service’s decisions and made recommendations on how to address similar situations.</w:t>
      </w:r>
      <w:r w:rsidRPr="005C3F52">
        <w:rPr>
          <w:rFonts w:cstheme="minorHAnsi"/>
        </w:rPr>
        <w:t xml:space="preserve"> A lack of compliance can impact the ability to maintain and reduce crime and anti-social behaviour within a community. </w:t>
      </w:r>
    </w:p>
    <w:p w14:paraId="5B4176C9" w14:textId="77777777" w:rsidR="005C3F52" w:rsidRPr="005C3F52" w:rsidRDefault="005C3F52" w:rsidP="005C3F52">
      <w:pPr>
        <w:spacing w:line="360" w:lineRule="auto"/>
        <w:rPr>
          <w:rFonts w:cstheme="minorHAnsi"/>
        </w:rPr>
      </w:pPr>
    </w:p>
    <w:p w14:paraId="7976F593" w14:textId="77777777" w:rsidR="005C3F52" w:rsidRPr="005C3F52" w:rsidRDefault="005C3F52" w:rsidP="005C3F52">
      <w:pPr>
        <w:spacing w:line="360" w:lineRule="auto"/>
        <w:rPr>
          <w:rFonts w:cstheme="minorHAnsi"/>
        </w:rPr>
      </w:pPr>
      <w:r w:rsidRPr="005C3F52">
        <w:rPr>
          <w:rFonts w:cstheme="minorHAnsi"/>
        </w:rPr>
        <w:t xml:space="preserve">However, it is important to acknowledge not all issues should be dealt with by the police service. In the case of Fiona Pilkington, the issues that were reported should have been dealt with by the police and other agencies including the council, social services, and community support groups. The importance of multi-agency response provides a detailed assessment of the different impacts of crime and anti-social behaviour and allows agencies to establish an </w:t>
      </w:r>
      <w:r w:rsidRPr="005C3F52">
        <w:rPr>
          <w:rFonts w:cstheme="minorHAnsi"/>
        </w:rPr>
        <w:lastRenderedPageBreak/>
        <w:t xml:space="preserve">adequate solution (Matos et al., 2017).  The </w:t>
      </w:r>
      <w:r w:rsidRPr="005C3F52">
        <w:rPr>
          <w:rFonts w:cstheme="minorHAnsi"/>
          <w:i/>
        </w:rPr>
        <w:t>Crime and Disorder Act [1998]</w:t>
      </w:r>
      <w:r w:rsidRPr="005C3F52">
        <w:rPr>
          <w:rFonts w:cstheme="minorHAnsi"/>
        </w:rPr>
        <w:t xml:space="preserve"> has enabled multiple agencies to cooperate to reduce crime and anti-social behaviour. In addition to this, there are ‘Multi-agency Risk Assessment Conferences’ (MARAC), which are professional meetings that take place monthly to discuss information related to domestic violence and abuse (Waltham Forest, 2023). It is reported that MARACs have reduced repeat violent abuse by 60% and are a cost-effective method of responding to domestic </w:t>
      </w:r>
      <w:r w:rsidRPr="005C3F52">
        <w:rPr>
          <w:rFonts w:cstheme="minorHAnsi"/>
          <w:bCs/>
        </w:rPr>
        <w:t xml:space="preserve">violence (European Institute for Gender Equality, 2014). </w:t>
      </w:r>
      <w:r w:rsidRPr="005C3F52">
        <w:rPr>
          <w:rFonts w:cstheme="minorHAnsi"/>
        </w:rPr>
        <w:t xml:space="preserve">Moreover, the implementation of the </w:t>
      </w:r>
      <w:r w:rsidRPr="005C3F52">
        <w:rPr>
          <w:rFonts w:cstheme="minorHAnsi"/>
          <w:i/>
        </w:rPr>
        <w:t xml:space="preserve">Anti-social Behaviour, Crime and Policing Act [2014] </w:t>
      </w:r>
      <w:r w:rsidRPr="005C3F52">
        <w:rPr>
          <w:rFonts w:cstheme="minorHAnsi"/>
        </w:rPr>
        <w:t xml:space="preserve">has enabled </w:t>
      </w:r>
      <w:r w:rsidRPr="005C3F52">
        <w:rPr>
          <w:rFonts w:cstheme="minorHAnsi"/>
          <w:bCs/>
        </w:rPr>
        <w:t>‘Community Triggers’.</w:t>
      </w:r>
      <w:r w:rsidRPr="005C3F52">
        <w:rPr>
          <w:rFonts w:cstheme="minorHAnsi"/>
        </w:rPr>
        <w:t xml:space="preserve"> This is a multi-agency investigation that </w:t>
      </w:r>
      <w:r w:rsidRPr="005C3F52">
        <w:rPr>
          <w:rFonts w:cstheme="minorHAnsi"/>
          <w:bCs/>
        </w:rPr>
        <w:t>inspects</w:t>
      </w:r>
      <w:r w:rsidRPr="005C3F52">
        <w:rPr>
          <w:rFonts w:cstheme="minorHAnsi"/>
        </w:rPr>
        <w:t xml:space="preserve"> responses to individual cases of anti-social behaviour upon the request of its victim (Home Office, 2023). </w:t>
      </w:r>
      <w:r w:rsidRPr="005C3F52">
        <w:rPr>
          <w:rFonts w:cstheme="minorHAnsi"/>
          <w:bCs/>
        </w:rPr>
        <w:t xml:space="preserve">This is an effective method of acknowledging victims’ vulnerabilities and identifying the catalyst of anti-social behaviour within communities (College of Policing, 2022). </w:t>
      </w:r>
    </w:p>
    <w:p w14:paraId="63B81291" w14:textId="77777777" w:rsidR="005C3F52" w:rsidRPr="005C3F52" w:rsidRDefault="005C3F52" w:rsidP="005C3F52">
      <w:pPr>
        <w:spacing w:line="360" w:lineRule="auto"/>
        <w:rPr>
          <w:rFonts w:cstheme="minorHAnsi"/>
        </w:rPr>
      </w:pPr>
    </w:p>
    <w:p w14:paraId="27AD42C8" w14:textId="77777777" w:rsidR="005C3F52" w:rsidRPr="005C3F52" w:rsidRDefault="005C3F52" w:rsidP="005C3F52">
      <w:pPr>
        <w:spacing w:line="360" w:lineRule="auto"/>
        <w:rPr>
          <w:rFonts w:cstheme="minorHAnsi"/>
        </w:rPr>
      </w:pPr>
      <w:r w:rsidRPr="005C3F52">
        <w:rPr>
          <w:rFonts w:cstheme="minorHAnsi"/>
        </w:rPr>
        <w:t xml:space="preserve">As crime and anti-social behaviour has progressed, the demand for effective legislation to prevent and respond to community concerns has grown. There are multiple pieces of legislation dedicated to specific crimes in England and Wales, including the </w:t>
      </w:r>
      <w:r w:rsidRPr="005C3F52">
        <w:rPr>
          <w:rFonts w:cstheme="minorHAnsi"/>
          <w:i/>
        </w:rPr>
        <w:t xml:space="preserve">Theft Act [1968], </w:t>
      </w:r>
      <w:r w:rsidRPr="005C3F52">
        <w:rPr>
          <w:rFonts w:cstheme="minorHAnsi"/>
        </w:rPr>
        <w:t xml:space="preserve">the </w:t>
      </w:r>
      <w:r w:rsidRPr="005C3F52">
        <w:rPr>
          <w:rFonts w:cstheme="minorHAnsi"/>
          <w:i/>
        </w:rPr>
        <w:t>Misuse of Drugs Act [1971]</w:t>
      </w:r>
      <w:r w:rsidRPr="005C3F52">
        <w:rPr>
          <w:rFonts w:cstheme="minorHAnsi"/>
        </w:rPr>
        <w:t xml:space="preserve"> and the </w:t>
      </w:r>
      <w:r w:rsidRPr="005C3F52">
        <w:rPr>
          <w:rFonts w:cstheme="minorHAnsi"/>
          <w:i/>
        </w:rPr>
        <w:t>Offensive Weapons Act [2019].</w:t>
      </w:r>
      <w:r w:rsidRPr="005C3F52">
        <w:rPr>
          <w:rFonts w:cstheme="minorHAnsi"/>
        </w:rPr>
        <w:t xml:space="preserve"> In addition to this, the implementation of the </w:t>
      </w:r>
      <w:r w:rsidRPr="005C3F52">
        <w:rPr>
          <w:rFonts w:cstheme="minorHAnsi"/>
          <w:i/>
        </w:rPr>
        <w:t>Anti-social Behaviour, Crime and Policing Act [2014]</w:t>
      </w:r>
      <w:r w:rsidRPr="005C3F52">
        <w:rPr>
          <w:rFonts w:cstheme="minorHAnsi"/>
        </w:rPr>
        <w:t xml:space="preserve"> has provided a secure and definitive law to address anti-social behaviour. The Fiona Pilkington case has shaped legislation regarding anti-social behaviour, by providing information on prevention, </w:t>
      </w:r>
      <w:r w:rsidRPr="005C3F52">
        <w:rPr>
          <w:rFonts w:cstheme="minorHAnsi"/>
          <w:bCs/>
        </w:rPr>
        <w:t>response, and the disastrous effect it has on its victims (ASB Help, 2019).</w:t>
      </w:r>
      <w:r w:rsidRPr="005C3F52">
        <w:rPr>
          <w:rFonts w:cstheme="minorHAnsi"/>
        </w:rPr>
        <w:t xml:space="preserve"> Legislation must be created, enforced, and revised to prevent and respond accordingly to crime and anti-social behaviour. However, there have been numerous complications regarding the misuse of powers which has a significant impact on how the community perceives the police (HMICFRS, 2021). </w:t>
      </w:r>
    </w:p>
    <w:p w14:paraId="3CE7C108" w14:textId="77777777" w:rsidR="005C3F52" w:rsidRPr="005C3F52" w:rsidRDefault="005C3F52" w:rsidP="005C3F52">
      <w:pPr>
        <w:spacing w:line="360" w:lineRule="auto"/>
        <w:rPr>
          <w:rFonts w:cstheme="minorHAnsi"/>
          <w:bCs/>
        </w:rPr>
      </w:pPr>
    </w:p>
    <w:p w14:paraId="21E52999" w14:textId="77777777" w:rsidR="005C3F52" w:rsidRPr="005C3F52" w:rsidRDefault="005C3F52" w:rsidP="005C3F52">
      <w:pPr>
        <w:spacing w:line="360" w:lineRule="auto"/>
        <w:rPr>
          <w:rFonts w:cstheme="minorHAnsi"/>
          <w:bCs/>
        </w:rPr>
      </w:pPr>
      <w:r w:rsidRPr="005C3F52">
        <w:rPr>
          <w:rFonts w:cstheme="minorHAnsi"/>
          <w:bCs/>
        </w:rPr>
        <w:t xml:space="preserve">There are multiple methods of deterring crime and anti-social behaviour within modern-day society. The police have adapted their methods in compliance with evidence-based policing and a developing community. In addition to the ‘Problem-Oriented Policing’ and the ‘SARA’ module the use of ‘Hot-spot policing’ is frequently used across the United Kingdom. The use of this particular method is used to deter crime and anti-social behaviour by increasing police presence and allocating resources within an area with persistent occurrences of </w:t>
      </w:r>
      <w:r w:rsidRPr="005C3F52">
        <w:rPr>
          <w:rFonts w:cstheme="minorHAnsi"/>
          <w:bCs/>
        </w:rPr>
        <w:lastRenderedPageBreak/>
        <w:t xml:space="preserve">criminal activities (College of Policing, 2021). This method is moderately effective in reducing crime with evidence suggesting that there has been a 17% reduction (Gaffney et al., 2022). Increased police presence has improved the public’s perception of policing and preserves the quality of life (Braga, 2006). </w:t>
      </w:r>
    </w:p>
    <w:p w14:paraId="6F799651" w14:textId="77777777" w:rsidR="005C3F52" w:rsidRPr="005C3F52" w:rsidRDefault="005C3F52" w:rsidP="005C3F52">
      <w:pPr>
        <w:spacing w:line="360" w:lineRule="auto"/>
        <w:rPr>
          <w:rFonts w:cstheme="minorHAnsi"/>
          <w:bCs/>
        </w:rPr>
      </w:pPr>
    </w:p>
    <w:p w14:paraId="2688830F" w14:textId="77777777" w:rsidR="005C3F52" w:rsidRPr="005C3F52" w:rsidRDefault="005C3F52" w:rsidP="005C3F52">
      <w:pPr>
        <w:spacing w:line="360" w:lineRule="auto"/>
        <w:rPr>
          <w:rFonts w:cstheme="minorHAnsi"/>
          <w:bCs/>
        </w:rPr>
      </w:pPr>
      <w:r w:rsidRPr="005C3F52">
        <w:rPr>
          <w:rFonts w:cstheme="minorHAnsi"/>
          <w:bCs/>
        </w:rPr>
        <w:t xml:space="preserve">Implementing schemes that involve the community may contribute to preventing and providing adequate solutions to responding to crime and anti-social behaviour. For example, ‘Police and Communities Together’ meetings take place every month to allow the public to express their concerns regarding crime and anti-social behaviour within the local community (British Transport Police, no date). This enables the police to engage with the community and address these issues that the community are facing. In addition to this, integrating ‘Community Outreach Initiatives’ can prevent and respond to crime and anti-social behaviour effectively. Examples of this include educating the public, providing career workshops and social support groups. This can help reduce crime and anti-social behaviour by promoting communication, understanding, and collaboration between the police, partner agencies, and the community (College of Policing, 2013). </w:t>
      </w:r>
    </w:p>
    <w:p w14:paraId="5E18A400" w14:textId="77777777" w:rsidR="005C3F52" w:rsidRPr="005C3F52" w:rsidRDefault="005C3F52" w:rsidP="005C3F52">
      <w:pPr>
        <w:spacing w:line="360" w:lineRule="auto"/>
        <w:rPr>
          <w:rFonts w:cstheme="minorHAnsi"/>
          <w:bCs/>
        </w:rPr>
      </w:pPr>
    </w:p>
    <w:p w14:paraId="57BC0239" w14:textId="72586DC3" w:rsidR="005C3F52" w:rsidRPr="005C3F52" w:rsidRDefault="005C3F52" w:rsidP="005C3F52">
      <w:pPr>
        <w:spacing w:line="360" w:lineRule="auto"/>
        <w:rPr>
          <w:rFonts w:cstheme="minorHAnsi"/>
          <w:bCs/>
        </w:rPr>
      </w:pPr>
      <w:r w:rsidRPr="005C3F52">
        <w:rPr>
          <w:rFonts w:cstheme="minorHAnsi"/>
          <w:bCs/>
        </w:rPr>
        <w:t xml:space="preserve">In conclusion, crime and anti-social behaviour significantly impact local communities. The effects of crime and anti-social behaviour deteriorate social cohesion, which affects the police’s ability to respond and prevent it effectively (College of Policing, 2013). Community policing is a fundamental element of preserving life and maintaining order within a community. It has been proven that community policing contributes to improving public perception of crime and anti-social behaviour and strengthens the legitimacy of the police (Colover &amp; Quinton, 2018). However, the main obstacle facing community policing is poor public and policing relationships. The Pilkington case has emphasised the importance of effective police and partner agencies to prevent and respond to concerns regarding crime and anti-social behaviour. The introduction of ‘Multi-agency Public Protection Arrangements’ in 2001 has allowed police and other agencies to collectively prevent and respond to crime and anti-social behaviour within specific areas. Evidence demonstrates that ‘Multi-agency Public Protection Agreements’ have reduced violent and unregistered sexual offenders by 3% between 2000 and 2004 (HM Inspectorate of Probation, 2021). However, it is important to acknowledge that legislation and methods of deterring crime and anti-social behaviour </w:t>
      </w:r>
      <w:r w:rsidRPr="005C3F52">
        <w:rPr>
          <w:rFonts w:cstheme="minorHAnsi"/>
          <w:bCs/>
        </w:rPr>
        <w:lastRenderedPageBreak/>
        <w:t>are revised often to ensure effective community policing. Continuing to police accordingly with legislation and public consent will reduce crime and anti-social behaviour within local communities (College of Policing, 2013).  Although it is possible to deter crime and anti-social behaviour, the effect it has on victims is significant and it is difficult to determine the longevity of this (Dinisman and Moroz, 2017). Therefore, the importance of community policing, multi-agency methods, and support of the community is essential.</w:t>
      </w:r>
    </w:p>
    <w:p w14:paraId="121B5BAB" w14:textId="77777777" w:rsidR="008B2DBF" w:rsidRPr="005C3F52" w:rsidRDefault="008B2DBF" w:rsidP="00A25637">
      <w:pPr>
        <w:autoSpaceDE w:val="0"/>
        <w:autoSpaceDN w:val="0"/>
        <w:adjustRightInd w:val="0"/>
        <w:spacing w:before="100" w:after="100" w:line="360" w:lineRule="auto"/>
        <w:rPr>
          <w:rFonts w:cstheme="minorHAnsi"/>
          <w:bCs/>
        </w:rPr>
      </w:pPr>
    </w:p>
    <w:p w14:paraId="43E00425" w14:textId="77777777" w:rsidR="006D50A7" w:rsidRPr="001D1549" w:rsidRDefault="006D50A7" w:rsidP="00A25637">
      <w:pPr>
        <w:autoSpaceDE w:val="0"/>
        <w:autoSpaceDN w:val="0"/>
        <w:adjustRightInd w:val="0"/>
        <w:spacing w:before="100" w:after="100" w:line="360" w:lineRule="auto"/>
        <w:rPr>
          <w:rFonts w:cstheme="minorHAnsi"/>
          <w:b/>
        </w:rPr>
      </w:pPr>
    </w:p>
    <w:p w14:paraId="525AD0FD" w14:textId="77777777" w:rsidR="00A25637" w:rsidRPr="001D1549" w:rsidRDefault="00A25637" w:rsidP="00A25637">
      <w:pPr>
        <w:pStyle w:val="Heading1"/>
        <w:spacing w:line="360" w:lineRule="auto"/>
        <w:rPr>
          <w:rFonts w:asciiTheme="minorHAnsi" w:hAnsiTheme="minorHAnsi" w:cstheme="minorHAnsi"/>
          <w:sz w:val="24"/>
          <w:szCs w:val="24"/>
        </w:rPr>
      </w:pPr>
    </w:p>
    <w:p w14:paraId="6AABDB72" w14:textId="77777777" w:rsidR="00A25637" w:rsidRPr="001D1549" w:rsidRDefault="00A25637" w:rsidP="00A25637">
      <w:pPr>
        <w:pStyle w:val="Heading1"/>
        <w:spacing w:line="360" w:lineRule="auto"/>
        <w:rPr>
          <w:rFonts w:asciiTheme="minorHAnsi" w:hAnsiTheme="minorHAnsi" w:cstheme="minorHAnsi"/>
          <w:sz w:val="24"/>
          <w:szCs w:val="24"/>
        </w:rPr>
      </w:pPr>
    </w:p>
    <w:p w14:paraId="70081E7A" w14:textId="77777777" w:rsidR="00A25637" w:rsidRPr="001D1549" w:rsidRDefault="00A25637" w:rsidP="00A25637">
      <w:pPr>
        <w:pStyle w:val="Heading1"/>
        <w:spacing w:line="360" w:lineRule="auto"/>
        <w:rPr>
          <w:rFonts w:asciiTheme="minorHAnsi" w:hAnsiTheme="minorHAnsi" w:cstheme="minorHAnsi"/>
          <w:sz w:val="24"/>
          <w:szCs w:val="24"/>
        </w:rPr>
      </w:pPr>
    </w:p>
    <w:p w14:paraId="6CBFC9F2" w14:textId="77777777" w:rsidR="00A25637" w:rsidRPr="001D1549" w:rsidRDefault="00A25637" w:rsidP="00A25637">
      <w:pPr>
        <w:pStyle w:val="Heading1"/>
        <w:spacing w:line="360" w:lineRule="auto"/>
        <w:rPr>
          <w:rFonts w:asciiTheme="minorHAnsi" w:hAnsiTheme="minorHAnsi" w:cstheme="minorHAnsi"/>
          <w:sz w:val="24"/>
          <w:szCs w:val="24"/>
        </w:rPr>
      </w:pPr>
    </w:p>
    <w:p w14:paraId="65541E76" w14:textId="77777777" w:rsidR="001A766F" w:rsidRPr="001D1549" w:rsidRDefault="001A766F" w:rsidP="00A25637">
      <w:pPr>
        <w:pStyle w:val="Heading1"/>
        <w:rPr>
          <w:rFonts w:asciiTheme="minorHAnsi" w:hAnsiTheme="minorHAnsi" w:cstheme="minorHAnsi"/>
          <w:sz w:val="24"/>
          <w:szCs w:val="24"/>
        </w:rPr>
      </w:pPr>
    </w:p>
    <w:p w14:paraId="0CF67582" w14:textId="77777777" w:rsidR="001A766F" w:rsidRPr="001D1549" w:rsidRDefault="001A766F" w:rsidP="00A25637">
      <w:pPr>
        <w:pStyle w:val="Heading1"/>
        <w:rPr>
          <w:rFonts w:asciiTheme="minorHAnsi" w:hAnsiTheme="minorHAnsi" w:cstheme="minorHAnsi"/>
          <w:sz w:val="24"/>
          <w:szCs w:val="24"/>
        </w:rPr>
      </w:pPr>
    </w:p>
    <w:p w14:paraId="2C91BB68" w14:textId="77777777" w:rsidR="001A766F" w:rsidRPr="001D1549" w:rsidRDefault="001A766F" w:rsidP="00A25637">
      <w:pPr>
        <w:pStyle w:val="Heading1"/>
        <w:rPr>
          <w:rFonts w:asciiTheme="minorHAnsi" w:hAnsiTheme="minorHAnsi" w:cstheme="minorHAnsi"/>
          <w:sz w:val="24"/>
          <w:szCs w:val="24"/>
        </w:rPr>
      </w:pPr>
    </w:p>
    <w:p w14:paraId="42D34075" w14:textId="77777777" w:rsidR="001A766F" w:rsidRPr="001D1549" w:rsidRDefault="001A766F" w:rsidP="00A25637">
      <w:pPr>
        <w:pStyle w:val="Heading1"/>
        <w:rPr>
          <w:rFonts w:asciiTheme="minorHAnsi" w:hAnsiTheme="minorHAnsi" w:cstheme="minorHAnsi"/>
          <w:sz w:val="24"/>
          <w:szCs w:val="24"/>
        </w:rPr>
      </w:pPr>
    </w:p>
    <w:p w14:paraId="25FAD993" w14:textId="77777777" w:rsidR="001A766F" w:rsidRPr="001D1549" w:rsidRDefault="001A766F" w:rsidP="00A25637">
      <w:pPr>
        <w:pStyle w:val="Heading1"/>
        <w:rPr>
          <w:rFonts w:asciiTheme="minorHAnsi" w:hAnsiTheme="minorHAnsi" w:cstheme="minorHAnsi"/>
          <w:sz w:val="24"/>
          <w:szCs w:val="24"/>
        </w:rPr>
      </w:pPr>
    </w:p>
    <w:p w14:paraId="7821C8C6" w14:textId="77777777" w:rsidR="00D7700B" w:rsidRPr="001D1549" w:rsidRDefault="00D7700B" w:rsidP="00904DFF">
      <w:pPr>
        <w:pStyle w:val="Heading1"/>
        <w:rPr>
          <w:rFonts w:asciiTheme="minorHAnsi" w:hAnsiTheme="minorHAnsi" w:cstheme="minorHAnsi"/>
          <w:sz w:val="24"/>
          <w:szCs w:val="24"/>
        </w:rPr>
      </w:pPr>
    </w:p>
    <w:p w14:paraId="4B190C8E" w14:textId="77777777" w:rsidR="00904DFF" w:rsidRPr="001D1549" w:rsidRDefault="00904DFF" w:rsidP="00A25637">
      <w:pPr>
        <w:spacing w:line="360" w:lineRule="auto"/>
        <w:rPr>
          <w:rFonts w:cstheme="minorHAnsi"/>
          <w:color w:val="222222"/>
          <w:shd w:val="clear" w:color="auto" w:fill="FFFFFF"/>
        </w:rPr>
      </w:pPr>
    </w:p>
    <w:p w14:paraId="22867218" w14:textId="77777777" w:rsidR="00D7700B" w:rsidRPr="001D1549" w:rsidRDefault="00D7700B" w:rsidP="00A25637">
      <w:pPr>
        <w:spacing w:line="360" w:lineRule="auto"/>
        <w:rPr>
          <w:rFonts w:cstheme="minorHAnsi"/>
          <w:color w:val="222222"/>
          <w:shd w:val="clear" w:color="auto" w:fill="FFFFFF"/>
        </w:rPr>
      </w:pPr>
    </w:p>
    <w:p w14:paraId="49996FF6" w14:textId="77777777" w:rsidR="00D7700B" w:rsidRPr="001D1549" w:rsidRDefault="00D7700B" w:rsidP="00A25637">
      <w:pPr>
        <w:spacing w:line="360" w:lineRule="auto"/>
        <w:rPr>
          <w:rFonts w:cstheme="minorHAnsi"/>
          <w:color w:val="222222"/>
          <w:shd w:val="clear" w:color="auto" w:fill="FFFFFF"/>
        </w:rPr>
      </w:pPr>
    </w:p>
    <w:p w14:paraId="2012B5B6" w14:textId="77777777" w:rsidR="005C3F52" w:rsidRDefault="005C3F52" w:rsidP="00D7700B">
      <w:pPr>
        <w:pStyle w:val="Heading1"/>
      </w:pPr>
    </w:p>
    <w:p w14:paraId="72FB535A" w14:textId="77777777" w:rsidR="005C3F52" w:rsidRDefault="005C3F52" w:rsidP="00D7700B">
      <w:pPr>
        <w:pStyle w:val="Heading1"/>
      </w:pPr>
    </w:p>
    <w:p w14:paraId="1F95A58D" w14:textId="77777777" w:rsidR="005C3F52" w:rsidRDefault="005C3F52" w:rsidP="00D7700B">
      <w:pPr>
        <w:pStyle w:val="Heading1"/>
      </w:pPr>
    </w:p>
    <w:p w14:paraId="3517133A" w14:textId="6CFFB313" w:rsidR="005C3F52" w:rsidRDefault="005C3F52" w:rsidP="00A25637">
      <w:pPr>
        <w:spacing w:line="360" w:lineRule="auto"/>
        <w:rPr>
          <w:rFonts w:cstheme="minorHAnsi"/>
          <w:color w:val="222222"/>
          <w:shd w:val="clear" w:color="auto" w:fill="FFFFFF"/>
        </w:rPr>
      </w:pPr>
    </w:p>
    <w:p w14:paraId="70FA4B5C" w14:textId="77777777" w:rsidR="005C3F52" w:rsidRDefault="005C3F52" w:rsidP="00A25637">
      <w:pPr>
        <w:spacing w:line="360" w:lineRule="auto"/>
        <w:rPr>
          <w:rFonts w:cstheme="minorHAnsi"/>
          <w:color w:val="222222"/>
          <w:shd w:val="clear" w:color="auto" w:fill="FFFFFF"/>
        </w:rPr>
      </w:pPr>
    </w:p>
    <w:p w14:paraId="4D2A0BFF" w14:textId="77777777" w:rsidR="005C3F52" w:rsidRPr="001D1549" w:rsidRDefault="005C3F52" w:rsidP="005C3F52">
      <w:pPr>
        <w:pStyle w:val="Heading1"/>
      </w:pPr>
      <w:r w:rsidRPr="001D1549">
        <w:lastRenderedPageBreak/>
        <w:t xml:space="preserve">References: </w:t>
      </w:r>
    </w:p>
    <w:p w14:paraId="1E599040" w14:textId="77777777" w:rsidR="005C3F52" w:rsidRDefault="005C3F52" w:rsidP="00A25637">
      <w:pPr>
        <w:spacing w:line="360" w:lineRule="auto"/>
        <w:rPr>
          <w:rFonts w:cstheme="minorHAnsi"/>
          <w:color w:val="222222"/>
          <w:shd w:val="clear" w:color="auto" w:fill="FFFFFF"/>
        </w:rPr>
      </w:pPr>
    </w:p>
    <w:p w14:paraId="459C98D1" w14:textId="0864CEAE" w:rsidR="006917F3" w:rsidRPr="001D1549" w:rsidRDefault="005C3F52" w:rsidP="00A25637">
      <w:pPr>
        <w:spacing w:line="360" w:lineRule="auto"/>
        <w:rPr>
          <w:rFonts w:cstheme="minorHAnsi"/>
          <w:color w:val="222222"/>
          <w:shd w:val="clear" w:color="auto" w:fill="FFFFFF"/>
        </w:rPr>
      </w:pPr>
      <w:r>
        <w:rPr>
          <w:rFonts w:cstheme="minorHAnsi"/>
          <w:color w:val="222222"/>
          <w:shd w:val="clear" w:color="auto" w:fill="FFFFFF"/>
        </w:rPr>
        <w:t>A</w:t>
      </w:r>
      <w:r w:rsidR="006917F3" w:rsidRPr="001D1549">
        <w:rPr>
          <w:rFonts w:cstheme="minorHAnsi"/>
          <w:color w:val="222222"/>
          <w:shd w:val="clear" w:color="auto" w:fill="FFFFFF"/>
        </w:rPr>
        <w:t xml:space="preserve">SB Help (2019) </w:t>
      </w:r>
      <w:r w:rsidR="006917F3" w:rsidRPr="001D1549">
        <w:rPr>
          <w:rFonts w:cstheme="minorHAnsi"/>
          <w:i/>
          <w:iCs/>
          <w:color w:val="222222"/>
          <w:shd w:val="clear" w:color="auto" w:fill="FFFFFF"/>
        </w:rPr>
        <w:t xml:space="preserve">A Pilkington Malaise? Have We Really Learnt the Lessons for 2020? </w:t>
      </w:r>
      <w:r w:rsidR="006917F3" w:rsidRPr="001D1549">
        <w:rPr>
          <w:rFonts w:cstheme="minorHAnsi"/>
          <w:color w:val="222222"/>
          <w:shd w:val="clear" w:color="auto" w:fill="FFFFFF"/>
        </w:rPr>
        <w:t xml:space="preserve">Available at: </w:t>
      </w:r>
      <w:hyperlink r:id="rId5" w:history="1">
        <w:r w:rsidR="006917F3" w:rsidRPr="001D1549">
          <w:rPr>
            <w:rStyle w:val="Hyperlink"/>
            <w:rFonts w:cstheme="minorHAnsi"/>
            <w:shd w:val="clear" w:color="auto" w:fill="FFFFFF"/>
          </w:rPr>
          <w:t>https://asbhelp.co.uk/a-pilkington-malaise-have-we-really-learnt-the-lessons-for-2020/</w:t>
        </w:r>
      </w:hyperlink>
      <w:r w:rsidR="006917F3" w:rsidRPr="001D1549">
        <w:rPr>
          <w:rFonts w:cstheme="minorHAnsi"/>
          <w:color w:val="222222"/>
          <w:shd w:val="clear" w:color="auto" w:fill="FFFFFF"/>
        </w:rPr>
        <w:t xml:space="preserve"> (Accessed: 6 November 2023). </w:t>
      </w:r>
    </w:p>
    <w:p w14:paraId="152EBD43" w14:textId="77777777" w:rsidR="006917F3" w:rsidRPr="001D1549" w:rsidRDefault="006917F3" w:rsidP="00A25637">
      <w:pPr>
        <w:spacing w:line="360" w:lineRule="auto"/>
        <w:rPr>
          <w:rFonts w:cstheme="minorHAnsi"/>
          <w:color w:val="222222"/>
          <w:shd w:val="clear" w:color="auto" w:fill="FFFFFF"/>
        </w:rPr>
      </w:pPr>
    </w:p>
    <w:p w14:paraId="239F6CE8" w14:textId="77777777" w:rsidR="006917F3" w:rsidRPr="001D1549" w:rsidRDefault="006917F3" w:rsidP="00A25637">
      <w:pPr>
        <w:spacing w:line="360" w:lineRule="auto"/>
        <w:rPr>
          <w:rFonts w:cstheme="minorHAnsi"/>
        </w:rPr>
      </w:pPr>
      <w:r w:rsidRPr="001D1549">
        <w:rPr>
          <w:rFonts w:cstheme="minorHAnsi"/>
        </w:rPr>
        <w:t xml:space="preserve">Bennett, T. (1994) ‘Community Policing’, </w:t>
      </w:r>
      <w:r w:rsidRPr="001D1549">
        <w:rPr>
          <w:rFonts w:cstheme="minorHAnsi"/>
          <w:i/>
          <w:iCs/>
        </w:rPr>
        <w:t>Criminal Justice Matters,</w:t>
      </w:r>
      <w:r w:rsidRPr="001D1549">
        <w:rPr>
          <w:rFonts w:cstheme="minorHAnsi"/>
        </w:rPr>
        <w:t xml:space="preserve"> (Issue 17, September) Available at: </w:t>
      </w:r>
      <w:hyperlink r:id="rId6" w:history="1">
        <w:r w:rsidRPr="001D1549">
          <w:rPr>
            <w:rStyle w:val="Hyperlink"/>
            <w:rFonts w:cstheme="minorHAnsi"/>
          </w:rPr>
          <w:t>https://www.crimeandjustice.org.uk/sites/crimeandjustice.org.uk/files/09627259408552680.pdf</w:t>
        </w:r>
      </w:hyperlink>
      <w:r w:rsidRPr="001D1549">
        <w:rPr>
          <w:rFonts w:cstheme="minorHAnsi"/>
        </w:rPr>
        <w:t xml:space="preserve"> (Accessed: 24 October 2023). </w:t>
      </w:r>
    </w:p>
    <w:p w14:paraId="7CCE8285" w14:textId="77777777" w:rsidR="006917F3" w:rsidRPr="001D1549" w:rsidRDefault="006917F3" w:rsidP="00A25637">
      <w:pPr>
        <w:spacing w:line="360" w:lineRule="auto"/>
        <w:rPr>
          <w:rFonts w:cstheme="minorHAnsi"/>
        </w:rPr>
      </w:pPr>
    </w:p>
    <w:p w14:paraId="3621D819" w14:textId="77777777" w:rsidR="006917F3" w:rsidRPr="001D1549" w:rsidRDefault="006917F3" w:rsidP="00A25637">
      <w:pPr>
        <w:spacing w:line="360" w:lineRule="auto"/>
        <w:rPr>
          <w:rFonts w:cstheme="minorHAnsi"/>
          <w:i/>
          <w:iCs/>
          <w:shd w:val="clear" w:color="auto" w:fill="FFFFFF"/>
        </w:rPr>
      </w:pPr>
      <w:r w:rsidRPr="001D1549">
        <w:rPr>
          <w:rFonts w:cstheme="minorHAnsi"/>
          <w:shd w:val="clear" w:color="auto" w:fill="FFFFFF"/>
        </w:rPr>
        <w:t xml:space="preserve">Braga, A. (2006) ‘The crime prevention value of hot spots policing’, </w:t>
      </w:r>
      <w:r w:rsidRPr="001D1549">
        <w:rPr>
          <w:rFonts w:cstheme="minorHAnsi"/>
          <w:i/>
          <w:iCs/>
          <w:shd w:val="clear" w:color="auto" w:fill="FFFFFF"/>
        </w:rPr>
        <w:t xml:space="preserve">Psicothema, </w:t>
      </w:r>
      <w:r w:rsidRPr="001D1549">
        <w:rPr>
          <w:rFonts w:cstheme="minorHAnsi"/>
          <w:shd w:val="clear" w:color="auto" w:fill="FFFFFF"/>
        </w:rPr>
        <w:t xml:space="preserve">18(3), pp. 630-637. </w:t>
      </w:r>
      <w:r w:rsidRPr="001D1549">
        <w:rPr>
          <w:rFonts w:cstheme="minorHAnsi"/>
          <w:i/>
          <w:iCs/>
          <w:shd w:val="clear" w:color="auto" w:fill="FFFFFF"/>
        </w:rPr>
        <w:t xml:space="preserve"> </w:t>
      </w:r>
    </w:p>
    <w:p w14:paraId="4AE28F90" w14:textId="77777777" w:rsidR="006917F3" w:rsidRPr="001D1549" w:rsidRDefault="006917F3" w:rsidP="00A25637">
      <w:pPr>
        <w:spacing w:line="360" w:lineRule="auto"/>
        <w:rPr>
          <w:rFonts w:cstheme="minorHAnsi"/>
          <w:i/>
          <w:iCs/>
          <w:shd w:val="clear" w:color="auto" w:fill="FFFFFF"/>
        </w:rPr>
      </w:pPr>
    </w:p>
    <w:p w14:paraId="4B6C0C6D" w14:textId="77777777" w:rsidR="006917F3" w:rsidRPr="001D1549" w:rsidRDefault="006917F3" w:rsidP="00A25637">
      <w:pPr>
        <w:spacing w:line="360" w:lineRule="auto"/>
        <w:rPr>
          <w:rFonts w:cstheme="minorHAnsi"/>
        </w:rPr>
      </w:pPr>
      <w:r w:rsidRPr="001D1549">
        <w:rPr>
          <w:rFonts w:cstheme="minorHAnsi"/>
        </w:rPr>
        <w:t xml:space="preserve">Brandon, D. (2015) ‘The Use and Effectiveness of Problem-Oriented Policing’, </w:t>
      </w:r>
      <w:r w:rsidRPr="001D1549">
        <w:rPr>
          <w:rFonts w:cstheme="minorHAnsi"/>
          <w:i/>
          <w:iCs/>
        </w:rPr>
        <w:t>Inquiries Journal</w:t>
      </w:r>
      <w:r w:rsidRPr="001D1549">
        <w:rPr>
          <w:rFonts w:cstheme="minorHAnsi"/>
        </w:rPr>
        <w:t xml:space="preserve">, 7(4), pp. 1-2. Available at: </w:t>
      </w:r>
      <w:hyperlink r:id="rId7" w:history="1">
        <w:r w:rsidRPr="001D1549">
          <w:rPr>
            <w:rStyle w:val="Hyperlink"/>
            <w:rFonts w:cstheme="minorHAnsi"/>
          </w:rPr>
          <w:t>http://www.inquiriesjournal.com/articles/1028/2/the-use-and-effectiveness-of-problem-oriented-policing</w:t>
        </w:r>
      </w:hyperlink>
      <w:r w:rsidRPr="001D1549">
        <w:rPr>
          <w:rFonts w:cstheme="minorHAnsi"/>
        </w:rPr>
        <w:t xml:space="preserve"> </w:t>
      </w:r>
    </w:p>
    <w:p w14:paraId="67B85552" w14:textId="77777777" w:rsidR="006917F3" w:rsidRPr="001D1549" w:rsidRDefault="006917F3" w:rsidP="00A25637">
      <w:pPr>
        <w:spacing w:line="360" w:lineRule="auto"/>
        <w:rPr>
          <w:rFonts w:cstheme="minorHAnsi"/>
        </w:rPr>
      </w:pPr>
    </w:p>
    <w:p w14:paraId="0B25872B" w14:textId="77777777" w:rsidR="006917F3" w:rsidRPr="001D1549" w:rsidRDefault="006917F3" w:rsidP="00A25637">
      <w:pPr>
        <w:spacing w:line="360" w:lineRule="auto"/>
        <w:rPr>
          <w:rFonts w:cstheme="minorHAnsi"/>
          <w:shd w:val="clear" w:color="auto" w:fill="FFFFFF"/>
        </w:rPr>
      </w:pPr>
      <w:r w:rsidRPr="001D1549">
        <w:rPr>
          <w:rFonts w:cstheme="minorHAnsi"/>
          <w:shd w:val="clear" w:color="auto" w:fill="FFFFFF"/>
        </w:rPr>
        <w:t xml:space="preserve">British Transport Police (no date) </w:t>
      </w:r>
      <w:r w:rsidRPr="001D1549">
        <w:rPr>
          <w:rFonts w:cstheme="minorHAnsi"/>
          <w:i/>
          <w:iCs/>
          <w:shd w:val="clear" w:color="auto" w:fill="FFFFFF"/>
        </w:rPr>
        <w:t xml:space="preserve">PACT meetings. </w:t>
      </w:r>
      <w:r w:rsidRPr="001D1549">
        <w:rPr>
          <w:rFonts w:cstheme="minorHAnsi"/>
          <w:shd w:val="clear" w:color="auto" w:fill="FFFFFF"/>
        </w:rPr>
        <w:t xml:space="preserve">Available at: </w:t>
      </w:r>
      <w:hyperlink r:id="rId8" w:history="1">
        <w:r w:rsidRPr="001D1549">
          <w:rPr>
            <w:rStyle w:val="Hyperlink"/>
            <w:rFonts w:cstheme="minorHAnsi"/>
            <w:shd w:val="clear" w:color="auto" w:fill="FFFFFF"/>
          </w:rPr>
          <w:t>https://www.btp.police.uk/police-forces/british-transport-police/areas/about-us/about-us/in-the-community/pact-meetings/</w:t>
        </w:r>
      </w:hyperlink>
      <w:r w:rsidRPr="001D1549">
        <w:rPr>
          <w:rFonts w:cstheme="minorHAnsi"/>
          <w:color w:val="222222"/>
          <w:shd w:val="clear" w:color="auto" w:fill="FFFFFF"/>
        </w:rPr>
        <w:t xml:space="preserve"> </w:t>
      </w:r>
      <w:r w:rsidRPr="001D1549">
        <w:rPr>
          <w:rFonts w:cstheme="minorHAnsi"/>
          <w:shd w:val="clear" w:color="auto" w:fill="FFFFFF"/>
        </w:rPr>
        <w:t xml:space="preserve">(Accessed: 7 November 2023). </w:t>
      </w:r>
    </w:p>
    <w:p w14:paraId="23CB79EF" w14:textId="77777777" w:rsidR="006917F3" w:rsidRPr="001D1549" w:rsidRDefault="006917F3" w:rsidP="00A25637">
      <w:pPr>
        <w:spacing w:line="360" w:lineRule="auto"/>
        <w:rPr>
          <w:rFonts w:cstheme="minorHAnsi"/>
          <w:shd w:val="clear" w:color="auto" w:fill="FFFFFF"/>
        </w:rPr>
      </w:pPr>
    </w:p>
    <w:p w14:paraId="39BF40BB" w14:textId="77777777" w:rsidR="006917F3" w:rsidRPr="001D1549" w:rsidRDefault="006917F3" w:rsidP="00A25637">
      <w:pPr>
        <w:spacing w:line="360" w:lineRule="auto"/>
        <w:rPr>
          <w:rFonts w:cstheme="minorHAnsi"/>
          <w:shd w:val="clear" w:color="auto" w:fill="FFFFFF"/>
        </w:rPr>
      </w:pPr>
      <w:r w:rsidRPr="001D1549">
        <w:rPr>
          <w:rFonts w:cstheme="minorHAnsi"/>
        </w:rPr>
        <w:t xml:space="preserve">Burton, S. and McGregor, M. (2018) ‘Enhancing SARA: a new approach in an increasingly complex world’, </w:t>
      </w:r>
      <w:r w:rsidRPr="001D1549">
        <w:rPr>
          <w:rFonts w:cstheme="minorHAnsi"/>
          <w:i/>
          <w:iCs/>
        </w:rPr>
        <w:t xml:space="preserve">Crime Science, </w:t>
      </w:r>
      <w:r w:rsidRPr="001D1549">
        <w:rPr>
          <w:rFonts w:cstheme="minorHAnsi"/>
        </w:rPr>
        <w:t xml:space="preserve">7(1), pp. 1-5. Available at: </w:t>
      </w:r>
      <w:hyperlink r:id="rId9" w:history="1">
        <w:r w:rsidRPr="001D1549">
          <w:rPr>
            <w:rStyle w:val="Hyperlink"/>
            <w:rFonts w:cstheme="minorHAnsi"/>
            <w:shd w:val="clear" w:color="auto" w:fill="FFFFFF"/>
          </w:rPr>
          <w:t>https://doi.org/10.1186/s40163-018-0078-4</w:t>
        </w:r>
      </w:hyperlink>
      <w:r w:rsidRPr="001D1549">
        <w:rPr>
          <w:rFonts w:cstheme="minorHAnsi"/>
          <w:color w:val="3A3A3A"/>
          <w:shd w:val="clear" w:color="auto" w:fill="FFFFFF"/>
        </w:rPr>
        <w:t xml:space="preserve">. </w:t>
      </w:r>
      <w:r w:rsidRPr="001D1549">
        <w:rPr>
          <w:rFonts w:cstheme="minorHAnsi"/>
          <w:shd w:val="clear" w:color="auto" w:fill="FFFFFF"/>
        </w:rPr>
        <w:t xml:space="preserve">(Accessed: 30 October 2023). </w:t>
      </w:r>
    </w:p>
    <w:p w14:paraId="740B6602" w14:textId="77777777" w:rsidR="006917F3" w:rsidRPr="001D1549" w:rsidRDefault="006917F3" w:rsidP="00A25637">
      <w:pPr>
        <w:spacing w:line="360" w:lineRule="auto"/>
        <w:rPr>
          <w:rFonts w:cstheme="minorHAnsi"/>
          <w:shd w:val="clear" w:color="auto" w:fill="FFFFFF"/>
        </w:rPr>
      </w:pPr>
    </w:p>
    <w:p w14:paraId="7923240A" w14:textId="77777777" w:rsidR="006917F3" w:rsidRPr="001D1549" w:rsidRDefault="006917F3" w:rsidP="00A25637">
      <w:pPr>
        <w:spacing w:line="360" w:lineRule="auto"/>
        <w:rPr>
          <w:rFonts w:cstheme="minorHAnsi"/>
          <w:shd w:val="clear" w:color="auto" w:fill="FFFFFF"/>
        </w:rPr>
      </w:pPr>
      <w:r w:rsidRPr="001D1549">
        <w:rPr>
          <w:rFonts w:cstheme="minorHAnsi"/>
          <w:shd w:val="clear" w:color="auto" w:fill="FFFFFF"/>
        </w:rPr>
        <w:t xml:space="preserve">College of Policing (2013) </w:t>
      </w:r>
      <w:r w:rsidRPr="001D1549">
        <w:rPr>
          <w:rFonts w:cstheme="minorHAnsi"/>
          <w:i/>
          <w:iCs/>
          <w:shd w:val="clear" w:color="auto" w:fill="FFFFFF"/>
        </w:rPr>
        <w:t xml:space="preserve">Engagement. </w:t>
      </w:r>
      <w:r w:rsidRPr="001D1549">
        <w:rPr>
          <w:rFonts w:cstheme="minorHAnsi"/>
          <w:shd w:val="clear" w:color="auto" w:fill="FFFFFF"/>
        </w:rPr>
        <w:t xml:space="preserve">Available at: </w:t>
      </w:r>
      <w:hyperlink r:id="rId10" w:history="1">
        <w:r w:rsidRPr="001D1549">
          <w:rPr>
            <w:rStyle w:val="Hyperlink"/>
            <w:rFonts w:cstheme="minorHAnsi"/>
            <w:shd w:val="clear" w:color="auto" w:fill="FFFFFF"/>
          </w:rPr>
          <w:t>https://www.college.police.uk/app/engagement-and-communication/engagement</w:t>
        </w:r>
      </w:hyperlink>
      <w:r w:rsidRPr="001D1549">
        <w:rPr>
          <w:rFonts w:cstheme="minorHAnsi"/>
          <w:color w:val="222222"/>
          <w:shd w:val="clear" w:color="auto" w:fill="FFFFFF"/>
        </w:rPr>
        <w:t xml:space="preserve"> </w:t>
      </w:r>
      <w:r w:rsidRPr="001D1549">
        <w:rPr>
          <w:rFonts w:cstheme="minorHAnsi"/>
          <w:shd w:val="clear" w:color="auto" w:fill="FFFFFF"/>
        </w:rPr>
        <w:t>(Accessed: 7 November 2023).</w:t>
      </w:r>
    </w:p>
    <w:p w14:paraId="08941963" w14:textId="77777777" w:rsidR="006917F3" w:rsidRPr="001D1549" w:rsidRDefault="006917F3" w:rsidP="00A25637">
      <w:pPr>
        <w:spacing w:line="360" w:lineRule="auto"/>
        <w:rPr>
          <w:rFonts w:cstheme="minorHAnsi"/>
          <w:shd w:val="clear" w:color="auto" w:fill="FFFFFF"/>
        </w:rPr>
      </w:pPr>
    </w:p>
    <w:p w14:paraId="542A993B" w14:textId="77777777" w:rsidR="006917F3" w:rsidRPr="001D1549" w:rsidRDefault="006917F3" w:rsidP="00A25637">
      <w:pPr>
        <w:spacing w:line="360" w:lineRule="auto"/>
        <w:rPr>
          <w:rFonts w:cstheme="minorHAnsi"/>
          <w:shd w:val="clear" w:color="auto" w:fill="FFFFFF"/>
        </w:rPr>
      </w:pPr>
      <w:r w:rsidRPr="001D1549">
        <w:rPr>
          <w:rFonts w:cstheme="minorHAnsi"/>
          <w:shd w:val="clear" w:color="auto" w:fill="FFFFFF"/>
        </w:rPr>
        <w:lastRenderedPageBreak/>
        <w:t xml:space="preserve">College of Policing (2021) </w:t>
      </w:r>
      <w:r w:rsidRPr="001D1549">
        <w:rPr>
          <w:rFonts w:cstheme="minorHAnsi"/>
          <w:i/>
          <w:iCs/>
          <w:shd w:val="clear" w:color="auto" w:fill="FFFFFF"/>
        </w:rPr>
        <w:t xml:space="preserve">Hot spots policing. </w:t>
      </w:r>
      <w:r w:rsidRPr="001D1549">
        <w:rPr>
          <w:rFonts w:cstheme="minorHAnsi"/>
          <w:shd w:val="clear" w:color="auto" w:fill="FFFFFF"/>
        </w:rPr>
        <w:t xml:space="preserve">Available at: </w:t>
      </w:r>
      <w:hyperlink r:id="rId11" w:history="1">
        <w:r w:rsidRPr="001D1549">
          <w:rPr>
            <w:rStyle w:val="Hyperlink"/>
            <w:rFonts w:cstheme="minorHAnsi"/>
            <w:shd w:val="clear" w:color="auto" w:fill="FFFFFF"/>
          </w:rPr>
          <w:t>https://www.college.police.uk/research/crime-reduction-toolkit/hot-spots-policing</w:t>
        </w:r>
      </w:hyperlink>
      <w:r w:rsidRPr="001D1549">
        <w:rPr>
          <w:rFonts w:cstheme="minorHAnsi"/>
          <w:color w:val="222222"/>
          <w:shd w:val="clear" w:color="auto" w:fill="FFFFFF"/>
        </w:rPr>
        <w:t xml:space="preserve"> </w:t>
      </w:r>
      <w:r w:rsidRPr="001D1549">
        <w:rPr>
          <w:rFonts w:cstheme="minorHAnsi"/>
          <w:shd w:val="clear" w:color="auto" w:fill="FFFFFF"/>
        </w:rPr>
        <w:t xml:space="preserve">(Accessed: 7 November 2023). </w:t>
      </w:r>
    </w:p>
    <w:p w14:paraId="461F907B" w14:textId="77777777" w:rsidR="006917F3" w:rsidRPr="001D1549" w:rsidRDefault="006917F3" w:rsidP="00A25637">
      <w:pPr>
        <w:spacing w:line="360" w:lineRule="auto"/>
        <w:rPr>
          <w:rFonts w:cstheme="minorHAnsi"/>
          <w:shd w:val="clear" w:color="auto" w:fill="FFFFFF"/>
        </w:rPr>
      </w:pPr>
    </w:p>
    <w:p w14:paraId="0145412F" w14:textId="77777777" w:rsidR="006917F3" w:rsidRPr="001D1549" w:rsidRDefault="006917F3" w:rsidP="00A25637">
      <w:pPr>
        <w:spacing w:line="360" w:lineRule="auto"/>
        <w:rPr>
          <w:rFonts w:cstheme="minorHAnsi"/>
        </w:rPr>
      </w:pPr>
      <w:r w:rsidRPr="001D1549">
        <w:rPr>
          <w:rFonts w:cstheme="minorHAnsi"/>
        </w:rPr>
        <w:t xml:space="preserve">College of Policing (2022) </w:t>
      </w:r>
      <w:r w:rsidRPr="001D1549">
        <w:rPr>
          <w:rFonts w:cstheme="minorHAnsi"/>
          <w:i/>
          <w:iCs/>
        </w:rPr>
        <w:t xml:space="preserve">Problem-solving policing. </w:t>
      </w:r>
      <w:r w:rsidRPr="001D1549">
        <w:rPr>
          <w:rFonts w:cstheme="minorHAnsi"/>
        </w:rPr>
        <w:t xml:space="preserve">Available at: </w:t>
      </w:r>
      <w:hyperlink r:id="rId12" w:anchor=":~:text=The%20SARA%20model%20helps%20to,partners%20and%20communities%20experiencing%20problems" w:history="1">
        <w:r w:rsidRPr="001D1549">
          <w:rPr>
            <w:rStyle w:val="Hyperlink"/>
            <w:rFonts w:cstheme="minorHAnsi"/>
          </w:rPr>
          <w:t>https://www.college.police.uk/guidance/problem-solving-policing#:~:text=The%20SARA%20model%20helps%20to,partners%20and%20communities%20experiencing%20problems</w:t>
        </w:r>
      </w:hyperlink>
      <w:r w:rsidRPr="001D1549">
        <w:rPr>
          <w:rFonts w:cstheme="minorHAnsi"/>
        </w:rPr>
        <w:t xml:space="preserve">. (Accessed: 8 November 2023). </w:t>
      </w:r>
    </w:p>
    <w:p w14:paraId="63777EAE" w14:textId="77777777" w:rsidR="006917F3" w:rsidRPr="001D1549" w:rsidRDefault="006917F3" w:rsidP="00A25637">
      <w:pPr>
        <w:spacing w:line="360" w:lineRule="auto"/>
        <w:rPr>
          <w:rFonts w:cstheme="minorHAnsi"/>
        </w:rPr>
      </w:pPr>
    </w:p>
    <w:p w14:paraId="58E245E5" w14:textId="77777777" w:rsidR="006917F3" w:rsidRPr="001D1549" w:rsidRDefault="006917F3" w:rsidP="00A25637">
      <w:pPr>
        <w:spacing w:line="360" w:lineRule="auto"/>
        <w:rPr>
          <w:rFonts w:cstheme="minorHAnsi"/>
        </w:rPr>
      </w:pPr>
      <w:r w:rsidRPr="001D1549">
        <w:rPr>
          <w:rFonts w:cstheme="minorHAnsi"/>
        </w:rPr>
        <w:t xml:space="preserve">College of Policing (2022) </w:t>
      </w:r>
      <w:r w:rsidRPr="001D1549">
        <w:rPr>
          <w:rFonts w:cstheme="minorHAnsi"/>
          <w:i/>
          <w:iCs/>
        </w:rPr>
        <w:t xml:space="preserve">Using the anti-social behaviour (ASB) case review to address anti-social behaviour. </w:t>
      </w:r>
      <w:r w:rsidRPr="001D1549">
        <w:rPr>
          <w:rFonts w:cstheme="minorHAnsi"/>
        </w:rPr>
        <w:t xml:space="preserve">Available at: </w:t>
      </w:r>
      <w:hyperlink r:id="rId13" w:history="1">
        <w:r w:rsidRPr="001D1549">
          <w:rPr>
            <w:rStyle w:val="Hyperlink"/>
            <w:rFonts w:cstheme="minorHAnsi"/>
          </w:rPr>
          <w:t>https://www.college.police.uk/article/using-anti-social-behaviour-asb-case-review-address-anti-social-behaviour</w:t>
        </w:r>
      </w:hyperlink>
      <w:r w:rsidRPr="001D1549">
        <w:rPr>
          <w:rFonts w:cstheme="minorHAnsi"/>
        </w:rPr>
        <w:t xml:space="preserve"> (Accessed: 7 November 2023). </w:t>
      </w:r>
    </w:p>
    <w:p w14:paraId="17129387" w14:textId="77777777" w:rsidR="006917F3" w:rsidRPr="001D1549" w:rsidRDefault="006917F3" w:rsidP="00A25637">
      <w:pPr>
        <w:spacing w:line="360" w:lineRule="auto"/>
        <w:rPr>
          <w:rFonts w:cstheme="minorHAnsi"/>
        </w:rPr>
      </w:pPr>
    </w:p>
    <w:p w14:paraId="7BA04744" w14:textId="77777777" w:rsidR="006917F3" w:rsidRPr="001D1549" w:rsidRDefault="006917F3" w:rsidP="00A25637">
      <w:pPr>
        <w:spacing w:line="360" w:lineRule="auto"/>
        <w:rPr>
          <w:rFonts w:cstheme="minorHAnsi"/>
        </w:rPr>
      </w:pPr>
      <w:r w:rsidRPr="001D1549">
        <w:rPr>
          <w:rFonts w:cstheme="minorHAnsi"/>
        </w:rPr>
        <w:t xml:space="preserve">College of Policing (2023) </w:t>
      </w:r>
      <w:r w:rsidRPr="001D1549">
        <w:rPr>
          <w:rFonts w:cstheme="minorHAnsi"/>
          <w:i/>
          <w:iCs/>
        </w:rPr>
        <w:t xml:space="preserve">Anti-social behaviour. </w:t>
      </w:r>
      <w:r w:rsidRPr="001D1549">
        <w:rPr>
          <w:rFonts w:cstheme="minorHAnsi"/>
        </w:rPr>
        <w:t xml:space="preserve">Available at: </w:t>
      </w:r>
      <w:hyperlink r:id="rId14" w:history="1">
        <w:r w:rsidRPr="001D1549">
          <w:rPr>
            <w:rStyle w:val="Hyperlink"/>
            <w:rFonts w:cstheme="minorHAnsi"/>
          </w:rPr>
          <w:t>https://www.college.police.uk/anti-social-behaviour</w:t>
        </w:r>
      </w:hyperlink>
      <w:r w:rsidRPr="001D1549">
        <w:rPr>
          <w:rFonts w:cstheme="minorHAnsi"/>
        </w:rPr>
        <w:t xml:space="preserve"> (Accessed: 8 November 2023). </w:t>
      </w:r>
    </w:p>
    <w:p w14:paraId="5DE03A73" w14:textId="77777777" w:rsidR="006917F3" w:rsidRPr="001D1549" w:rsidRDefault="006917F3" w:rsidP="00A25637">
      <w:pPr>
        <w:spacing w:line="360" w:lineRule="auto"/>
        <w:rPr>
          <w:rFonts w:cstheme="minorHAnsi"/>
        </w:rPr>
      </w:pPr>
    </w:p>
    <w:p w14:paraId="4EDB08A5" w14:textId="77777777" w:rsidR="006917F3" w:rsidRPr="001D1549" w:rsidRDefault="006917F3" w:rsidP="00A25637">
      <w:pPr>
        <w:spacing w:line="360" w:lineRule="auto"/>
        <w:rPr>
          <w:rFonts w:cstheme="minorHAnsi"/>
        </w:rPr>
      </w:pPr>
      <w:r w:rsidRPr="001D1549">
        <w:rPr>
          <w:rFonts w:cstheme="minorHAnsi"/>
        </w:rPr>
        <w:t xml:space="preserve">College of Policing (2023) </w:t>
      </w:r>
      <w:r w:rsidRPr="001D1549">
        <w:rPr>
          <w:rFonts w:cstheme="minorHAnsi"/>
          <w:i/>
          <w:iCs/>
        </w:rPr>
        <w:t xml:space="preserve">Effective implementation of problem-oriented policing guidelines. </w:t>
      </w:r>
      <w:r w:rsidRPr="001D1549">
        <w:rPr>
          <w:rFonts w:cstheme="minorHAnsi"/>
        </w:rPr>
        <w:t xml:space="preserve">Available at: </w:t>
      </w:r>
      <w:hyperlink r:id="rId15" w:anchor=":~:text=Evidence%20shows%20that%20problem%2Dorientated,t%20used%20widely%20or%20consistently" w:history="1">
        <w:r w:rsidRPr="001D1549">
          <w:rPr>
            <w:rStyle w:val="Hyperlink"/>
            <w:rFonts w:cstheme="minorHAnsi"/>
          </w:rPr>
          <w:t>https://www.college.police.uk/article/effective-implementation-problem-oriented-policing-guidelines#:~:text=Evidence%20shows%20that%20problem%2Dorientated,t%20used%20widely%20or%20consistently</w:t>
        </w:r>
      </w:hyperlink>
      <w:r w:rsidRPr="001D1549">
        <w:rPr>
          <w:rFonts w:cstheme="minorHAnsi"/>
        </w:rPr>
        <w:t xml:space="preserve">. (Accessed: 30 October 2023). </w:t>
      </w:r>
    </w:p>
    <w:p w14:paraId="71ED2B9F" w14:textId="77777777" w:rsidR="006917F3" w:rsidRPr="001D1549" w:rsidRDefault="006917F3" w:rsidP="00A25637">
      <w:pPr>
        <w:spacing w:line="360" w:lineRule="auto"/>
        <w:rPr>
          <w:rFonts w:cstheme="minorHAnsi"/>
        </w:rPr>
      </w:pPr>
    </w:p>
    <w:p w14:paraId="43E76F0B" w14:textId="77777777" w:rsidR="006917F3" w:rsidRPr="001D1549" w:rsidRDefault="006917F3" w:rsidP="00A25637">
      <w:pPr>
        <w:spacing w:line="360" w:lineRule="auto"/>
        <w:rPr>
          <w:rFonts w:cstheme="minorHAnsi"/>
        </w:rPr>
      </w:pPr>
      <w:r w:rsidRPr="001D1549">
        <w:rPr>
          <w:rFonts w:cstheme="minorHAnsi"/>
        </w:rPr>
        <w:t xml:space="preserve">Colover, S. and Quinton, P. (2018) </w:t>
      </w:r>
      <w:r w:rsidRPr="001D1549">
        <w:rPr>
          <w:rFonts w:cstheme="minorHAnsi"/>
          <w:i/>
          <w:iCs/>
        </w:rPr>
        <w:t xml:space="preserve">Neighbourhood policing: impact and implementation. </w:t>
      </w:r>
      <w:r w:rsidRPr="001D1549">
        <w:rPr>
          <w:rFonts w:cstheme="minorHAnsi"/>
        </w:rPr>
        <w:t xml:space="preserve">College of Policing. Available at: </w:t>
      </w:r>
      <w:hyperlink r:id="rId16" w:history="1">
        <w:r w:rsidRPr="001D1549">
          <w:rPr>
            <w:rStyle w:val="Hyperlink"/>
            <w:rFonts w:cstheme="minorHAnsi"/>
          </w:rPr>
          <w:t>https://paas-s3-broker-prod-lon-6453d964-1d1a-432a-9260-5e0ba7d2fc51.s3.eu-west-2.amazonaws.com/s3fs-public/2021-02/np_rea_summary.pdf</w:t>
        </w:r>
      </w:hyperlink>
      <w:r w:rsidRPr="001D1549">
        <w:rPr>
          <w:rFonts w:cstheme="minorHAnsi"/>
        </w:rPr>
        <w:t xml:space="preserve"> (Accessed: 7 November 2023). </w:t>
      </w:r>
    </w:p>
    <w:p w14:paraId="0BB2AF55" w14:textId="77777777" w:rsidR="006917F3" w:rsidRPr="001D1549" w:rsidRDefault="006917F3" w:rsidP="00A25637">
      <w:pPr>
        <w:spacing w:line="360" w:lineRule="auto"/>
        <w:rPr>
          <w:rFonts w:cstheme="minorHAnsi"/>
        </w:rPr>
      </w:pPr>
    </w:p>
    <w:p w14:paraId="209BCF51" w14:textId="77777777" w:rsidR="006917F3" w:rsidRPr="001D1549" w:rsidRDefault="006917F3" w:rsidP="00A25637">
      <w:pPr>
        <w:spacing w:line="360" w:lineRule="auto"/>
        <w:rPr>
          <w:rFonts w:cstheme="minorHAnsi"/>
        </w:rPr>
      </w:pPr>
      <w:r w:rsidRPr="001D1549">
        <w:rPr>
          <w:rFonts w:cstheme="minorHAnsi"/>
        </w:rPr>
        <w:t xml:space="preserve">Crown Prosecution Service (2022) </w:t>
      </w:r>
      <w:r w:rsidRPr="001D1549">
        <w:rPr>
          <w:rFonts w:cstheme="minorHAnsi"/>
          <w:i/>
        </w:rPr>
        <w:t xml:space="preserve">Theft Act Offences. </w:t>
      </w:r>
      <w:r w:rsidRPr="001D1549">
        <w:rPr>
          <w:rFonts w:cstheme="minorHAnsi"/>
        </w:rPr>
        <w:t xml:space="preserve">Available at: </w:t>
      </w:r>
      <w:hyperlink r:id="rId17" w:anchor=":~:text=Burglary%20consists%20of,to%20inflict%20grievous%20bodily%20harm" w:history="1">
        <w:r w:rsidRPr="001D1549">
          <w:rPr>
            <w:rStyle w:val="Hyperlink"/>
            <w:rFonts w:cstheme="minorHAnsi"/>
          </w:rPr>
          <w:t>https://www.cps.gov.uk/legal-guidance/theft-act-offences#:~:text=Burglary%20consists%20of,to%20inflict%20grievous%20bodily%20harm</w:t>
        </w:r>
      </w:hyperlink>
      <w:r w:rsidRPr="001D1549">
        <w:rPr>
          <w:rFonts w:cstheme="minorHAnsi"/>
        </w:rPr>
        <w:t xml:space="preserve">. (Assessed: 23 October 2023). </w:t>
      </w:r>
    </w:p>
    <w:p w14:paraId="146D137F" w14:textId="77777777" w:rsidR="006917F3" w:rsidRPr="001D1549" w:rsidRDefault="006917F3" w:rsidP="00A25637">
      <w:pPr>
        <w:spacing w:line="360" w:lineRule="auto"/>
        <w:rPr>
          <w:rFonts w:cstheme="minorHAnsi"/>
        </w:rPr>
      </w:pPr>
      <w:r w:rsidRPr="001D1549">
        <w:rPr>
          <w:rFonts w:cstheme="minorHAnsi"/>
        </w:rPr>
        <w:lastRenderedPageBreak/>
        <w:t xml:space="preserve">Department of Justice (no date) </w:t>
      </w:r>
      <w:r w:rsidRPr="001D1549">
        <w:rPr>
          <w:rFonts w:cstheme="minorHAnsi"/>
          <w:i/>
          <w:iCs/>
        </w:rPr>
        <w:t xml:space="preserve">Importance of Police-Community Relationships and Resources for Further Reading. </w:t>
      </w:r>
      <w:r w:rsidRPr="001D1549">
        <w:rPr>
          <w:rFonts w:cstheme="minorHAnsi"/>
        </w:rPr>
        <w:t xml:space="preserve">Available at: </w:t>
      </w:r>
      <w:hyperlink r:id="rId18" w:history="1">
        <w:r w:rsidRPr="001D1549">
          <w:rPr>
            <w:rStyle w:val="Hyperlink"/>
            <w:rFonts w:cstheme="minorHAnsi"/>
          </w:rPr>
          <w:t>https://www.justice.gov/file/1437336/download</w:t>
        </w:r>
      </w:hyperlink>
      <w:r w:rsidRPr="001D1549">
        <w:rPr>
          <w:rFonts w:cstheme="minorHAnsi"/>
        </w:rPr>
        <w:t xml:space="preserve"> (Accessed: 1 November 2023). </w:t>
      </w:r>
    </w:p>
    <w:p w14:paraId="64FAF14A" w14:textId="77777777" w:rsidR="006917F3" w:rsidRPr="001D1549" w:rsidRDefault="006917F3" w:rsidP="00A25637">
      <w:pPr>
        <w:spacing w:line="360" w:lineRule="auto"/>
        <w:rPr>
          <w:rFonts w:cstheme="minorHAnsi"/>
        </w:rPr>
      </w:pPr>
    </w:p>
    <w:p w14:paraId="3791A409" w14:textId="2FBBA746" w:rsidR="006917F3" w:rsidRPr="001D1549" w:rsidRDefault="006917F3" w:rsidP="00A25637">
      <w:pPr>
        <w:spacing w:line="360" w:lineRule="auto"/>
        <w:rPr>
          <w:rFonts w:cstheme="minorHAnsi"/>
        </w:rPr>
      </w:pPr>
      <w:r w:rsidRPr="001D1549">
        <w:rPr>
          <w:rFonts w:cstheme="minorHAnsi"/>
        </w:rPr>
        <w:t xml:space="preserve">Dinisman, T. and Moroz, A. (2017) </w:t>
      </w:r>
      <w:r w:rsidRPr="001D1549">
        <w:rPr>
          <w:rFonts w:cstheme="minorHAnsi"/>
          <w:i/>
          <w:iCs/>
        </w:rPr>
        <w:t xml:space="preserve">Understanding victims of crime. </w:t>
      </w:r>
      <w:r w:rsidRPr="001D1549">
        <w:rPr>
          <w:rFonts w:cstheme="minorHAnsi"/>
        </w:rPr>
        <w:t xml:space="preserve">Victim Support. Available at: </w:t>
      </w:r>
      <w:hyperlink r:id="rId19" w:history="1">
        <w:r w:rsidRPr="001D1549">
          <w:rPr>
            <w:rStyle w:val="Hyperlink"/>
            <w:rFonts w:cstheme="minorHAnsi"/>
          </w:rPr>
          <w:t>https://www.victimsupport.org.uk/wp-content/uploads/documents/files/VS_Understanding%20victims%20of%20crime_web.pdf</w:t>
        </w:r>
      </w:hyperlink>
      <w:r w:rsidRPr="001D1549">
        <w:rPr>
          <w:rFonts w:cstheme="minorHAnsi"/>
        </w:rPr>
        <w:t xml:space="preserve"> (Accessed: 8 November 2023). </w:t>
      </w:r>
    </w:p>
    <w:p w14:paraId="5FECEBA8" w14:textId="77777777" w:rsidR="006917F3" w:rsidRPr="001D1549" w:rsidRDefault="006917F3" w:rsidP="00A25637">
      <w:pPr>
        <w:spacing w:line="360" w:lineRule="auto"/>
        <w:rPr>
          <w:rFonts w:cstheme="minorHAnsi"/>
        </w:rPr>
      </w:pPr>
    </w:p>
    <w:p w14:paraId="694ED03F" w14:textId="77777777" w:rsidR="006917F3" w:rsidRPr="001D1549" w:rsidRDefault="006917F3" w:rsidP="00A25637">
      <w:pPr>
        <w:spacing w:line="360" w:lineRule="auto"/>
        <w:rPr>
          <w:rFonts w:cstheme="minorHAnsi"/>
        </w:rPr>
      </w:pPr>
      <w:proofErr w:type="spellStart"/>
      <w:r w:rsidRPr="001D1549">
        <w:rPr>
          <w:rFonts w:cstheme="minorHAnsi"/>
        </w:rPr>
        <w:t>Doorewaard</w:t>
      </w:r>
      <w:proofErr w:type="spellEnd"/>
      <w:r w:rsidRPr="001D1549">
        <w:rPr>
          <w:rFonts w:cstheme="minorHAnsi"/>
        </w:rPr>
        <w:t xml:space="preserve">, C. (2014) ‘The Dark Figure of Crime and Its Impact on the Criminal Justice System’, </w:t>
      </w:r>
      <w:r w:rsidRPr="001D1549">
        <w:rPr>
          <w:rFonts w:cstheme="minorHAnsi"/>
          <w:i/>
          <w:iCs/>
        </w:rPr>
        <w:t xml:space="preserve">Acta Criminologica: African Journal of Criminology and Victimology, </w:t>
      </w:r>
      <w:r w:rsidRPr="001D1549">
        <w:rPr>
          <w:rFonts w:cstheme="minorHAnsi"/>
        </w:rPr>
        <w:t xml:space="preserve">27(2), pp.1-13. </w:t>
      </w:r>
    </w:p>
    <w:p w14:paraId="07987D2E" w14:textId="77777777" w:rsidR="006917F3" w:rsidRPr="001D1549" w:rsidRDefault="006917F3" w:rsidP="00A25637">
      <w:pPr>
        <w:spacing w:line="360" w:lineRule="auto"/>
        <w:rPr>
          <w:rFonts w:cstheme="minorHAnsi"/>
        </w:rPr>
      </w:pPr>
    </w:p>
    <w:p w14:paraId="0F97FF12" w14:textId="77777777" w:rsidR="006917F3" w:rsidRPr="001D1549" w:rsidRDefault="006917F3" w:rsidP="00A25637">
      <w:pPr>
        <w:spacing w:line="360" w:lineRule="auto"/>
        <w:rPr>
          <w:rFonts w:cstheme="minorHAnsi"/>
          <w:shd w:val="clear" w:color="auto" w:fill="FFFFFF"/>
        </w:rPr>
      </w:pPr>
      <w:r w:rsidRPr="001D1549">
        <w:rPr>
          <w:rFonts w:cstheme="minorHAnsi"/>
          <w:shd w:val="clear" w:color="auto" w:fill="FFFFFF"/>
        </w:rPr>
        <w:t xml:space="preserve">European Institute for Gender Equality (2014) </w:t>
      </w:r>
      <w:r w:rsidRPr="001D1549">
        <w:rPr>
          <w:rFonts w:cstheme="minorHAnsi"/>
          <w:i/>
          <w:iCs/>
          <w:shd w:val="clear" w:color="auto" w:fill="FFFFFF"/>
        </w:rPr>
        <w:t xml:space="preserve">Effective co-ordination between local agencies cuts repeat domestic abuse by 60%. </w:t>
      </w:r>
      <w:r w:rsidRPr="001D1549">
        <w:rPr>
          <w:rFonts w:cstheme="minorHAnsi"/>
          <w:shd w:val="clear" w:color="auto" w:fill="FFFFFF"/>
        </w:rPr>
        <w:t xml:space="preserve">Available at: </w:t>
      </w:r>
      <w:hyperlink r:id="rId20" w:history="1">
        <w:r w:rsidRPr="001D1549">
          <w:rPr>
            <w:rStyle w:val="Hyperlink"/>
            <w:rFonts w:cstheme="minorHAnsi"/>
            <w:shd w:val="clear" w:color="auto" w:fill="FFFFFF"/>
          </w:rPr>
          <w:t>https://eige.europa.eu/sites/default/files/documents/multi-agency_risk_assessment_conferences_marac_-_support_services_-_uk.pdf</w:t>
        </w:r>
      </w:hyperlink>
      <w:r w:rsidRPr="001D1549">
        <w:rPr>
          <w:rFonts w:cstheme="minorHAnsi"/>
          <w:color w:val="222222"/>
          <w:shd w:val="clear" w:color="auto" w:fill="FFFFFF"/>
        </w:rPr>
        <w:t xml:space="preserve"> (</w:t>
      </w:r>
      <w:r w:rsidRPr="001D1549">
        <w:rPr>
          <w:rFonts w:cstheme="minorHAnsi"/>
          <w:shd w:val="clear" w:color="auto" w:fill="FFFFFF"/>
        </w:rPr>
        <w:t xml:space="preserve">Accessed: 6 November 2023). </w:t>
      </w:r>
    </w:p>
    <w:p w14:paraId="29E4A7AB" w14:textId="77777777" w:rsidR="006917F3" w:rsidRPr="001D1549" w:rsidRDefault="006917F3" w:rsidP="00A25637">
      <w:pPr>
        <w:spacing w:line="360" w:lineRule="auto"/>
        <w:rPr>
          <w:rFonts w:cstheme="minorHAnsi"/>
          <w:shd w:val="clear" w:color="auto" w:fill="FFFFFF"/>
        </w:rPr>
      </w:pPr>
    </w:p>
    <w:p w14:paraId="55210485" w14:textId="77777777" w:rsidR="006917F3" w:rsidRPr="001D1549" w:rsidRDefault="006917F3" w:rsidP="00A25637">
      <w:pPr>
        <w:spacing w:line="360" w:lineRule="auto"/>
        <w:rPr>
          <w:rFonts w:cstheme="minorHAnsi"/>
          <w:shd w:val="clear" w:color="auto" w:fill="FFFFFF"/>
        </w:rPr>
      </w:pPr>
      <w:r w:rsidRPr="001D1549">
        <w:rPr>
          <w:rFonts w:cstheme="minorHAnsi"/>
          <w:shd w:val="clear" w:color="auto" w:fill="FFFFFF"/>
        </w:rPr>
        <w:t xml:space="preserve">Gaffney, H., Jolliffe, D. and White, H. (2022) </w:t>
      </w:r>
      <w:r w:rsidRPr="001D1549">
        <w:rPr>
          <w:rFonts w:cstheme="minorHAnsi"/>
          <w:i/>
          <w:iCs/>
          <w:shd w:val="clear" w:color="auto" w:fill="FFFFFF"/>
        </w:rPr>
        <w:t xml:space="preserve">Hot Spot Policing. </w:t>
      </w:r>
      <w:r w:rsidRPr="001D1549">
        <w:rPr>
          <w:rFonts w:cstheme="minorHAnsi"/>
          <w:shd w:val="clear" w:color="auto" w:fill="FFFFFF"/>
        </w:rPr>
        <w:t xml:space="preserve">Youth Endowment Fund. Available at: </w:t>
      </w:r>
      <w:hyperlink r:id="rId21" w:history="1">
        <w:r w:rsidRPr="001D1549">
          <w:rPr>
            <w:rStyle w:val="Hyperlink"/>
            <w:rFonts w:cstheme="minorHAnsi"/>
            <w:shd w:val="clear" w:color="auto" w:fill="FFFFFF"/>
          </w:rPr>
          <w:t>https://youthendowmentfund.org.uk/wp-content/uploads/2022/07/YEF-Hot-Spots-Policing-Technical-Report_Final_July-2022.pdf</w:t>
        </w:r>
      </w:hyperlink>
      <w:r w:rsidRPr="001D1549">
        <w:rPr>
          <w:rFonts w:cstheme="minorHAnsi"/>
          <w:color w:val="222222"/>
          <w:shd w:val="clear" w:color="auto" w:fill="FFFFFF"/>
        </w:rPr>
        <w:t xml:space="preserve">  </w:t>
      </w:r>
      <w:r w:rsidRPr="001D1549">
        <w:rPr>
          <w:rFonts w:cstheme="minorHAnsi"/>
          <w:shd w:val="clear" w:color="auto" w:fill="FFFFFF"/>
        </w:rPr>
        <w:t xml:space="preserve">(Accessed: 7 November 2023). </w:t>
      </w:r>
    </w:p>
    <w:p w14:paraId="7925057F" w14:textId="77777777" w:rsidR="006917F3" w:rsidRPr="001D1549" w:rsidRDefault="006917F3" w:rsidP="00A25637">
      <w:pPr>
        <w:spacing w:line="360" w:lineRule="auto"/>
        <w:rPr>
          <w:rFonts w:cstheme="minorHAnsi"/>
          <w:shd w:val="clear" w:color="auto" w:fill="FFFFFF"/>
        </w:rPr>
      </w:pPr>
    </w:p>
    <w:p w14:paraId="6EB737E2" w14:textId="77777777" w:rsidR="006917F3" w:rsidRPr="001D1549" w:rsidRDefault="006917F3" w:rsidP="00A25637">
      <w:pPr>
        <w:spacing w:line="360" w:lineRule="auto"/>
        <w:rPr>
          <w:rFonts w:cstheme="minorHAnsi"/>
        </w:rPr>
      </w:pPr>
      <w:r w:rsidRPr="001D1549">
        <w:rPr>
          <w:rFonts w:cstheme="minorHAnsi"/>
        </w:rPr>
        <w:t xml:space="preserve">Goldstein, H. (1979) ‘Improving Policing: A Problem-Oriented Approach’, </w:t>
      </w:r>
      <w:r w:rsidRPr="001D1549">
        <w:rPr>
          <w:rFonts w:cstheme="minorHAnsi"/>
          <w:i/>
          <w:iCs/>
        </w:rPr>
        <w:t xml:space="preserve">Crime &amp; Delinquency, </w:t>
      </w:r>
      <w:r w:rsidRPr="001D1549">
        <w:rPr>
          <w:rFonts w:cstheme="minorHAnsi"/>
        </w:rPr>
        <w:t xml:space="preserve">25(2), pp. 236-25. </w:t>
      </w:r>
    </w:p>
    <w:p w14:paraId="60E5FBDC" w14:textId="77777777" w:rsidR="006917F3" w:rsidRPr="001D1549" w:rsidRDefault="006917F3" w:rsidP="00A25637">
      <w:pPr>
        <w:spacing w:line="360" w:lineRule="auto"/>
        <w:rPr>
          <w:rFonts w:cstheme="minorHAnsi"/>
        </w:rPr>
      </w:pPr>
    </w:p>
    <w:p w14:paraId="05E7C394" w14:textId="77777777" w:rsidR="006917F3" w:rsidRPr="001D1549" w:rsidRDefault="006917F3" w:rsidP="00A25637">
      <w:pPr>
        <w:spacing w:line="360" w:lineRule="auto"/>
        <w:rPr>
          <w:rFonts w:cstheme="minorHAnsi"/>
          <w:shd w:val="clear" w:color="auto" w:fill="FFFFFF"/>
        </w:rPr>
      </w:pPr>
      <w:r w:rsidRPr="001D1549">
        <w:rPr>
          <w:rFonts w:cstheme="minorHAnsi"/>
          <w:shd w:val="clear" w:color="auto" w:fill="FFFFFF"/>
        </w:rPr>
        <w:t xml:space="preserve">Government UK (2012) </w:t>
      </w:r>
      <w:r w:rsidRPr="001D1549">
        <w:rPr>
          <w:rFonts w:cstheme="minorHAnsi"/>
          <w:i/>
          <w:iCs/>
          <w:shd w:val="clear" w:color="auto" w:fill="FFFFFF"/>
        </w:rPr>
        <w:t xml:space="preserve">Definition of policing by consent. </w:t>
      </w:r>
      <w:r w:rsidRPr="001D1549">
        <w:rPr>
          <w:rFonts w:cstheme="minorHAnsi"/>
          <w:shd w:val="clear" w:color="auto" w:fill="FFFFFF"/>
        </w:rPr>
        <w:t xml:space="preserve">Available at: </w:t>
      </w:r>
      <w:hyperlink r:id="rId22" w:history="1">
        <w:r w:rsidRPr="001D1549">
          <w:rPr>
            <w:rStyle w:val="Hyperlink"/>
            <w:rFonts w:cstheme="minorHAnsi"/>
            <w:shd w:val="clear" w:color="auto" w:fill="FFFFFF"/>
          </w:rPr>
          <w:t>https://www.gov.uk/government/publications/policing-by-consent/definition-of-policing-by-consent</w:t>
        </w:r>
      </w:hyperlink>
      <w:r w:rsidRPr="001D1549">
        <w:rPr>
          <w:rFonts w:cstheme="minorHAnsi"/>
          <w:shd w:val="clear" w:color="auto" w:fill="FFFFFF"/>
        </w:rPr>
        <w:t xml:space="preserve"> (Accessed: 30 October 2023). </w:t>
      </w:r>
    </w:p>
    <w:p w14:paraId="6CCCDDF7" w14:textId="77777777" w:rsidR="006917F3" w:rsidRPr="001D1549" w:rsidRDefault="006917F3" w:rsidP="00A25637">
      <w:pPr>
        <w:spacing w:line="360" w:lineRule="auto"/>
        <w:rPr>
          <w:rFonts w:cstheme="minorHAnsi"/>
          <w:shd w:val="clear" w:color="auto" w:fill="FFFFFF"/>
        </w:rPr>
      </w:pPr>
    </w:p>
    <w:p w14:paraId="2746BC97" w14:textId="77777777" w:rsidR="006917F3" w:rsidRPr="001D1549" w:rsidRDefault="006917F3" w:rsidP="00A25637">
      <w:pPr>
        <w:spacing w:line="360" w:lineRule="auto"/>
        <w:rPr>
          <w:rFonts w:cstheme="minorHAnsi"/>
        </w:rPr>
      </w:pPr>
      <w:r w:rsidRPr="001D1549">
        <w:rPr>
          <w:rFonts w:cstheme="minorHAnsi"/>
        </w:rPr>
        <w:t xml:space="preserve">Government UK (2013) </w:t>
      </w:r>
      <w:r w:rsidRPr="001D1549">
        <w:rPr>
          <w:rFonts w:cstheme="minorHAnsi"/>
          <w:i/>
          <w:iCs/>
        </w:rPr>
        <w:t>Police and Criminal Evidence Act 1984 (PACE) codes of practice.</w:t>
      </w:r>
      <w:r w:rsidRPr="001D1549">
        <w:rPr>
          <w:rFonts w:cstheme="minorHAnsi"/>
        </w:rPr>
        <w:t xml:space="preserve"> Available at: </w:t>
      </w:r>
      <w:hyperlink r:id="rId23" w:history="1">
        <w:r w:rsidRPr="001D1549">
          <w:rPr>
            <w:rStyle w:val="Hyperlink"/>
            <w:rFonts w:cstheme="minorHAnsi"/>
          </w:rPr>
          <w:t>https://www.gov.uk/guidance/police-and-criminal-evidence-act-1984-pace-codes-of-practice</w:t>
        </w:r>
      </w:hyperlink>
      <w:r w:rsidRPr="001D1549">
        <w:rPr>
          <w:rFonts w:cstheme="minorHAnsi"/>
        </w:rPr>
        <w:t xml:space="preserve"> (Accessed: 30 October 2023). </w:t>
      </w:r>
    </w:p>
    <w:p w14:paraId="5FBDACB1" w14:textId="77777777" w:rsidR="006917F3" w:rsidRPr="001D1549" w:rsidRDefault="006917F3" w:rsidP="00A25637">
      <w:pPr>
        <w:spacing w:line="360" w:lineRule="auto"/>
        <w:rPr>
          <w:rFonts w:cstheme="minorHAnsi"/>
        </w:rPr>
      </w:pPr>
      <w:r w:rsidRPr="001D1549">
        <w:rPr>
          <w:rFonts w:cstheme="minorHAnsi"/>
        </w:rPr>
        <w:lastRenderedPageBreak/>
        <w:t xml:space="preserve">Hampshire Safeguarding Adult Board (2009) </w:t>
      </w:r>
      <w:r w:rsidRPr="001D1549">
        <w:rPr>
          <w:rFonts w:cstheme="minorHAnsi"/>
          <w:i/>
        </w:rPr>
        <w:t xml:space="preserve">Fiona Pilkington (Leicestershire). </w:t>
      </w:r>
      <w:r w:rsidRPr="001D1549">
        <w:rPr>
          <w:rFonts w:cstheme="minorHAnsi"/>
        </w:rPr>
        <w:t xml:space="preserve">Available at: </w:t>
      </w:r>
      <w:hyperlink r:id="rId24" w:history="1">
        <w:r w:rsidRPr="001D1549">
          <w:rPr>
            <w:rStyle w:val="Hyperlink"/>
            <w:rFonts w:cstheme="minorHAnsi"/>
          </w:rPr>
          <w:t>https://www.hampshiresab.org.uk/learning-from-experience-database/serious-case-reviews/theme/anti-social-behaviour/</w:t>
        </w:r>
      </w:hyperlink>
      <w:r w:rsidRPr="001D1549">
        <w:rPr>
          <w:rFonts w:cstheme="minorHAnsi"/>
        </w:rPr>
        <w:t xml:space="preserve"> (Assessed: 24 October 2023). </w:t>
      </w:r>
    </w:p>
    <w:p w14:paraId="7557DB05" w14:textId="77777777" w:rsidR="006917F3" w:rsidRPr="001D1549" w:rsidRDefault="006917F3" w:rsidP="00A25637">
      <w:pPr>
        <w:spacing w:line="360" w:lineRule="auto"/>
        <w:rPr>
          <w:rFonts w:cstheme="minorHAnsi"/>
        </w:rPr>
      </w:pPr>
    </w:p>
    <w:p w14:paraId="0A96F937" w14:textId="77777777" w:rsidR="006917F3" w:rsidRPr="001D1549" w:rsidRDefault="006917F3" w:rsidP="00A25637">
      <w:pPr>
        <w:spacing w:line="360" w:lineRule="auto"/>
        <w:rPr>
          <w:rFonts w:cstheme="minorHAnsi"/>
        </w:rPr>
      </w:pPr>
      <w:r w:rsidRPr="001D1549">
        <w:rPr>
          <w:rFonts w:cstheme="minorHAnsi"/>
        </w:rPr>
        <w:t xml:space="preserve">Hanway, P. and Hambly, O. (2023) </w:t>
      </w:r>
      <w:r w:rsidRPr="001D1549">
        <w:rPr>
          <w:rFonts w:cstheme="minorHAnsi"/>
          <w:i/>
          <w:iCs/>
        </w:rPr>
        <w:t xml:space="preserve">Public perceptions of policing: A review of research and literature. </w:t>
      </w:r>
      <w:r w:rsidRPr="001D1549">
        <w:rPr>
          <w:rFonts w:cstheme="minorHAnsi"/>
        </w:rPr>
        <w:t xml:space="preserve">Home Office. Available at: </w:t>
      </w:r>
      <w:hyperlink r:id="rId25" w:anchor=":~:text=These%20findings%20suggest%20that%2C%20when,can%20help%20build%20community%20cohesion" w:history="1">
        <w:r w:rsidRPr="001D1549">
          <w:rPr>
            <w:rStyle w:val="Hyperlink"/>
            <w:rFonts w:cstheme="minorHAnsi"/>
          </w:rPr>
          <w:t>https://www.gov.uk/government/publications/public-perceptions-of-policing-a-review-of-research-and-literature/public-perceptions-of-policing-a-review-of-research-and-literature#:~:text=These%20findings%20suggest%20that%2C%20when,can%20help%20build%20community%20cohesion</w:t>
        </w:r>
      </w:hyperlink>
      <w:r w:rsidRPr="001D1549">
        <w:rPr>
          <w:rFonts w:cstheme="minorHAnsi"/>
        </w:rPr>
        <w:t xml:space="preserve">. (Accessed: 2 November 2023). </w:t>
      </w:r>
    </w:p>
    <w:p w14:paraId="369D149F" w14:textId="77777777" w:rsidR="00230B34" w:rsidRPr="001D1549" w:rsidRDefault="00230B34" w:rsidP="00A25637">
      <w:pPr>
        <w:spacing w:line="360" w:lineRule="auto"/>
        <w:rPr>
          <w:rFonts w:cstheme="minorHAnsi"/>
        </w:rPr>
      </w:pPr>
    </w:p>
    <w:p w14:paraId="5CE37092" w14:textId="77777777" w:rsidR="006917F3" w:rsidRPr="001D1549" w:rsidRDefault="006917F3" w:rsidP="00A25637">
      <w:pPr>
        <w:spacing w:line="360" w:lineRule="auto"/>
        <w:rPr>
          <w:rFonts w:cstheme="minorHAnsi"/>
        </w:rPr>
      </w:pPr>
      <w:r w:rsidRPr="001D1549">
        <w:rPr>
          <w:rFonts w:cstheme="minorHAnsi"/>
        </w:rPr>
        <w:t xml:space="preserve">Heeks, M., Reed, S., </w:t>
      </w:r>
      <w:proofErr w:type="spellStart"/>
      <w:r w:rsidRPr="001D1549">
        <w:rPr>
          <w:rFonts w:cstheme="minorHAnsi"/>
        </w:rPr>
        <w:t>Tafsiri</w:t>
      </w:r>
      <w:proofErr w:type="spellEnd"/>
      <w:r w:rsidRPr="001D1549">
        <w:rPr>
          <w:rFonts w:cstheme="minorHAnsi"/>
        </w:rPr>
        <w:t xml:space="preserve">, M. and Prince, S. (2018) </w:t>
      </w:r>
      <w:r w:rsidRPr="001D1549">
        <w:rPr>
          <w:rFonts w:cstheme="minorHAnsi"/>
          <w:i/>
          <w:iCs/>
        </w:rPr>
        <w:t xml:space="preserve">The economic and social cost of crime. </w:t>
      </w:r>
      <w:r w:rsidRPr="001D1549">
        <w:rPr>
          <w:rFonts w:cstheme="minorHAnsi"/>
        </w:rPr>
        <w:t xml:space="preserve">Home Office. Available at: </w:t>
      </w:r>
      <w:hyperlink r:id="rId26" w:history="1">
        <w:r w:rsidRPr="001D1549">
          <w:rPr>
            <w:rStyle w:val="Hyperlink"/>
            <w:rFonts w:cstheme="minorHAnsi"/>
          </w:rPr>
          <w:t>https://assets.publishing.service.gov.uk/media/5b684f22e5274a14f45342c9/the-economic-and-social-costs-of-crime-horr99.pdf</w:t>
        </w:r>
      </w:hyperlink>
      <w:r w:rsidRPr="001D1549">
        <w:rPr>
          <w:rFonts w:cstheme="minorHAnsi"/>
        </w:rPr>
        <w:t xml:space="preserve"> (Accessed: 31 October 2023). </w:t>
      </w:r>
    </w:p>
    <w:p w14:paraId="2FA4C274" w14:textId="77777777" w:rsidR="00230B34" w:rsidRPr="001D1549" w:rsidRDefault="00230B34" w:rsidP="00A25637">
      <w:pPr>
        <w:spacing w:line="360" w:lineRule="auto"/>
        <w:rPr>
          <w:rFonts w:cstheme="minorHAnsi"/>
        </w:rPr>
      </w:pPr>
    </w:p>
    <w:p w14:paraId="1C6276B8" w14:textId="77777777" w:rsidR="006917F3" w:rsidRPr="001D1549" w:rsidRDefault="006917F3" w:rsidP="00A25637">
      <w:pPr>
        <w:spacing w:line="360" w:lineRule="auto"/>
        <w:rPr>
          <w:rFonts w:cstheme="minorHAnsi"/>
          <w:shd w:val="clear" w:color="auto" w:fill="FFFFFF"/>
        </w:rPr>
      </w:pPr>
      <w:r w:rsidRPr="001D1549">
        <w:rPr>
          <w:rFonts w:cstheme="minorHAnsi"/>
          <w:shd w:val="clear" w:color="auto" w:fill="FFFFFF"/>
        </w:rPr>
        <w:t xml:space="preserve">Her Majesty’s Inspectorate of Constabulary and Fire &amp; Rescue Services (2021) </w:t>
      </w:r>
      <w:r w:rsidRPr="001D1549">
        <w:rPr>
          <w:rFonts w:cstheme="minorHAnsi"/>
          <w:i/>
          <w:iCs/>
          <w:shd w:val="clear" w:color="auto" w:fill="FFFFFF"/>
        </w:rPr>
        <w:t xml:space="preserve">Disproportionate use of police powers – A spotlight on stop and search and the use of force. </w:t>
      </w:r>
      <w:r w:rsidRPr="001D1549">
        <w:rPr>
          <w:rFonts w:cstheme="minorHAnsi"/>
          <w:shd w:val="clear" w:color="auto" w:fill="FFFFFF"/>
        </w:rPr>
        <w:t xml:space="preserve">Available at: </w:t>
      </w:r>
      <w:hyperlink r:id="rId27" w:history="1">
        <w:r w:rsidRPr="001D1549">
          <w:rPr>
            <w:rStyle w:val="Hyperlink"/>
            <w:rFonts w:cstheme="minorHAnsi"/>
            <w:shd w:val="clear" w:color="auto" w:fill="FFFFFF"/>
          </w:rPr>
          <w:t>https://hmicfrs.justiceinspectorates.gov.uk/our-work/article/stop-and-search/</w:t>
        </w:r>
      </w:hyperlink>
      <w:r w:rsidRPr="001D1549">
        <w:rPr>
          <w:rFonts w:cstheme="minorHAnsi"/>
          <w:color w:val="222222"/>
          <w:shd w:val="clear" w:color="auto" w:fill="FFFFFF"/>
        </w:rPr>
        <w:t xml:space="preserve"> </w:t>
      </w:r>
      <w:r w:rsidRPr="001D1549">
        <w:rPr>
          <w:rFonts w:cstheme="minorHAnsi"/>
          <w:shd w:val="clear" w:color="auto" w:fill="FFFFFF"/>
        </w:rPr>
        <w:t xml:space="preserve">(Accessed: 7 November 2023). </w:t>
      </w:r>
    </w:p>
    <w:p w14:paraId="38FF6CF4" w14:textId="77777777" w:rsidR="00230B34" w:rsidRPr="001D1549" w:rsidRDefault="00230B34" w:rsidP="00A25637">
      <w:pPr>
        <w:spacing w:line="360" w:lineRule="auto"/>
        <w:rPr>
          <w:rFonts w:cstheme="minorHAnsi"/>
          <w:shd w:val="clear" w:color="auto" w:fill="FFFFFF"/>
        </w:rPr>
      </w:pPr>
    </w:p>
    <w:p w14:paraId="087136FB" w14:textId="39FF63E1" w:rsidR="006917F3" w:rsidRPr="001D1549" w:rsidRDefault="006917F3" w:rsidP="00A25637">
      <w:pPr>
        <w:spacing w:line="360" w:lineRule="auto"/>
        <w:rPr>
          <w:rFonts w:cstheme="minorHAnsi"/>
        </w:rPr>
      </w:pPr>
      <w:r w:rsidRPr="001D1549">
        <w:rPr>
          <w:rFonts w:cstheme="minorHAnsi"/>
        </w:rPr>
        <w:t xml:space="preserve">HM Inspectorate of Probation (2021) </w:t>
      </w:r>
      <w:r w:rsidRPr="001D1549">
        <w:rPr>
          <w:rFonts w:cstheme="minorHAnsi"/>
          <w:i/>
          <w:iCs/>
        </w:rPr>
        <w:t xml:space="preserve">Multi-agency public protection arrangements. </w:t>
      </w:r>
      <w:r w:rsidRPr="001D1549">
        <w:rPr>
          <w:rFonts w:cstheme="minorHAnsi"/>
        </w:rPr>
        <w:t xml:space="preserve">Available at: </w:t>
      </w:r>
      <w:hyperlink r:id="rId28" w:history="1">
        <w:r w:rsidRPr="001D1549">
          <w:rPr>
            <w:rStyle w:val="Hyperlink"/>
            <w:rFonts w:cstheme="minorHAnsi"/>
          </w:rPr>
          <w:t>https://www.justiceinspectorates.gov.uk/hmiprobation/research/the-evidence-base-probation/specific-types-of-delivery/mappa/</w:t>
        </w:r>
      </w:hyperlink>
      <w:r w:rsidRPr="001D1549">
        <w:rPr>
          <w:rFonts w:cstheme="minorHAnsi"/>
        </w:rPr>
        <w:t xml:space="preserve"> (Accessed: 7 November 2023). </w:t>
      </w:r>
    </w:p>
    <w:p w14:paraId="58D5F46D" w14:textId="77777777" w:rsidR="00230B34" w:rsidRPr="001D1549" w:rsidRDefault="00230B34" w:rsidP="00A25637">
      <w:pPr>
        <w:spacing w:line="360" w:lineRule="auto"/>
        <w:rPr>
          <w:rFonts w:cstheme="minorHAnsi"/>
        </w:rPr>
      </w:pPr>
    </w:p>
    <w:p w14:paraId="7A56EF41" w14:textId="77777777" w:rsidR="006917F3" w:rsidRPr="001D1549" w:rsidRDefault="006917F3" w:rsidP="00A25637">
      <w:pPr>
        <w:spacing w:line="360" w:lineRule="auto"/>
        <w:rPr>
          <w:rFonts w:cstheme="minorHAnsi"/>
          <w:shd w:val="clear" w:color="auto" w:fill="FFFFFF"/>
        </w:rPr>
      </w:pPr>
      <w:r w:rsidRPr="001D1549">
        <w:rPr>
          <w:rFonts w:cstheme="minorHAnsi"/>
          <w:shd w:val="clear" w:color="auto" w:fill="FFFFFF"/>
        </w:rPr>
        <w:t xml:space="preserve">Home Office (2023) </w:t>
      </w:r>
      <w:r w:rsidRPr="001D1549">
        <w:rPr>
          <w:rFonts w:cstheme="minorHAnsi"/>
          <w:i/>
          <w:iCs/>
          <w:shd w:val="clear" w:color="auto" w:fill="FFFFFF"/>
        </w:rPr>
        <w:t>Anti-social behaviour case review.</w:t>
      </w:r>
      <w:r w:rsidRPr="001D1549">
        <w:rPr>
          <w:rFonts w:cstheme="minorHAnsi"/>
          <w:shd w:val="clear" w:color="auto" w:fill="FFFFFF"/>
        </w:rPr>
        <w:t xml:space="preserve"> Available at: </w:t>
      </w:r>
      <w:hyperlink r:id="rId29" w:history="1">
        <w:r w:rsidRPr="001D1549">
          <w:rPr>
            <w:rStyle w:val="Hyperlink"/>
            <w:rFonts w:cstheme="minorHAnsi"/>
            <w:shd w:val="clear" w:color="auto" w:fill="FFFFFF"/>
          </w:rPr>
          <w:t>https://www.gov.uk/guidance/anti-social-behaviour-asb-case-review-also-known-as-the-community-trigger</w:t>
        </w:r>
      </w:hyperlink>
      <w:r w:rsidRPr="001D1549">
        <w:rPr>
          <w:rFonts w:cstheme="minorHAnsi"/>
          <w:color w:val="222222"/>
          <w:shd w:val="clear" w:color="auto" w:fill="FFFFFF"/>
        </w:rPr>
        <w:t xml:space="preserve"> </w:t>
      </w:r>
      <w:r w:rsidRPr="001D1549">
        <w:rPr>
          <w:rFonts w:cstheme="minorHAnsi"/>
          <w:shd w:val="clear" w:color="auto" w:fill="FFFFFF"/>
        </w:rPr>
        <w:t xml:space="preserve">(Accessed: 7 November 2023). </w:t>
      </w:r>
    </w:p>
    <w:p w14:paraId="0BF4944D" w14:textId="77777777" w:rsidR="00230B34" w:rsidRPr="001D1549" w:rsidRDefault="00230B34" w:rsidP="00A25637">
      <w:pPr>
        <w:spacing w:line="360" w:lineRule="auto"/>
        <w:rPr>
          <w:rFonts w:cstheme="minorHAnsi"/>
          <w:color w:val="222222"/>
          <w:shd w:val="clear" w:color="auto" w:fill="FFFFFF"/>
        </w:rPr>
      </w:pPr>
    </w:p>
    <w:p w14:paraId="74259A07" w14:textId="77777777" w:rsidR="006917F3" w:rsidRPr="001D1549" w:rsidRDefault="006917F3" w:rsidP="00A25637">
      <w:pPr>
        <w:spacing w:line="360" w:lineRule="auto"/>
        <w:rPr>
          <w:rFonts w:cstheme="minorHAnsi"/>
          <w:shd w:val="clear" w:color="auto" w:fill="FFFFFF"/>
        </w:rPr>
      </w:pPr>
      <w:r w:rsidRPr="001D1549">
        <w:rPr>
          <w:rFonts w:cstheme="minorHAnsi"/>
          <w:shd w:val="clear" w:color="auto" w:fill="FFFFFF"/>
        </w:rPr>
        <w:t xml:space="preserve">Home Office (2023) </w:t>
      </w:r>
      <w:r w:rsidRPr="001D1549">
        <w:rPr>
          <w:rFonts w:cstheme="minorHAnsi"/>
          <w:i/>
          <w:iCs/>
          <w:shd w:val="clear" w:color="auto" w:fill="FFFFFF"/>
        </w:rPr>
        <w:t xml:space="preserve">Anti-social behaviour: impacts on individuals and local communities. </w:t>
      </w:r>
      <w:r w:rsidRPr="001D1549">
        <w:rPr>
          <w:rFonts w:cstheme="minorHAnsi"/>
          <w:shd w:val="clear" w:color="auto" w:fill="FFFFFF"/>
        </w:rPr>
        <w:t xml:space="preserve">Available at: </w:t>
      </w:r>
      <w:hyperlink r:id="rId30" w:history="1">
        <w:r w:rsidRPr="001D1549">
          <w:rPr>
            <w:rStyle w:val="Hyperlink"/>
            <w:rFonts w:cstheme="minorHAnsi"/>
            <w:shd w:val="clear" w:color="auto" w:fill="FFFFFF"/>
          </w:rPr>
          <w:t>https://www.gov.uk/government/publications/impacts-of-anti-social-</w:t>
        </w:r>
        <w:r w:rsidRPr="001D1549">
          <w:rPr>
            <w:rStyle w:val="Hyperlink"/>
            <w:rFonts w:cstheme="minorHAnsi"/>
            <w:shd w:val="clear" w:color="auto" w:fill="FFFFFF"/>
          </w:rPr>
          <w:lastRenderedPageBreak/>
          <w:t>behaviour-on-individuals-and-communities/anti-social-behaviour-impacts-on-individuals-and-local-communities</w:t>
        </w:r>
      </w:hyperlink>
      <w:r w:rsidRPr="001D1549">
        <w:rPr>
          <w:rFonts w:cstheme="minorHAnsi"/>
          <w:shd w:val="clear" w:color="auto" w:fill="FFFFFF"/>
        </w:rPr>
        <w:t xml:space="preserve"> (Accessed: 31 October 2023). </w:t>
      </w:r>
    </w:p>
    <w:p w14:paraId="6D128144" w14:textId="77777777" w:rsidR="00230B34" w:rsidRPr="001D1549" w:rsidRDefault="00230B34" w:rsidP="00A25637">
      <w:pPr>
        <w:spacing w:line="360" w:lineRule="auto"/>
        <w:rPr>
          <w:rFonts w:cstheme="minorHAnsi"/>
          <w:shd w:val="clear" w:color="auto" w:fill="FFFFFF"/>
        </w:rPr>
      </w:pPr>
    </w:p>
    <w:p w14:paraId="619303B0" w14:textId="77777777" w:rsidR="006917F3" w:rsidRPr="001D1549" w:rsidRDefault="006917F3" w:rsidP="00A25637">
      <w:pPr>
        <w:spacing w:line="360" w:lineRule="auto"/>
        <w:rPr>
          <w:rFonts w:cstheme="minorHAnsi"/>
          <w:i/>
          <w:iCs/>
          <w:shd w:val="clear" w:color="auto" w:fill="FFFFFF"/>
        </w:rPr>
      </w:pPr>
      <w:r w:rsidRPr="001D1549">
        <w:rPr>
          <w:rFonts w:cstheme="minorHAnsi"/>
          <w:shd w:val="clear" w:color="auto" w:fill="FFFFFF"/>
        </w:rPr>
        <w:t xml:space="preserve">Independent Office for Police Conduct (2023) </w:t>
      </w:r>
      <w:r w:rsidRPr="001D1549">
        <w:rPr>
          <w:rFonts w:cstheme="minorHAnsi"/>
          <w:i/>
          <w:iCs/>
          <w:shd w:val="clear" w:color="auto" w:fill="FFFFFF"/>
        </w:rPr>
        <w:t xml:space="preserve">Police Complaints Statistics for England and Wales 2022/23. </w:t>
      </w:r>
      <w:r w:rsidRPr="001D1549">
        <w:rPr>
          <w:rFonts w:cstheme="minorHAnsi"/>
          <w:shd w:val="clear" w:color="auto" w:fill="FFFFFF"/>
        </w:rPr>
        <w:t xml:space="preserve">Available at: </w:t>
      </w:r>
      <w:hyperlink r:id="rId31" w:history="1">
        <w:r w:rsidRPr="001D1549">
          <w:rPr>
            <w:rStyle w:val="Hyperlink"/>
            <w:rFonts w:cstheme="minorHAnsi"/>
            <w:shd w:val="clear" w:color="auto" w:fill="FFFFFF"/>
          </w:rPr>
          <w:t>https://www.policeconduct.gov.uk/sites/default/files/documents/police-complaints-statistics-for-england-and-wales-2022-23.pdf</w:t>
        </w:r>
      </w:hyperlink>
      <w:r w:rsidRPr="001D1549">
        <w:rPr>
          <w:rFonts w:cstheme="minorHAnsi"/>
          <w:color w:val="222222"/>
          <w:shd w:val="clear" w:color="auto" w:fill="FFFFFF"/>
        </w:rPr>
        <w:t xml:space="preserve"> (</w:t>
      </w:r>
      <w:r w:rsidRPr="001D1549">
        <w:rPr>
          <w:rFonts w:cstheme="minorHAnsi"/>
          <w:shd w:val="clear" w:color="auto" w:fill="FFFFFF"/>
        </w:rPr>
        <w:t>Accessed: 3 November 2023).</w:t>
      </w:r>
      <w:r w:rsidRPr="001D1549">
        <w:rPr>
          <w:rFonts w:cstheme="minorHAnsi"/>
          <w:i/>
          <w:iCs/>
          <w:shd w:val="clear" w:color="auto" w:fill="FFFFFF"/>
        </w:rPr>
        <w:t xml:space="preserve"> </w:t>
      </w:r>
    </w:p>
    <w:p w14:paraId="6BD4593E" w14:textId="77777777" w:rsidR="00230B34" w:rsidRPr="001D1549" w:rsidRDefault="00230B34" w:rsidP="00A25637">
      <w:pPr>
        <w:spacing w:line="360" w:lineRule="auto"/>
        <w:rPr>
          <w:rFonts w:cstheme="minorHAnsi"/>
          <w:i/>
          <w:iCs/>
          <w:color w:val="222222"/>
          <w:shd w:val="clear" w:color="auto" w:fill="FFFFFF"/>
        </w:rPr>
      </w:pPr>
    </w:p>
    <w:p w14:paraId="60016E99" w14:textId="77777777" w:rsidR="006917F3" w:rsidRPr="001D1549" w:rsidRDefault="006917F3" w:rsidP="00A25637">
      <w:pPr>
        <w:spacing w:line="360" w:lineRule="auto"/>
        <w:rPr>
          <w:rFonts w:cstheme="minorHAnsi"/>
        </w:rPr>
      </w:pPr>
      <w:r w:rsidRPr="001D1549">
        <w:rPr>
          <w:rFonts w:cstheme="minorHAnsi"/>
        </w:rPr>
        <w:t xml:space="preserve">Independent Police Complaints Commission (2009) </w:t>
      </w:r>
      <w:r w:rsidRPr="001D1549">
        <w:rPr>
          <w:rFonts w:cstheme="minorHAnsi"/>
          <w:i/>
          <w:iCs/>
        </w:rPr>
        <w:t xml:space="preserve">IPCC report into the contact between Fiona Pilkington and Leicestershire Constabulary 2004-2007. </w:t>
      </w:r>
      <w:r w:rsidRPr="001D1549">
        <w:rPr>
          <w:rFonts w:cstheme="minorHAnsi"/>
        </w:rPr>
        <w:t xml:space="preserve">2009/016872. Available at: </w:t>
      </w:r>
      <w:hyperlink r:id="rId32" w:history="1">
        <w:r w:rsidRPr="001D1549">
          <w:rPr>
            <w:rStyle w:val="Hyperlink"/>
            <w:rFonts w:cstheme="minorHAnsi"/>
          </w:rPr>
          <w:t>https://www.report-it.org.uk/files/ipcc_report-fiona-pilkington-leicestershire.pdf</w:t>
        </w:r>
      </w:hyperlink>
      <w:r w:rsidRPr="001D1549">
        <w:rPr>
          <w:rFonts w:cstheme="minorHAnsi"/>
        </w:rPr>
        <w:t xml:space="preserve"> (Assessed: 24 October 2023). </w:t>
      </w:r>
    </w:p>
    <w:p w14:paraId="21912B3B" w14:textId="77777777" w:rsidR="00230B34" w:rsidRPr="001D1549" w:rsidRDefault="00230B34" w:rsidP="00A25637">
      <w:pPr>
        <w:spacing w:line="360" w:lineRule="auto"/>
        <w:rPr>
          <w:rFonts w:cstheme="minorHAnsi"/>
        </w:rPr>
      </w:pPr>
    </w:p>
    <w:p w14:paraId="31FCC07F" w14:textId="77777777" w:rsidR="006917F3" w:rsidRPr="001D1549" w:rsidRDefault="006917F3" w:rsidP="00A25637">
      <w:pPr>
        <w:spacing w:line="360" w:lineRule="auto"/>
        <w:rPr>
          <w:rFonts w:cstheme="minorHAnsi"/>
          <w:shd w:val="clear" w:color="auto" w:fill="FFFFFF"/>
        </w:rPr>
      </w:pPr>
      <w:r w:rsidRPr="001D1549">
        <w:rPr>
          <w:rFonts w:cstheme="minorHAnsi"/>
          <w:shd w:val="clear" w:color="auto" w:fill="FFFFFF"/>
        </w:rPr>
        <w:t>Matos, M., Gonçalves, M. and Maia (2018) ‘Human trafficking and criminal proceedings in Portugal: discourses of professionals in the justice system’,</w:t>
      </w:r>
      <w:r w:rsidRPr="001D1549">
        <w:rPr>
          <w:rFonts w:cstheme="minorHAnsi"/>
          <w:i/>
          <w:iCs/>
          <w:shd w:val="clear" w:color="auto" w:fill="FFFFFF"/>
        </w:rPr>
        <w:t xml:space="preserve"> Trends in organized crime, </w:t>
      </w:r>
      <w:r w:rsidRPr="001D1549">
        <w:rPr>
          <w:rFonts w:cstheme="minorHAnsi"/>
          <w:shd w:val="clear" w:color="auto" w:fill="FFFFFF"/>
        </w:rPr>
        <w:t xml:space="preserve">21(4), pp. 370-400. Available at: </w:t>
      </w:r>
      <w:hyperlink r:id="rId33" w:history="1">
        <w:r w:rsidRPr="001D1549">
          <w:rPr>
            <w:rStyle w:val="Hyperlink"/>
            <w:rFonts w:cstheme="minorHAnsi"/>
            <w:shd w:val="clear" w:color="auto" w:fill="FFFFFF"/>
          </w:rPr>
          <w:t>https://link-springer-com.ezproxy.uwtsd.ac.uk/content/pdf/10.1007/s12117-017-9317-4.pdf</w:t>
        </w:r>
      </w:hyperlink>
      <w:r w:rsidRPr="001D1549">
        <w:rPr>
          <w:rFonts w:cstheme="minorHAnsi"/>
          <w:color w:val="222222"/>
          <w:shd w:val="clear" w:color="auto" w:fill="FFFFFF"/>
        </w:rPr>
        <w:t xml:space="preserve"> </w:t>
      </w:r>
      <w:r w:rsidRPr="001D1549">
        <w:rPr>
          <w:rFonts w:cstheme="minorHAnsi"/>
          <w:shd w:val="clear" w:color="auto" w:fill="FFFFFF"/>
        </w:rPr>
        <w:t xml:space="preserve">(Accessed: 6 November 2023). </w:t>
      </w:r>
    </w:p>
    <w:p w14:paraId="42079801" w14:textId="77777777" w:rsidR="00230B34" w:rsidRPr="001D1549" w:rsidRDefault="00230B34" w:rsidP="00A25637">
      <w:pPr>
        <w:spacing w:line="360" w:lineRule="auto"/>
        <w:rPr>
          <w:rFonts w:cstheme="minorHAnsi"/>
          <w:shd w:val="clear" w:color="auto" w:fill="FFFFFF"/>
        </w:rPr>
      </w:pPr>
    </w:p>
    <w:p w14:paraId="4871849B" w14:textId="77777777" w:rsidR="006917F3" w:rsidRPr="001D1549" w:rsidRDefault="006917F3" w:rsidP="00A25637">
      <w:pPr>
        <w:spacing w:line="360" w:lineRule="auto"/>
        <w:rPr>
          <w:rFonts w:cstheme="minorHAnsi"/>
          <w:shd w:val="clear" w:color="auto" w:fill="FFFFFF"/>
        </w:rPr>
      </w:pPr>
      <w:r w:rsidRPr="001D1549">
        <w:rPr>
          <w:rFonts w:cstheme="minorHAnsi"/>
          <w:shd w:val="clear" w:color="auto" w:fill="FFFFFF"/>
        </w:rPr>
        <w:t xml:space="preserve">Moberg, T., Stenbecka, M., </w:t>
      </w:r>
      <w:proofErr w:type="spellStart"/>
      <w:r w:rsidRPr="001D1549">
        <w:rPr>
          <w:rFonts w:cstheme="minorHAnsi"/>
          <w:shd w:val="clear" w:color="auto" w:fill="FFFFFF"/>
        </w:rPr>
        <w:t>Romelsjö</w:t>
      </w:r>
      <w:proofErr w:type="spellEnd"/>
      <w:r w:rsidRPr="001D1549">
        <w:rPr>
          <w:rFonts w:cstheme="minorHAnsi"/>
          <w:shd w:val="clear" w:color="auto" w:fill="FFFFFF"/>
        </w:rPr>
        <w:t xml:space="preserve">, A. &amp; </w:t>
      </w:r>
      <w:proofErr w:type="spellStart"/>
      <w:r w:rsidRPr="001D1549">
        <w:rPr>
          <w:rFonts w:cstheme="minorHAnsi"/>
          <w:shd w:val="clear" w:color="auto" w:fill="FFFFFF"/>
        </w:rPr>
        <w:t>Joniken</w:t>
      </w:r>
      <w:proofErr w:type="spellEnd"/>
      <w:r w:rsidRPr="001D1549">
        <w:rPr>
          <w:rFonts w:cstheme="minorHAnsi"/>
          <w:shd w:val="clear" w:color="auto" w:fill="FFFFFF"/>
        </w:rPr>
        <w:t xml:space="preserve">, J. (2012) ‘Morality and causes of death among violent offenders and victims- a Swedish population based longitudinal study’, </w:t>
      </w:r>
      <w:r w:rsidRPr="001D1549">
        <w:rPr>
          <w:rFonts w:cstheme="minorHAnsi"/>
          <w:i/>
          <w:iCs/>
          <w:shd w:val="clear" w:color="auto" w:fill="FFFFFF"/>
        </w:rPr>
        <w:t xml:space="preserve">BMC Public Health, </w:t>
      </w:r>
      <w:r w:rsidRPr="001D1549">
        <w:rPr>
          <w:rFonts w:cstheme="minorHAnsi"/>
          <w:shd w:val="clear" w:color="auto" w:fill="FFFFFF"/>
        </w:rPr>
        <w:t xml:space="preserve">12(1), pp.38-38. Available at: </w:t>
      </w:r>
      <w:hyperlink r:id="rId34" w:history="1">
        <w:r w:rsidRPr="001D1549">
          <w:rPr>
            <w:rStyle w:val="Hyperlink"/>
            <w:rFonts w:cstheme="minorHAnsi"/>
            <w:shd w:val="clear" w:color="auto" w:fill="FFFFFF"/>
          </w:rPr>
          <w:t>https://bmcpublichealth.biomedcentral.com/counter/pdf/10.1186/1471-2458-12-38.pdf</w:t>
        </w:r>
      </w:hyperlink>
      <w:r w:rsidRPr="001D1549">
        <w:rPr>
          <w:rFonts w:cstheme="minorHAnsi"/>
          <w:shd w:val="clear" w:color="auto" w:fill="FFFFFF"/>
        </w:rPr>
        <w:t xml:space="preserve"> (Accessed: 31 October 2023). </w:t>
      </w:r>
    </w:p>
    <w:p w14:paraId="457D4584" w14:textId="77777777" w:rsidR="00F34B01" w:rsidRPr="001D1549" w:rsidRDefault="00F34B01" w:rsidP="00A25637">
      <w:pPr>
        <w:spacing w:line="360" w:lineRule="auto"/>
        <w:rPr>
          <w:rFonts w:cstheme="minorHAnsi"/>
          <w:shd w:val="clear" w:color="auto" w:fill="FFFFFF"/>
        </w:rPr>
      </w:pPr>
    </w:p>
    <w:p w14:paraId="45F8F830" w14:textId="77777777" w:rsidR="006917F3" w:rsidRPr="001D1549" w:rsidRDefault="006917F3" w:rsidP="00A25637">
      <w:pPr>
        <w:spacing w:line="360" w:lineRule="auto"/>
        <w:rPr>
          <w:rFonts w:cstheme="minorHAnsi"/>
          <w:shd w:val="clear" w:color="auto" w:fill="FFFFFF"/>
        </w:rPr>
      </w:pPr>
      <w:r w:rsidRPr="001D1549">
        <w:rPr>
          <w:rFonts w:cstheme="minorHAnsi"/>
          <w:shd w:val="clear" w:color="auto" w:fill="FFFFFF"/>
        </w:rPr>
        <w:t xml:space="preserve">Myhill, A. and Beak, K. (2008) </w:t>
      </w:r>
      <w:r w:rsidRPr="001D1549">
        <w:rPr>
          <w:rFonts w:cstheme="minorHAnsi"/>
          <w:i/>
          <w:iCs/>
          <w:shd w:val="clear" w:color="auto" w:fill="FFFFFF"/>
        </w:rPr>
        <w:t>Public Confidence in the Police</w:t>
      </w:r>
      <w:r w:rsidRPr="001D1549">
        <w:rPr>
          <w:rFonts w:cstheme="minorHAnsi"/>
          <w:shd w:val="clear" w:color="auto" w:fill="FFFFFF"/>
        </w:rPr>
        <w:t xml:space="preserve">. National Policing Improvement Agency. Available at: </w:t>
      </w:r>
      <w:hyperlink r:id="rId35" w:history="1">
        <w:r w:rsidRPr="001D1549">
          <w:rPr>
            <w:rStyle w:val="Hyperlink"/>
            <w:rFonts w:cstheme="minorHAnsi"/>
            <w:shd w:val="clear" w:color="auto" w:fill="FFFFFF"/>
          </w:rPr>
          <w:t>https://library.college.police.uk/docs/npia/public-confidence-in-the-police.pdf</w:t>
        </w:r>
      </w:hyperlink>
      <w:r w:rsidRPr="001D1549">
        <w:rPr>
          <w:rFonts w:cstheme="minorHAnsi"/>
          <w:color w:val="222222"/>
          <w:shd w:val="clear" w:color="auto" w:fill="FFFFFF"/>
        </w:rPr>
        <w:t xml:space="preserve"> </w:t>
      </w:r>
      <w:r w:rsidRPr="001D1549">
        <w:rPr>
          <w:rFonts w:cstheme="minorHAnsi"/>
          <w:shd w:val="clear" w:color="auto" w:fill="FFFFFF"/>
        </w:rPr>
        <w:t>(Accessed: 3 November 2023).</w:t>
      </w:r>
    </w:p>
    <w:p w14:paraId="5318745A" w14:textId="77777777" w:rsidR="00F34B01" w:rsidRPr="001D1549" w:rsidRDefault="00F34B01" w:rsidP="00A25637">
      <w:pPr>
        <w:spacing w:line="360" w:lineRule="auto"/>
        <w:rPr>
          <w:rFonts w:cstheme="minorHAnsi"/>
          <w:color w:val="222222"/>
          <w:shd w:val="clear" w:color="auto" w:fill="FFFFFF"/>
        </w:rPr>
      </w:pPr>
    </w:p>
    <w:p w14:paraId="7B562705" w14:textId="77777777" w:rsidR="006917F3" w:rsidRPr="001D1549" w:rsidRDefault="006917F3" w:rsidP="00A25637">
      <w:pPr>
        <w:spacing w:line="360" w:lineRule="auto"/>
        <w:rPr>
          <w:rFonts w:cstheme="minorHAnsi"/>
          <w:color w:val="222222"/>
          <w:shd w:val="clear" w:color="auto" w:fill="FFFFFF"/>
        </w:rPr>
      </w:pPr>
      <w:r w:rsidRPr="001D1549">
        <w:rPr>
          <w:rFonts w:cstheme="minorHAnsi"/>
        </w:rPr>
        <w:t xml:space="preserve">Nettle, D. and De Courson, B. (2021) ‘Why do inequality and deprivation produce high crime and low trust’, </w:t>
      </w:r>
      <w:r w:rsidRPr="001D1549">
        <w:rPr>
          <w:rFonts w:cstheme="minorHAnsi"/>
          <w:i/>
          <w:iCs/>
        </w:rPr>
        <w:t>Scientific Reports</w:t>
      </w:r>
      <w:r w:rsidRPr="001D1549">
        <w:rPr>
          <w:rFonts w:cstheme="minorHAnsi"/>
        </w:rPr>
        <w:t xml:space="preserve">, 11, article number 1937. Available at: </w:t>
      </w:r>
      <w:hyperlink r:id="rId36" w:history="1">
        <w:r w:rsidRPr="001D1549">
          <w:rPr>
            <w:rStyle w:val="Hyperlink"/>
            <w:rFonts w:cstheme="minorHAnsi"/>
            <w:shd w:val="clear" w:color="auto" w:fill="FFFFFF"/>
          </w:rPr>
          <w:t>https://doi.org/10.1038/s41598-020-80897-8</w:t>
        </w:r>
      </w:hyperlink>
      <w:r w:rsidRPr="001D1549">
        <w:rPr>
          <w:rFonts w:cstheme="minorHAnsi"/>
          <w:color w:val="222222"/>
          <w:shd w:val="clear" w:color="auto" w:fill="FFFFFF"/>
        </w:rPr>
        <w:t xml:space="preserve"> </w:t>
      </w:r>
    </w:p>
    <w:p w14:paraId="3323E600" w14:textId="77777777" w:rsidR="006917F3" w:rsidRPr="001D1549" w:rsidRDefault="006917F3" w:rsidP="00A25637">
      <w:pPr>
        <w:spacing w:line="360" w:lineRule="auto"/>
        <w:rPr>
          <w:rFonts w:cstheme="minorHAnsi"/>
        </w:rPr>
      </w:pPr>
      <w:r w:rsidRPr="001D1549">
        <w:rPr>
          <w:rFonts w:cstheme="minorHAnsi"/>
        </w:rPr>
        <w:lastRenderedPageBreak/>
        <w:t xml:space="preserve">Office for National Statistics (2023) </w:t>
      </w:r>
      <w:r w:rsidRPr="001D1549">
        <w:rPr>
          <w:rFonts w:cstheme="minorHAnsi"/>
          <w:i/>
          <w:iCs/>
        </w:rPr>
        <w:t xml:space="preserve">Crime in England and Wales: year ending December 2022. </w:t>
      </w:r>
      <w:r w:rsidRPr="001D1549">
        <w:rPr>
          <w:rFonts w:cstheme="minorHAnsi"/>
        </w:rPr>
        <w:t xml:space="preserve">Available at: </w:t>
      </w:r>
      <w:hyperlink r:id="rId37" w:history="1">
        <w:r w:rsidRPr="001D1549">
          <w:rPr>
            <w:rStyle w:val="Hyperlink"/>
            <w:rFonts w:cstheme="minorHAnsi"/>
          </w:rPr>
          <w:t>https://www.ons.gov.uk/peoplepopulationandcommunity/crimeandjustice/bulletins/crimeinenglandandwales/yearendingdecember2022</w:t>
        </w:r>
      </w:hyperlink>
      <w:r w:rsidRPr="001D1549">
        <w:rPr>
          <w:rFonts w:cstheme="minorHAnsi"/>
        </w:rPr>
        <w:t xml:space="preserve"> (Accessed: 1 November 2023). </w:t>
      </w:r>
    </w:p>
    <w:p w14:paraId="32C0FD4A" w14:textId="77777777" w:rsidR="00F34B01" w:rsidRPr="001D1549" w:rsidRDefault="00F34B01" w:rsidP="00A25637">
      <w:pPr>
        <w:spacing w:line="360" w:lineRule="auto"/>
        <w:rPr>
          <w:rFonts w:cstheme="minorHAnsi"/>
        </w:rPr>
      </w:pPr>
    </w:p>
    <w:p w14:paraId="033B5928" w14:textId="77777777" w:rsidR="006917F3" w:rsidRPr="001D1549" w:rsidRDefault="006917F3" w:rsidP="00A25637">
      <w:pPr>
        <w:spacing w:line="360" w:lineRule="auto"/>
        <w:rPr>
          <w:rFonts w:cstheme="minorHAnsi"/>
        </w:rPr>
      </w:pPr>
      <w:r w:rsidRPr="001D1549">
        <w:rPr>
          <w:rFonts w:cstheme="minorHAnsi"/>
        </w:rPr>
        <w:t xml:space="preserve">Office for National Statistics (2023) </w:t>
      </w:r>
      <w:r w:rsidRPr="001D1549">
        <w:rPr>
          <w:rFonts w:cstheme="minorHAnsi"/>
          <w:i/>
          <w:iCs/>
        </w:rPr>
        <w:t xml:space="preserve">Crime in England and Wales: year ending March 2023. </w:t>
      </w:r>
      <w:r w:rsidRPr="001D1549">
        <w:rPr>
          <w:rFonts w:cstheme="minorHAnsi"/>
        </w:rPr>
        <w:t xml:space="preserve">Available at: </w:t>
      </w:r>
      <w:hyperlink r:id="rId38" w:anchor=":~:text=The%20CSEW%20data%20showed%20a,the%20year%20ending%20March%202020" w:history="1">
        <w:r w:rsidRPr="001D1549">
          <w:rPr>
            <w:rStyle w:val="Hyperlink"/>
            <w:rFonts w:cstheme="minorHAnsi"/>
          </w:rPr>
          <w:t>https://www.ons.gov.uk/peoplepopulationandcommunity/crimeandjustice/bulletins/crimeinenglandandwales/yearendingmarch2023#:~:text=The%20CSEW%20data%20showed%20a,the%20year%20ending%20March%202020</w:t>
        </w:r>
      </w:hyperlink>
      <w:r w:rsidRPr="001D1549">
        <w:rPr>
          <w:rFonts w:cstheme="minorHAnsi"/>
        </w:rPr>
        <w:t xml:space="preserve">. (Accessed: 2 November 2023). </w:t>
      </w:r>
    </w:p>
    <w:p w14:paraId="16B66C4C" w14:textId="77777777" w:rsidR="00F34B01" w:rsidRPr="001D1549" w:rsidRDefault="00F34B01" w:rsidP="00A25637">
      <w:pPr>
        <w:spacing w:line="360" w:lineRule="auto"/>
        <w:rPr>
          <w:rFonts w:cstheme="minorHAnsi"/>
        </w:rPr>
      </w:pPr>
    </w:p>
    <w:p w14:paraId="16D80E21" w14:textId="77777777" w:rsidR="006917F3" w:rsidRPr="001D1549" w:rsidRDefault="006917F3" w:rsidP="00A25637">
      <w:pPr>
        <w:spacing w:line="360" w:lineRule="auto"/>
        <w:rPr>
          <w:rFonts w:cstheme="minorHAnsi"/>
        </w:rPr>
      </w:pPr>
      <w:r w:rsidRPr="001D1549">
        <w:rPr>
          <w:rFonts w:cstheme="minorHAnsi"/>
        </w:rPr>
        <w:t xml:space="preserve">UNISON (2023) </w:t>
      </w:r>
      <w:r w:rsidRPr="001D1549">
        <w:rPr>
          <w:rFonts w:cstheme="minorHAnsi"/>
          <w:i/>
          <w:iCs/>
        </w:rPr>
        <w:t xml:space="preserve">Police forces in England and Wales could face a £700m budget shortfall, warns UNISON. </w:t>
      </w:r>
      <w:r w:rsidRPr="001D1549">
        <w:rPr>
          <w:rFonts w:cstheme="minorHAnsi"/>
        </w:rPr>
        <w:t xml:space="preserve">Available at: </w:t>
      </w:r>
      <w:hyperlink r:id="rId39" w:anchor=":~:text=An%20analysis%20of%20police%20financial,says%20UNISON%20today%20(Friday)" w:history="1">
        <w:r w:rsidRPr="001D1549">
          <w:rPr>
            <w:rStyle w:val="Hyperlink"/>
            <w:rFonts w:cstheme="minorHAnsi"/>
          </w:rPr>
          <w:t>https://www.unison.org.uk/news/press-release/2023/06/police-forces-in-england-and-wales-could-face-a-combined-budget-shortfall-of-more-than-700m-by-2026-warns-unison/#:~:text=An%20analysis%20of%20police%20financial,says%20UNISON%20today%20(Friday)</w:t>
        </w:r>
      </w:hyperlink>
      <w:r w:rsidRPr="001D1549">
        <w:rPr>
          <w:rFonts w:cstheme="minorHAnsi"/>
        </w:rPr>
        <w:t xml:space="preserve">. (Accessed: 9 November 2023). </w:t>
      </w:r>
    </w:p>
    <w:p w14:paraId="1EEBF0C0" w14:textId="77777777" w:rsidR="00F34B01" w:rsidRPr="001D1549" w:rsidRDefault="00F34B01" w:rsidP="00A25637">
      <w:pPr>
        <w:spacing w:line="360" w:lineRule="auto"/>
        <w:rPr>
          <w:rFonts w:cstheme="minorHAnsi"/>
        </w:rPr>
      </w:pPr>
    </w:p>
    <w:p w14:paraId="79A2BD1D" w14:textId="77777777" w:rsidR="006917F3" w:rsidRPr="001D1549" w:rsidRDefault="006917F3" w:rsidP="00A25637">
      <w:pPr>
        <w:spacing w:line="360" w:lineRule="auto"/>
        <w:rPr>
          <w:rFonts w:cstheme="minorHAnsi"/>
        </w:rPr>
      </w:pPr>
      <w:r w:rsidRPr="001D1549">
        <w:rPr>
          <w:rFonts w:cstheme="minorHAnsi"/>
        </w:rPr>
        <w:t xml:space="preserve">University of Portsmouth (2016) </w:t>
      </w:r>
      <w:r w:rsidRPr="001D1549">
        <w:rPr>
          <w:rFonts w:cstheme="minorHAnsi"/>
          <w:i/>
          <w:iCs/>
        </w:rPr>
        <w:t>One in ten burglary victims moves house.</w:t>
      </w:r>
      <w:r w:rsidRPr="001D1549">
        <w:rPr>
          <w:rFonts w:cstheme="minorHAnsi"/>
        </w:rPr>
        <w:t xml:space="preserve"> Available at: </w:t>
      </w:r>
      <w:hyperlink r:id="rId40" w:history="1">
        <w:r w:rsidRPr="001D1549">
          <w:rPr>
            <w:rStyle w:val="Hyperlink"/>
            <w:rFonts w:cstheme="minorHAnsi"/>
          </w:rPr>
          <w:t>https://www.port.ac.uk/news-events-and-blogs/news/one-in-ten-burglary-victims-moves-house</w:t>
        </w:r>
      </w:hyperlink>
      <w:r w:rsidRPr="001D1549">
        <w:rPr>
          <w:rFonts w:cstheme="minorHAnsi"/>
        </w:rPr>
        <w:t xml:space="preserve"> (Accessed: 2 November 2023). </w:t>
      </w:r>
    </w:p>
    <w:p w14:paraId="2B1B4A42" w14:textId="77777777" w:rsidR="00F34B01" w:rsidRPr="001D1549" w:rsidRDefault="00F34B01" w:rsidP="00A25637">
      <w:pPr>
        <w:spacing w:line="360" w:lineRule="auto"/>
        <w:rPr>
          <w:rFonts w:cstheme="minorHAnsi"/>
        </w:rPr>
      </w:pPr>
    </w:p>
    <w:p w14:paraId="733DEA0F" w14:textId="77777777" w:rsidR="006917F3" w:rsidRPr="001D1549" w:rsidRDefault="006917F3" w:rsidP="00A25637">
      <w:pPr>
        <w:spacing w:line="360" w:lineRule="auto"/>
        <w:rPr>
          <w:rFonts w:cstheme="minorHAnsi"/>
        </w:rPr>
      </w:pPr>
      <w:r w:rsidRPr="001D1549">
        <w:rPr>
          <w:rFonts w:cstheme="minorHAnsi"/>
        </w:rPr>
        <w:t xml:space="preserve">Victim Support (2023) </w:t>
      </w:r>
      <w:r w:rsidRPr="001D1549">
        <w:rPr>
          <w:rFonts w:cstheme="minorHAnsi"/>
          <w:i/>
          <w:iCs/>
        </w:rPr>
        <w:t xml:space="preserve">Burglary. </w:t>
      </w:r>
      <w:r w:rsidRPr="001D1549">
        <w:rPr>
          <w:rFonts w:cstheme="minorHAnsi"/>
        </w:rPr>
        <w:t xml:space="preserve">Available at: </w:t>
      </w:r>
      <w:hyperlink r:id="rId41" w:history="1">
        <w:r w:rsidRPr="001D1549">
          <w:rPr>
            <w:rStyle w:val="Hyperlink"/>
            <w:rFonts w:cstheme="minorHAnsi"/>
          </w:rPr>
          <w:t>https://www.victimsupport.org.uk/crime-info/types-crime/burglary/</w:t>
        </w:r>
      </w:hyperlink>
      <w:r w:rsidRPr="001D1549">
        <w:rPr>
          <w:rFonts w:cstheme="minorHAnsi"/>
        </w:rPr>
        <w:t xml:space="preserve"> (Assessed: 23 October 2023).</w:t>
      </w:r>
    </w:p>
    <w:p w14:paraId="03A647F8" w14:textId="77777777" w:rsidR="00F34B01" w:rsidRPr="001D1549" w:rsidRDefault="00F34B01" w:rsidP="00A25637">
      <w:pPr>
        <w:spacing w:line="360" w:lineRule="auto"/>
        <w:rPr>
          <w:rFonts w:cstheme="minorHAnsi"/>
        </w:rPr>
      </w:pPr>
    </w:p>
    <w:p w14:paraId="29492A47" w14:textId="77777777" w:rsidR="006917F3" w:rsidRPr="001D1549" w:rsidRDefault="006917F3" w:rsidP="00A25637">
      <w:pPr>
        <w:spacing w:line="360" w:lineRule="auto"/>
        <w:rPr>
          <w:rFonts w:cstheme="minorHAnsi"/>
          <w:color w:val="222222"/>
          <w:shd w:val="clear" w:color="auto" w:fill="FFFFFF"/>
        </w:rPr>
      </w:pPr>
      <w:r w:rsidRPr="001D1549">
        <w:rPr>
          <w:rFonts w:cstheme="minorHAnsi"/>
          <w:color w:val="222222"/>
          <w:shd w:val="clear" w:color="auto" w:fill="FFFFFF"/>
        </w:rPr>
        <w:t xml:space="preserve">Waltham Forest (2023) </w:t>
      </w:r>
      <w:r w:rsidRPr="001D1549">
        <w:rPr>
          <w:rFonts w:cstheme="minorHAnsi"/>
          <w:i/>
          <w:iCs/>
          <w:color w:val="222222"/>
          <w:shd w:val="clear" w:color="auto" w:fill="FFFFFF"/>
        </w:rPr>
        <w:t xml:space="preserve">Multi-agency risk assessment conference (MARAC). </w:t>
      </w:r>
      <w:r w:rsidRPr="001D1549">
        <w:rPr>
          <w:rFonts w:cstheme="minorHAnsi"/>
          <w:color w:val="222222"/>
          <w:shd w:val="clear" w:color="auto" w:fill="FFFFFF"/>
        </w:rPr>
        <w:t xml:space="preserve">Available at: </w:t>
      </w:r>
      <w:hyperlink r:id="rId42" w:anchor=":~:text=A%20monthly%20meeting%20where%20professionals,of%20domestic%20violence%20and%20abuse" w:history="1">
        <w:r w:rsidRPr="001D1549">
          <w:rPr>
            <w:rStyle w:val="Hyperlink"/>
            <w:rFonts w:cstheme="minorHAnsi"/>
            <w:shd w:val="clear" w:color="auto" w:fill="FFFFFF"/>
          </w:rPr>
          <w:t>https://www.walthamforest.gov.uk/neighbourhoods/crime-and-community-safety/community-safety/multi-agency-risk-assessment-conference-marac#:~:text=A%20monthly%20meeting%20where%20professionals,of%20domestic%20violence%20and%20abuse</w:t>
        </w:r>
      </w:hyperlink>
      <w:r w:rsidRPr="001D1549">
        <w:rPr>
          <w:rFonts w:cstheme="minorHAnsi"/>
          <w:color w:val="222222"/>
          <w:shd w:val="clear" w:color="auto" w:fill="FFFFFF"/>
        </w:rPr>
        <w:t xml:space="preserve">. (Accessed: 6 November 2023). </w:t>
      </w:r>
    </w:p>
    <w:p w14:paraId="3574B32A" w14:textId="77777777" w:rsidR="001D1549" w:rsidRPr="001D1549" w:rsidRDefault="001D1549" w:rsidP="00A25637">
      <w:pPr>
        <w:spacing w:line="360" w:lineRule="auto"/>
        <w:rPr>
          <w:rFonts w:cstheme="minorHAnsi"/>
          <w:color w:val="222222"/>
          <w:shd w:val="clear" w:color="auto" w:fill="FFFFFF"/>
        </w:rPr>
      </w:pPr>
    </w:p>
    <w:p w14:paraId="76E79DC3" w14:textId="77777777" w:rsidR="006917F3" w:rsidRPr="006917F3" w:rsidRDefault="006917F3" w:rsidP="00A25637">
      <w:pPr>
        <w:spacing w:line="360" w:lineRule="auto"/>
        <w:rPr>
          <w:rFonts w:cstheme="minorHAnsi"/>
        </w:rPr>
      </w:pPr>
      <w:r w:rsidRPr="001D1549">
        <w:rPr>
          <w:rFonts w:cstheme="minorHAnsi"/>
        </w:rPr>
        <w:lastRenderedPageBreak/>
        <w:t>Weisburd, D., Telep, C., Hinkle, J. &amp; Eck, J (2008) ‘Effects of Problem-Oriented Policing on Crime and Disorder’</w:t>
      </w:r>
      <w:r w:rsidRPr="001D1549">
        <w:rPr>
          <w:rFonts w:cstheme="minorHAnsi"/>
          <w:i/>
          <w:iCs/>
        </w:rPr>
        <w:t xml:space="preserve">, Campbell Systematic Reviews, </w:t>
      </w:r>
      <w:r w:rsidRPr="001D1549">
        <w:rPr>
          <w:rFonts w:cstheme="minorHAnsi"/>
        </w:rPr>
        <w:t>4(1), pp. 1-87.</w:t>
      </w:r>
      <w:r w:rsidRPr="006917F3">
        <w:rPr>
          <w:rFonts w:cstheme="minorHAnsi"/>
        </w:rPr>
        <w:t xml:space="preserve"> </w:t>
      </w:r>
    </w:p>
    <w:p w14:paraId="2EC71AF0" w14:textId="77777777" w:rsidR="005B1CCD" w:rsidRPr="00731F77" w:rsidRDefault="005B1CCD" w:rsidP="00360B20">
      <w:pPr>
        <w:spacing w:line="360" w:lineRule="auto"/>
        <w:rPr>
          <w:rFonts w:ascii="Segoe UI" w:hAnsi="Segoe UI" w:cs="Segoe UI"/>
          <w:color w:val="222222"/>
          <w:shd w:val="clear" w:color="auto" w:fill="FFFFFF"/>
        </w:rPr>
      </w:pPr>
    </w:p>
    <w:p w14:paraId="6E113015" w14:textId="77777777" w:rsidR="000459B3" w:rsidRPr="00BA386F" w:rsidRDefault="000459B3" w:rsidP="00360B20">
      <w:pPr>
        <w:spacing w:line="360" w:lineRule="auto"/>
        <w:rPr>
          <w:rFonts w:cstheme="minorHAnsi"/>
        </w:rPr>
      </w:pPr>
    </w:p>
    <w:p w14:paraId="238AEE0C" w14:textId="7481B121" w:rsidR="00493B39" w:rsidRDefault="00EA0811" w:rsidP="00A25637">
      <w:pPr>
        <w:spacing w:line="360" w:lineRule="auto"/>
      </w:pPr>
      <w:r>
        <w:t xml:space="preserve"> </w:t>
      </w:r>
    </w:p>
    <w:p w14:paraId="2D3D2A5D" w14:textId="77777777" w:rsidR="00493B39" w:rsidRDefault="00493B39" w:rsidP="00805425">
      <w:pPr>
        <w:spacing w:line="360" w:lineRule="auto"/>
      </w:pPr>
    </w:p>
    <w:p w14:paraId="6BFDE180" w14:textId="77777777" w:rsidR="00493B39" w:rsidRDefault="00493B39" w:rsidP="009600B3"/>
    <w:sectPr w:rsidR="00493B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A7C3F"/>
    <w:multiLevelType w:val="hybridMultilevel"/>
    <w:tmpl w:val="63505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E87416"/>
    <w:multiLevelType w:val="hybridMultilevel"/>
    <w:tmpl w:val="3146B998"/>
    <w:lvl w:ilvl="0" w:tplc="E1FC39EA">
      <w:start w:val="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527791A"/>
    <w:multiLevelType w:val="hybridMultilevel"/>
    <w:tmpl w:val="1310A24E"/>
    <w:lvl w:ilvl="0" w:tplc="9DD45B1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CF0D0E"/>
    <w:multiLevelType w:val="hybridMultilevel"/>
    <w:tmpl w:val="DA6011C8"/>
    <w:lvl w:ilvl="0" w:tplc="D47E86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704D35"/>
    <w:multiLevelType w:val="hybridMultilevel"/>
    <w:tmpl w:val="815870CC"/>
    <w:lvl w:ilvl="0" w:tplc="223CC0F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476592"/>
    <w:multiLevelType w:val="hybridMultilevel"/>
    <w:tmpl w:val="3E0496B8"/>
    <w:lvl w:ilvl="0" w:tplc="DB525F8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420502">
    <w:abstractNumId w:val="3"/>
  </w:num>
  <w:num w:numId="2" w16cid:durableId="1940990131">
    <w:abstractNumId w:val="0"/>
  </w:num>
  <w:num w:numId="3" w16cid:durableId="1714385837">
    <w:abstractNumId w:val="4"/>
  </w:num>
  <w:num w:numId="4" w16cid:durableId="1699352415">
    <w:abstractNumId w:val="1"/>
  </w:num>
  <w:num w:numId="5" w16cid:durableId="318077695">
    <w:abstractNumId w:val="5"/>
  </w:num>
  <w:num w:numId="6" w16cid:durableId="12210188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869"/>
    <w:rsid w:val="0000147E"/>
    <w:rsid w:val="00001EF3"/>
    <w:rsid w:val="00002283"/>
    <w:rsid w:val="00002BEA"/>
    <w:rsid w:val="00004759"/>
    <w:rsid w:val="00004D06"/>
    <w:rsid w:val="00005BDC"/>
    <w:rsid w:val="0000639F"/>
    <w:rsid w:val="00006706"/>
    <w:rsid w:val="00007B28"/>
    <w:rsid w:val="000105A0"/>
    <w:rsid w:val="00010850"/>
    <w:rsid w:val="00011166"/>
    <w:rsid w:val="00011CD7"/>
    <w:rsid w:val="00013714"/>
    <w:rsid w:val="00013C64"/>
    <w:rsid w:val="0001600D"/>
    <w:rsid w:val="00020C18"/>
    <w:rsid w:val="00021D86"/>
    <w:rsid w:val="00026DCC"/>
    <w:rsid w:val="00032BBA"/>
    <w:rsid w:val="00035CF7"/>
    <w:rsid w:val="00036290"/>
    <w:rsid w:val="00036B4F"/>
    <w:rsid w:val="00037ABB"/>
    <w:rsid w:val="000449F0"/>
    <w:rsid w:val="00045894"/>
    <w:rsid w:val="000459B3"/>
    <w:rsid w:val="00051E46"/>
    <w:rsid w:val="000523FB"/>
    <w:rsid w:val="00054EFE"/>
    <w:rsid w:val="000550DD"/>
    <w:rsid w:val="00056D71"/>
    <w:rsid w:val="00057780"/>
    <w:rsid w:val="000645D7"/>
    <w:rsid w:val="00064F1A"/>
    <w:rsid w:val="000665BE"/>
    <w:rsid w:val="00071718"/>
    <w:rsid w:val="0007199D"/>
    <w:rsid w:val="00071EED"/>
    <w:rsid w:val="00072A7B"/>
    <w:rsid w:val="00072BFF"/>
    <w:rsid w:val="00085386"/>
    <w:rsid w:val="000858EE"/>
    <w:rsid w:val="00085D86"/>
    <w:rsid w:val="000868AB"/>
    <w:rsid w:val="000874B9"/>
    <w:rsid w:val="00087ED0"/>
    <w:rsid w:val="000917E7"/>
    <w:rsid w:val="000953CC"/>
    <w:rsid w:val="00095998"/>
    <w:rsid w:val="00097E8D"/>
    <w:rsid w:val="00097EF3"/>
    <w:rsid w:val="000A0436"/>
    <w:rsid w:val="000A2194"/>
    <w:rsid w:val="000A5FE7"/>
    <w:rsid w:val="000A6A2C"/>
    <w:rsid w:val="000B0007"/>
    <w:rsid w:val="000B44A6"/>
    <w:rsid w:val="000B52C2"/>
    <w:rsid w:val="000C28C8"/>
    <w:rsid w:val="000C6472"/>
    <w:rsid w:val="000C7F5F"/>
    <w:rsid w:val="000D234B"/>
    <w:rsid w:val="000D23D6"/>
    <w:rsid w:val="000D2934"/>
    <w:rsid w:val="000D2EA7"/>
    <w:rsid w:val="000D41CB"/>
    <w:rsid w:val="000D56E5"/>
    <w:rsid w:val="000D6BAE"/>
    <w:rsid w:val="000D6CCE"/>
    <w:rsid w:val="000D7306"/>
    <w:rsid w:val="000D7359"/>
    <w:rsid w:val="000D7784"/>
    <w:rsid w:val="000E2310"/>
    <w:rsid w:val="000E47C4"/>
    <w:rsid w:val="000E48DA"/>
    <w:rsid w:val="000E4F78"/>
    <w:rsid w:val="000E5CBD"/>
    <w:rsid w:val="000F2D43"/>
    <w:rsid w:val="000F3B17"/>
    <w:rsid w:val="000F4393"/>
    <w:rsid w:val="000F5741"/>
    <w:rsid w:val="000F7392"/>
    <w:rsid w:val="000F78B6"/>
    <w:rsid w:val="00104656"/>
    <w:rsid w:val="001104E0"/>
    <w:rsid w:val="00114901"/>
    <w:rsid w:val="0011562D"/>
    <w:rsid w:val="00116EF8"/>
    <w:rsid w:val="001203D1"/>
    <w:rsid w:val="00121FDD"/>
    <w:rsid w:val="00122759"/>
    <w:rsid w:val="001227D0"/>
    <w:rsid w:val="001257B1"/>
    <w:rsid w:val="00125963"/>
    <w:rsid w:val="001268C2"/>
    <w:rsid w:val="001326AD"/>
    <w:rsid w:val="0013463D"/>
    <w:rsid w:val="00136181"/>
    <w:rsid w:val="0014024A"/>
    <w:rsid w:val="001414E1"/>
    <w:rsid w:val="0014369F"/>
    <w:rsid w:val="00146C3E"/>
    <w:rsid w:val="0014700C"/>
    <w:rsid w:val="00154795"/>
    <w:rsid w:val="00154A00"/>
    <w:rsid w:val="00160C93"/>
    <w:rsid w:val="00162FE1"/>
    <w:rsid w:val="001648CE"/>
    <w:rsid w:val="001649FB"/>
    <w:rsid w:val="00165951"/>
    <w:rsid w:val="001673F2"/>
    <w:rsid w:val="00170D22"/>
    <w:rsid w:val="00173074"/>
    <w:rsid w:val="00175939"/>
    <w:rsid w:val="00176BBE"/>
    <w:rsid w:val="00183FE0"/>
    <w:rsid w:val="00184A6F"/>
    <w:rsid w:val="00185556"/>
    <w:rsid w:val="00185BCB"/>
    <w:rsid w:val="0018692C"/>
    <w:rsid w:val="00187214"/>
    <w:rsid w:val="0018748C"/>
    <w:rsid w:val="001938DC"/>
    <w:rsid w:val="00195509"/>
    <w:rsid w:val="00195AD0"/>
    <w:rsid w:val="001A0067"/>
    <w:rsid w:val="001A098B"/>
    <w:rsid w:val="001A3498"/>
    <w:rsid w:val="001A66D7"/>
    <w:rsid w:val="001A71AC"/>
    <w:rsid w:val="001A766F"/>
    <w:rsid w:val="001A7CE6"/>
    <w:rsid w:val="001B078D"/>
    <w:rsid w:val="001B1854"/>
    <w:rsid w:val="001B18C6"/>
    <w:rsid w:val="001B2346"/>
    <w:rsid w:val="001B6C41"/>
    <w:rsid w:val="001C2CD1"/>
    <w:rsid w:val="001C353D"/>
    <w:rsid w:val="001C4279"/>
    <w:rsid w:val="001D0084"/>
    <w:rsid w:val="001D1549"/>
    <w:rsid w:val="001D195D"/>
    <w:rsid w:val="001D32C4"/>
    <w:rsid w:val="001D3CEF"/>
    <w:rsid w:val="001D46EB"/>
    <w:rsid w:val="001D4862"/>
    <w:rsid w:val="001D4941"/>
    <w:rsid w:val="001D5E6A"/>
    <w:rsid w:val="001E0945"/>
    <w:rsid w:val="001E7C2B"/>
    <w:rsid w:val="001F0D92"/>
    <w:rsid w:val="001F306E"/>
    <w:rsid w:val="001F3285"/>
    <w:rsid w:val="001F3D07"/>
    <w:rsid w:val="001F409C"/>
    <w:rsid w:val="001F6308"/>
    <w:rsid w:val="001F6707"/>
    <w:rsid w:val="001F6D31"/>
    <w:rsid w:val="0020026F"/>
    <w:rsid w:val="00202438"/>
    <w:rsid w:val="002040F1"/>
    <w:rsid w:val="00205525"/>
    <w:rsid w:val="00205A7E"/>
    <w:rsid w:val="00216311"/>
    <w:rsid w:val="0021702D"/>
    <w:rsid w:val="00227364"/>
    <w:rsid w:val="00227712"/>
    <w:rsid w:val="00227EF8"/>
    <w:rsid w:val="002303B2"/>
    <w:rsid w:val="002306C1"/>
    <w:rsid w:val="00230B34"/>
    <w:rsid w:val="00231832"/>
    <w:rsid w:val="00231C03"/>
    <w:rsid w:val="002332E3"/>
    <w:rsid w:val="00234B8E"/>
    <w:rsid w:val="00235D9B"/>
    <w:rsid w:val="002362DB"/>
    <w:rsid w:val="002401D4"/>
    <w:rsid w:val="00247CFC"/>
    <w:rsid w:val="00254944"/>
    <w:rsid w:val="00254A5A"/>
    <w:rsid w:val="00254BC7"/>
    <w:rsid w:val="00257F85"/>
    <w:rsid w:val="00260C34"/>
    <w:rsid w:val="002611A8"/>
    <w:rsid w:val="002621E9"/>
    <w:rsid w:val="002628AF"/>
    <w:rsid w:val="00266F12"/>
    <w:rsid w:val="0027102B"/>
    <w:rsid w:val="002744D9"/>
    <w:rsid w:val="0027528B"/>
    <w:rsid w:val="002763F1"/>
    <w:rsid w:val="00277A24"/>
    <w:rsid w:val="00280635"/>
    <w:rsid w:val="00281B3E"/>
    <w:rsid w:val="002840BF"/>
    <w:rsid w:val="002863AF"/>
    <w:rsid w:val="00286647"/>
    <w:rsid w:val="00286C72"/>
    <w:rsid w:val="00286D03"/>
    <w:rsid w:val="002876CF"/>
    <w:rsid w:val="002904A5"/>
    <w:rsid w:val="0029196C"/>
    <w:rsid w:val="00293202"/>
    <w:rsid w:val="00293769"/>
    <w:rsid w:val="00293838"/>
    <w:rsid w:val="002946F7"/>
    <w:rsid w:val="002956D5"/>
    <w:rsid w:val="002960AE"/>
    <w:rsid w:val="00296D99"/>
    <w:rsid w:val="002A06AA"/>
    <w:rsid w:val="002A1B75"/>
    <w:rsid w:val="002A2311"/>
    <w:rsid w:val="002A37F6"/>
    <w:rsid w:val="002A4131"/>
    <w:rsid w:val="002A4430"/>
    <w:rsid w:val="002A48D8"/>
    <w:rsid w:val="002A4A7C"/>
    <w:rsid w:val="002A7864"/>
    <w:rsid w:val="002B1F50"/>
    <w:rsid w:val="002B2AE6"/>
    <w:rsid w:val="002B3038"/>
    <w:rsid w:val="002B3117"/>
    <w:rsid w:val="002B370E"/>
    <w:rsid w:val="002B42CC"/>
    <w:rsid w:val="002B4708"/>
    <w:rsid w:val="002B6959"/>
    <w:rsid w:val="002B743B"/>
    <w:rsid w:val="002B7C05"/>
    <w:rsid w:val="002B7C37"/>
    <w:rsid w:val="002C0AE1"/>
    <w:rsid w:val="002C18EA"/>
    <w:rsid w:val="002C1C2C"/>
    <w:rsid w:val="002C3B9B"/>
    <w:rsid w:val="002C45D4"/>
    <w:rsid w:val="002C5C0E"/>
    <w:rsid w:val="002C6554"/>
    <w:rsid w:val="002C66F4"/>
    <w:rsid w:val="002D771C"/>
    <w:rsid w:val="002E3722"/>
    <w:rsid w:val="002E473F"/>
    <w:rsid w:val="002F0DB1"/>
    <w:rsid w:val="002F20F0"/>
    <w:rsid w:val="002F2617"/>
    <w:rsid w:val="002F2764"/>
    <w:rsid w:val="002F3BBC"/>
    <w:rsid w:val="002F49A2"/>
    <w:rsid w:val="002F5113"/>
    <w:rsid w:val="002F5C0C"/>
    <w:rsid w:val="00300EC5"/>
    <w:rsid w:val="00303427"/>
    <w:rsid w:val="00305AB5"/>
    <w:rsid w:val="0030746B"/>
    <w:rsid w:val="003075EB"/>
    <w:rsid w:val="00310BA6"/>
    <w:rsid w:val="00310EAE"/>
    <w:rsid w:val="00311455"/>
    <w:rsid w:val="0031162D"/>
    <w:rsid w:val="003119A3"/>
    <w:rsid w:val="00312018"/>
    <w:rsid w:val="0031266F"/>
    <w:rsid w:val="00312B20"/>
    <w:rsid w:val="00315840"/>
    <w:rsid w:val="00315BD9"/>
    <w:rsid w:val="00317F50"/>
    <w:rsid w:val="00317F74"/>
    <w:rsid w:val="00320BE3"/>
    <w:rsid w:val="00320C01"/>
    <w:rsid w:val="003218AD"/>
    <w:rsid w:val="00322143"/>
    <w:rsid w:val="0032360A"/>
    <w:rsid w:val="0032391C"/>
    <w:rsid w:val="00324C14"/>
    <w:rsid w:val="00331DD9"/>
    <w:rsid w:val="00331E2C"/>
    <w:rsid w:val="00332921"/>
    <w:rsid w:val="003344CA"/>
    <w:rsid w:val="00334E92"/>
    <w:rsid w:val="00335C2C"/>
    <w:rsid w:val="0033750E"/>
    <w:rsid w:val="003409CF"/>
    <w:rsid w:val="003413A9"/>
    <w:rsid w:val="00345AEB"/>
    <w:rsid w:val="003507D1"/>
    <w:rsid w:val="00350C88"/>
    <w:rsid w:val="003523DB"/>
    <w:rsid w:val="0035484A"/>
    <w:rsid w:val="00354D75"/>
    <w:rsid w:val="00355E7E"/>
    <w:rsid w:val="00357496"/>
    <w:rsid w:val="00357708"/>
    <w:rsid w:val="00360399"/>
    <w:rsid w:val="00360B20"/>
    <w:rsid w:val="003614F9"/>
    <w:rsid w:val="00364EC8"/>
    <w:rsid w:val="00371DF2"/>
    <w:rsid w:val="00374F8D"/>
    <w:rsid w:val="00375E11"/>
    <w:rsid w:val="00376C02"/>
    <w:rsid w:val="00377688"/>
    <w:rsid w:val="00380E80"/>
    <w:rsid w:val="00381547"/>
    <w:rsid w:val="003839B8"/>
    <w:rsid w:val="00383AC1"/>
    <w:rsid w:val="00384AC4"/>
    <w:rsid w:val="00386239"/>
    <w:rsid w:val="0039189E"/>
    <w:rsid w:val="00391FDF"/>
    <w:rsid w:val="003931AB"/>
    <w:rsid w:val="00396BA1"/>
    <w:rsid w:val="0039745B"/>
    <w:rsid w:val="003A012E"/>
    <w:rsid w:val="003A775D"/>
    <w:rsid w:val="003B103E"/>
    <w:rsid w:val="003B2E32"/>
    <w:rsid w:val="003B45C9"/>
    <w:rsid w:val="003C1F21"/>
    <w:rsid w:val="003C3B84"/>
    <w:rsid w:val="003C7A6D"/>
    <w:rsid w:val="003D00C1"/>
    <w:rsid w:val="003D17FD"/>
    <w:rsid w:val="003D29D7"/>
    <w:rsid w:val="003D7113"/>
    <w:rsid w:val="003E1483"/>
    <w:rsid w:val="003E1936"/>
    <w:rsid w:val="003E2BFA"/>
    <w:rsid w:val="003E3A85"/>
    <w:rsid w:val="003E4484"/>
    <w:rsid w:val="003E4720"/>
    <w:rsid w:val="003E630D"/>
    <w:rsid w:val="003F3FD0"/>
    <w:rsid w:val="003F4A2C"/>
    <w:rsid w:val="003F6AE9"/>
    <w:rsid w:val="003F7BD3"/>
    <w:rsid w:val="003F7F36"/>
    <w:rsid w:val="004012B0"/>
    <w:rsid w:val="00401846"/>
    <w:rsid w:val="00403063"/>
    <w:rsid w:val="0040318E"/>
    <w:rsid w:val="00403A3C"/>
    <w:rsid w:val="00404242"/>
    <w:rsid w:val="0040576E"/>
    <w:rsid w:val="00406080"/>
    <w:rsid w:val="0041174A"/>
    <w:rsid w:val="00412D0C"/>
    <w:rsid w:val="00414D9F"/>
    <w:rsid w:val="00420290"/>
    <w:rsid w:val="00421D72"/>
    <w:rsid w:val="004232E7"/>
    <w:rsid w:val="00424DBB"/>
    <w:rsid w:val="004264C9"/>
    <w:rsid w:val="00426E63"/>
    <w:rsid w:val="00432191"/>
    <w:rsid w:val="00432494"/>
    <w:rsid w:val="00432854"/>
    <w:rsid w:val="00433ECE"/>
    <w:rsid w:val="0043416C"/>
    <w:rsid w:val="0043464D"/>
    <w:rsid w:val="00437C07"/>
    <w:rsid w:val="004448DF"/>
    <w:rsid w:val="00447D5B"/>
    <w:rsid w:val="00455155"/>
    <w:rsid w:val="004571AF"/>
    <w:rsid w:val="004577E8"/>
    <w:rsid w:val="004631C2"/>
    <w:rsid w:val="00463501"/>
    <w:rsid w:val="00463795"/>
    <w:rsid w:val="0046554A"/>
    <w:rsid w:val="00466437"/>
    <w:rsid w:val="0046698E"/>
    <w:rsid w:val="004670B2"/>
    <w:rsid w:val="00467A83"/>
    <w:rsid w:val="0047139A"/>
    <w:rsid w:val="00471F44"/>
    <w:rsid w:val="004726D9"/>
    <w:rsid w:val="00472F9A"/>
    <w:rsid w:val="00473D07"/>
    <w:rsid w:val="00475D1A"/>
    <w:rsid w:val="00476BF7"/>
    <w:rsid w:val="00477E14"/>
    <w:rsid w:val="00480B9F"/>
    <w:rsid w:val="0048152D"/>
    <w:rsid w:val="00484E20"/>
    <w:rsid w:val="00485313"/>
    <w:rsid w:val="00486D11"/>
    <w:rsid w:val="00487DD3"/>
    <w:rsid w:val="004900D8"/>
    <w:rsid w:val="00490CE2"/>
    <w:rsid w:val="00490DCA"/>
    <w:rsid w:val="00493B39"/>
    <w:rsid w:val="00493F21"/>
    <w:rsid w:val="00495AD5"/>
    <w:rsid w:val="004A0EA4"/>
    <w:rsid w:val="004A2BAD"/>
    <w:rsid w:val="004A6EA4"/>
    <w:rsid w:val="004A700A"/>
    <w:rsid w:val="004B03D2"/>
    <w:rsid w:val="004B22A2"/>
    <w:rsid w:val="004B6370"/>
    <w:rsid w:val="004B6986"/>
    <w:rsid w:val="004B7E88"/>
    <w:rsid w:val="004C044D"/>
    <w:rsid w:val="004C0A5D"/>
    <w:rsid w:val="004C0B7B"/>
    <w:rsid w:val="004C15BA"/>
    <w:rsid w:val="004C1B5F"/>
    <w:rsid w:val="004C293F"/>
    <w:rsid w:val="004C3D76"/>
    <w:rsid w:val="004C3DCD"/>
    <w:rsid w:val="004C5A36"/>
    <w:rsid w:val="004C7014"/>
    <w:rsid w:val="004D0327"/>
    <w:rsid w:val="004D5292"/>
    <w:rsid w:val="004D6557"/>
    <w:rsid w:val="004E0FF3"/>
    <w:rsid w:val="004E1BEA"/>
    <w:rsid w:val="004E40C8"/>
    <w:rsid w:val="004E5965"/>
    <w:rsid w:val="004E60ED"/>
    <w:rsid w:val="004E77B9"/>
    <w:rsid w:val="004F28C5"/>
    <w:rsid w:val="004F6622"/>
    <w:rsid w:val="004F73DD"/>
    <w:rsid w:val="004F77C7"/>
    <w:rsid w:val="005001C0"/>
    <w:rsid w:val="0050148C"/>
    <w:rsid w:val="0050219D"/>
    <w:rsid w:val="00502909"/>
    <w:rsid w:val="00502D46"/>
    <w:rsid w:val="00506725"/>
    <w:rsid w:val="00506820"/>
    <w:rsid w:val="00507D3D"/>
    <w:rsid w:val="00510935"/>
    <w:rsid w:val="00511B72"/>
    <w:rsid w:val="00511D44"/>
    <w:rsid w:val="00511F92"/>
    <w:rsid w:val="0051208E"/>
    <w:rsid w:val="005144A9"/>
    <w:rsid w:val="00515CA5"/>
    <w:rsid w:val="005165B1"/>
    <w:rsid w:val="005170D1"/>
    <w:rsid w:val="005178FA"/>
    <w:rsid w:val="00517AA0"/>
    <w:rsid w:val="00517B31"/>
    <w:rsid w:val="00520B71"/>
    <w:rsid w:val="00520DA3"/>
    <w:rsid w:val="005274BB"/>
    <w:rsid w:val="00527FF7"/>
    <w:rsid w:val="00531810"/>
    <w:rsid w:val="00531E3A"/>
    <w:rsid w:val="00531E72"/>
    <w:rsid w:val="00532C10"/>
    <w:rsid w:val="005343F8"/>
    <w:rsid w:val="0053565C"/>
    <w:rsid w:val="005405BC"/>
    <w:rsid w:val="00540677"/>
    <w:rsid w:val="00542EF8"/>
    <w:rsid w:val="0054410D"/>
    <w:rsid w:val="00544A80"/>
    <w:rsid w:val="005459FF"/>
    <w:rsid w:val="00545FB4"/>
    <w:rsid w:val="005460A3"/>
    <w:rsid w:val="0054739B"/>
    <w:rsid w:val="0054749C"/>
    <w:rsid w:val="0054787B"/>
    <w:rsid w:val="00550A77"/>
    <w:rsid w:val="00557E6A"/>
    <w:rsid w:val="0056128F"/>
    <w:rsid w:val="00564159"/>
    <w:rsid w:val="0056464B"/>
    <w:rsid w:val="0056477A"/>
    <w:rsid w:val="00565CBA"/>
    <w:rsid w:val="00565E1E"/>
    <w:rsid w:val="005674D9"/>
    <w:rsid w:val="00571DB4"/>
    <w:rsid w:val="00574BE8"/>
    <w:rsid w:val="00574C4F"/>
    <w:rsid w:val="005761FB"/>
    <w:rsid w:val="005766FE"/>
    <w:rsid w:val="00576BAD"/>
    <w:rsid w:val="005774B5"/>
    <w:rsid w:val="00577B41"/>
    <w:rsid w:val="005819DE"/>
    <w:rsid w:val="00583692"/>
    <w:rsid w:val="005867D7"/>
    <w:rsid w:val="00587813"/>
    <w:rsid w:val="0059078B"/>
    <w:rsid w:val="00592AA7"/>
    <w:rsid w:val="00593841"/>
    <w:rsid w:val="00597601"/>
    <w:rsid w:val="005A24C6"/>
    <w:rsid w:val="005A34AF"/>
    <w:rsid w:val="005A78DB"/>
    <w:rsid w:val="005B1CCD"/>
    <w:rsid w:val="005B3922"/>
    <w:rsid w:val="005B3D4F"/>
    <w:rsid w:val="005B40A0"/>
    <w:rsid w:val="005B50C2"/>
    <w:rsid w:val="005B529A"/>
    <w:rsid w:val="005B63BC"/>
    <w:rsid w:val="005B74D1"/>
    <w:rsid w:val="005B7AA0"/>
    <w:rsid w:val="005C0296"/>
    <w:rsid w:val="005C138F"/>
    <w:rsid w:val="005C19D9"/>
    <w:rsid w:val="005C3F52"/>
    <w:rsid w:val="005C5945"/>
    <w:rsid w:val="005C71B0"/>
    <w:rsid w:val="005D052D"/>
    <w:rsid w:val="005D10CD"/>
    <w:rsid w:val="005D126F"/>
    <w:rsid w:val="005D49FC"/>
    <w:rsid w:val="005D706B"/>
    <w:rsid w:val="005E07BE"/>
    <w:rsid w:val="005E1406"/>
    <w:rsid w:val="005E2045"/>
    <w:rsid w:val="005E3F62"/>
    <w:rsid w:val="005E592F"/>
    <w:rsid w:val="005E5DF6"/>
    <w:rsid w:val="005E70BA"/>
    <w:rsid w:val="005E7BC6"/>
    <w:rsid w:val="005F0CE6"/>
    <w:rsid w:val="005F1824"/>
    <w:rsid w:val="005F313F"/>
    <w:rsid w:val="005F4BE3"/>
    <w:rsid w:val="005F5BC1"/>
    <w:rsid w:val="005F62A4"/>
    <w:rsid w:val="005F67DC"/>
    <w:rsid w:val="005F7772"/>
    <w:rsid w:val="00601F2F"/>
    <w:rsid w:val="0060201F"/>
    <w:rsid w:val="006025C5"/>
    <w:rsid w:val="006036B5"/>
    <w:rsid w:val="00604B22"/>
    <w:rsid w:val="00607D79"/>
    <w:rsid w:val="00611901"/>
    <w:rsid w:val="00612B17"/>
    <w:rsid w:val="00612BA3"/>
    <w:rsid w:val="00612CD6"/>
    <w:rsid w:val="00615131"/>
    <w:rsid w:val="0061601F"/>
    <w:rsid w:val="0061670F"/>
    <w:rsid w:val="0061671F"/>
    <w:rsid w:val="0061744C"/>
    <w:rsid w:val="006176DF"/>
    <w:rsid w:val="006215E3"/>
    <w:rsid w:val="00622C77"/>
    <w:rsid w:val="00624F4F"/>
    <w:rsid w:val="00625060"/>
    <w:rsid w:val="0062684B"/>
    <w:rsid w:val="006272BB"/>
    <w:rsid w:val="00630157"/>
    <w:rsid w:val="00630878"/>
    <w:rsid w:val="006324E7"/>
    <w:rsid w:val="006333CF"/>
    <w:rsid w:val="006347CB"/>
    <w:rsid w:val="00634A7C"/>
    <w:rsid w:val="00635877"/>
    <w:rsid w:val="00635ADF"/>
    <w:rsid w:val="00637076"/>
    <w:rsid w:val="00640112"/>
    <w:rsid w:val="00640F3A"/>
    <w:rsid w:val="00641DC2"/>
    <w:rsid w:val="00643D1D"/>
    <w:rsid w:val="00644FEE"/>
    <w:rsid w:val="0065011C"/>
    <w:rsid w:val="0065207C"/>
    <w:rsid w:val="006530BB"/>
    <w:rsid w:val="00653CE0"/>
    <w:rsid w:val="00655C37"/>
    <w:rsid w:val="00660E93"/>
    <w:rsid w:val="00662C68"/>
    <w:rsid w:val="00664A06"/>
    <w:rsid w:val="006662F0"/>
    <w:rsid w:val="00666CB8"/>
    <w:rsid w:val="00666EC2"/>
    <w:rsid w:val="0066777E"/>
    <w:rsid w:val="006721B0"/>
    <w:rsid w:val="00673831"/>
    <w:rsid w:val="006746BE"/>
    <w:rsid w:val="00675D2A"/>
    <w:rsid w:val="00687314"/>
    <w:rsid w:val="0069000F"/>
    <w:rsid w:val="006917F3"/>
    <w:rsid w:val="00693A23"/>
    <w:rsid w:val="0069546E"/>
    <w:rsid w:val="00695786"/>
    <w:rsid w:val="00696170"/>
    <w:rsid w:val="006969F2"/>
    <w:rsid w:val="006977B8"/>
    <w:rsid w:val="006A0799"/>
    <w:rsid w:val="006A2343"/>
    <w:rsid w:val="006A250C"/>
    <w:rsid w:val="006A318E"/>
    <w:rsid w:val="006A411F"/>
    <w:rsid w:val="006A4B08"/>
    <w:rsid w:val="006A4F21"/>
    <w:rsid w:val="006A5FB5"/>
    <w:rsid w:val="006B026B"/>
    <w:rsid w:val="006B271A"/>
    <w:rsid w:val="006B34AF"/>
    <w:rsid w:val="006C0237"/>
    <w:rsid w:val="006C1911"/>
    <w:rsid w:val="006C3B78"/>
    <w:rsid w:val="006C4F52"/>
    <w:rsid w:val="006C7A75"/>
    <w:rsid w:val="006D175B"/>
    <w:rsid w:val="006D2448"/>
    <w:rsid w:val="006D2800"/>
    <w:rsid w:val="006D37D4"/>
    <w:rsid w:val="006D48D1"/>
    <w:rsid w:val="006D50A7"/>
    <w:rsid w:val="006E011E"/>
    <w:rsid w:val="006E113E"/>
    <w:rsid w:val="006E1290"/>
    <w:rsid w:val="006E38DD"/>
    <w:rsid w:val="006E5436"/>
    <w:rsid w:val="006F088E"/>
    <w:rsid w:val="006F0FF4"/>
    <w:rsid w:val="006F2C8C"/>
    <w:rsid w:val="006F41D9"/>
    <w:rsid w:val="006F42A1"/>
    <w:rsid w:val="006F596D"/>
    <w:rsid w:val="006F7B4A"/>
    <w:rsid w:val="00701FA6"/>
    <w:rsid w:val="007035E4"/>
    <w:rsid w:val="00704903"/>
    <w:rsid w:val="007051E0"/>
    <w:rsid w:val="00707BF2"/>
    <w:rsid w:val="00717619"/>
    <w:rsid w:val="00720511"/>
    <w:rsid w:val="007205B3"/>
    <w:rsid w:val="00721A5C"/>
    <w:rsid w:val="007227BE"/>
    <w:rsid w:val="00723407"/>
    <w:rsid w:val="0072490A"/>
    <w:rsid w:val="00725897"/>
    <w:rsid w:val="00726433"/>
    <w:rsid w:val="00730399"/>
    <w:rsid w:val="0073058F"/>
    <w:rsid w:val="00731A0A"/>
    <w:rsid w:val="00731F77"/>
    <w:rsid w:val="007379BD"/>
    <w:rsid w:val="00740ECA"/>
    <w:rsid w:val="00741759"/>
    <w:rsid w:val="0074463B"/>
    <w:rsid w:val="007461B8"/>
    <w:rsid w:val="00750A26"/>
    <w:rsid w:val="00752B04"/>
    <w:rsid w:val="00752E66"/>
    <w:rsid w:val="00753118"/>
    <w:rsid w:val="0075390B"/>
    <w:rsid w:val="00762A42"/>
    <w:rsid w:val="0076694C"/>
    <w:rsid w:val="00767689"/>
    <w:rsid w:val="00772E42"/>
    <w:rsid w:val="007735A8"/>
    <w:rsid w:val="007737A3"/>
    <w:rsid w:val="0077439D"/>
    <w:rsid w:val="0077675A"/>
    <w:rsid w:val="007773BA"/>
    <w:rsid w:val="007801CF"/>
    <w:rsid w:val="007804D0"/>
    <w:rsid w:val="00781496"/>
    <w:rsid w:val="0078181B"/>
    <w:rsid w:val="007848FC"/>
    <w:rsid w:val="00786EB4"/>
    <w:rsid w:val="00787FF5"/>
    <w:rsid w:val="00790153"/>
    <w:rsid w:val="00793427"/>
    <w:rsid w:val="00796494"/>
    <w:rsid w:val="007965D8"/>
    <w:rsid w:val="00796AF0"/>
    <w:rsid w:val="007A0148"/>
    <w:rsid w:val="007A2C07"/>
    <w:rsid w:val="007A3B07"/>
    <w:rsid w:val="007A3BE7"/>
    <w:rsid w:val="007A3DF2"/>
    <w:rsid w:val="007A50F4"/>
    <w:rsid w:val="007A54E1"/>
    <w:rsid w:val="007A5569"/>
    <w:rsid w:val="007B34C8"/>
    <w:rsid w:val="007B5252"/>
    <w:rsid w:val="007B703F"/>
    <w:rsid w:val="007B74F8"/>
    <w:rsid w:val="007C0A48"/>
    <w:rsid w:val="007C0FBC"/>
    <w:rsid w:val="007C1043"/>
    <w:rsid w:val="007C5420"/>
    <w:rsid w:val="007C6054"/>
    <w:rsid w:val="007C6FA8"/>
    <w:rsid w:val="007D0101"/>
    <w:rsid w:val="007D2802"/>
    <w:rsid w:val="007D2983"/>
    <w:rsid w:val="007D3743"/>
    <w:rsid w:val="007D387C"/>
    <w:rsid w:val="007D3DF1"/>
    <w:rsid w:val="007D6C2E"/>
    <w:rsid w:val="007D742A"/>
    <w:rsid w:val="007D79B9"/>
    <w:rsid w:val="007E08E0"/>
    <w:rsid w:val="007E0D69"/>
    <w:rsid w:val="007E6582"/>
    <w:rsid w:val="007F4913"/>
    <w:rsid w:val="007F5327"/>
    <w:rsid w:val="007F72C8"/>
    <w:rsid w:val="008031A0"/>
    <w:rsid w:val="00805425"/>
    <w:rsid w:val="008111F4"/>
    <w:rsid w:val="008131B1"/>
    <w:rsid w:val="00815408"/>
    <w:rsid w:val="00815D41"/>
    <w:rsid w:val="00815F3F"/>
    <w:rsid w:val="00820C81"/>
    <w:rsid w:val="0082315E"/>
    <w:rsid w:val="00825FE4"/>
    <w:rsid w:val="008273BA"/>
    <w:rsid w:val="008310E2"/>
    <w:rsid w:val="00831125"/>
    <w:rsid w:val="00831169"/>
    <w:rsid w:val="008327FC"/>
    <w:rsid w:val="00832892"/>
    <w:rsid w:val="00834573"/>
    <w:rsid w:val="00834BDA"/>
    <w:rsid w:val="008352ED"/>
    <w:rsid w:val="00836250"/>
    <w:rsid w:val="008362DB"/>
    <w:rsid w:val="0083655F"/>
    <w:rsid w:val="0084248C"/>
    <w:rsid w:val="00843D2E"/>
    <w:rsid w:val="00846EE5"/>
    <w:rsid w:val="00851057"/>
    <w:rsid w:val="00852A88"/>
    <w:rsid w:val="00853D15"/>
    <w:rsid w:val="008549D1"/>
    <w:rsid w:val="0085555B"/>
    <w:rsid w:val="00860700"/>
    <w:rsid w:val="00861926"/>
    <w:rsid w:val="008625F1"/>
    <w:rsid w:val="00862C84"/>
    <w:rsid w:val="0086763C"/>
    <w:rsid w:val="00870DF5"/>
    <w:rsid w:val="0088007B"/>
    <w:rsid w:val="00882396"/>
    <w:rsid w:val="00882C9E"/>
    <w:rsid w:val="00882FAE"/>
    <w:rsid w:val="00884353"/>
    <w:rsid w:val="00885403"/>
    <w:rsid w:val="00887CDB"/>
    <w:rsid w:val="008917C4"/>
    <w:rsid w:val="008919E5"/>
    <w:rsid w:val="0089276D"/>
    <w:rsid w:val="00892CD4"/>
    <w:rsid w:val="008942EF"/>
    <w:rsid w:val="0089440E"/>
    <w:rsid w:val="0089486D"/>
    <w:rsid w:val="00895FB2"/>
    <w:rsid w:val="008A1E3B"/>
    <w:rsid w:val="008A40F2"/>
    <w:rsid w:val="008A4117"/>
    <w:rsid w:val="008A6AF9"/>
    <w:rsid w:val="008B013D"/>
    <w:rsid w:val="008B1510"/>
    <w:rsid w:val="008B197A"/>
    <w:rsid w:val="008B2DBF"/>
    <w:rsid w:val="008B3A39"/>
    <w:rsid w:val="008C01FD"/>
    <w:rsid w:val="008C0E4E"/>
    <w:rsid w:val="008C0E50"/>
    <w:rsid w:val="008C147C"/>
    <w:rsid w:val="008C47AE"/>
    <w:rsid w:val="008C718B"/>
    <w:rsid w:val="008D1241"/>
    <w:rsid w:val="008D1843"/>
    <w:rsid w:val="008D209D"/>
    <w:rsid w:val="008D3F08"/>
    <w:rsid w:val="008D4294"/>
    <w:rsid w:val="008E146B"/>
    <w:rsid w:val="008E1694"/>
    <w:rsid w:val="008E20F9"/>
    <w:rsid w:val="008E22B9"/>
    <w:rsid w:val="008E22E8"/>
    <w:rsid w:val="008E24D8"/>
    <w:rsid w:val="008E29D5"/>
    <w:rsid w:val="008E4DB6"/>
    <w:rsid w:val="008E58C7"/>
    <w:rsid w:val="008E5FB8"/>
    <w:rsid w:val="008E7DFB"/>
    <w:rsid w:val="008F2738"/>
    <w:rsid w:val="008F325A"/>
    <w:rsid w:val="008F66E6"/>
    <w:rsid w:val="008F6B99"/>
    <w:rsid w:val="008F745E"/>
    <w:rsid w:val="00901D47"/>
    <w:rsid w:val="00904630"/>
    <w:rsid w:val="00904DFF"/>
    <w:rsid w:val="00906185"/>
    <w:rsid w:val="00906A44"/>
    <w:rsid w:val="00911315"/>
    <w:rsid w:val="00911FA8"/>
    <w:rsid w:val="00914BE9"/>
    <w:rsid w:val="009173D2"/>
    <w:rsid w:val="009212E2"/>
    <w:rsid w:val="00921526"/>
    <w:rsid w:val="009232F7"/>
    <w:rsid w:val="00924E17"/>
    <w:rsid w:val="0092628F"/>
    <w:rsid w:val="009268DE"/>
    <w:rsid w:val="00926B68"/>
    <w:rsid w:val="00927673"/>
    <w:rsid w:val="00930CC4"/>
    <w:rsid w:val="00931202"/>
    <w:rsid w:val="009313CA"/>
    <w:rsid w:val="00934339"/>
    <w:rsid w:val="009348CE"/>
    <w:rsid w:val="00936EE4"/>
    <w:rsid w:val="009419C0"/>
    <w:rsid w:val="00942F73"/>
    <w:rsid w:val="009446D9"/>
    <w:rsid w:val="0094500C"/>
    <w:rsid w:val="00945396"/>
    <w:rsid w:val="009458A4"/>
    <w:rsid w:val="0094637C"/>
    <w:rsid w:val="00947204"/>
    <w:rsid w:val="00950847"/>
    <w:rsid w:val="00950E12"/>
    <w:rsid w:val="0095386B"/>
    <w:rsid w:val="0095408C"/>
    <w:rsid w:val="009557E1"/>
    <w:rsid w:val="009600B3"/>
    <w:rsid w:val="00961767"/>
    <w:rsid w:val="0096272D"/>
    <w:rsid w:val="0096281C"/>
    <w:rsid w:val="009634F1"/>
    <w:rsid w:val="00963F94"/>
    <w:rsid w:val="00966E84"/>
    <w:rsid w:val="00971481"/>
    <w:rsid w:val="00971A17"/>
    <w:rsid w:val="009738E8"/>
    <w:rsid w:val="009761F6"/>
    <w:rsid w:val="0097653B"/>
    <w:rsid w:val="0097709F"/>
    <w:rsid w:val="009814AF"/>
    <w:rsid w:val="00982007"/>
    <w:rsid w:val="009824A1"/>
    <w:rsid w:val="0098310D"/>
    <w:rsid w:val="00983E95"/>
    <w:rsid w:val="009900FD"/>
    <w:rsid w:val="00991D7F"/>
    <w:rsid w:val="00991EAA"/>
    <w:rsid w:val="00993F85"/>
    <w:rsid w:val="00995DEE"/>
    <w:rsid w:val="00996FD7"/>
    <w:rsid w:val="00997254"/>
    <w:rsid w:val="00997E31"/>
    <w:rsid w:val="009A1D86"/>
    <w:rsid w:val="009A4FF0"/>
    <w:rsid w:val="009B0B10"/>
    <w:rsid w:val="009B0C55"/>
    <w:rsid w:val="009B19F0"/>
    <w:rsid w:val="009B42D0"/>
    <w:rsid w:val="009B67CD"/>
    <w:rsid w:val="009B7EAC"/>
    <w:rsid w:val="009C164C"/>
    <w:rsid w:val="009C18B7"/>
    <w:rsid w:val="009C18D3"/>
    <w:rsid w:val="009C1C34"/>
    <w:rsid w:val="009C2443"/>
    <w:rsid w:val="009C3731"/>
    <w:rsid w:val="009C3A23"/>
    <w:rsid w:val="009C5836"/>
    <w:rsid w:val="009C6A17"/>
    <w:rsid w:val="009D20D6"/>
    <w:rsid w:val="009D235B"/>
    <w:rsid w:val="009D30BE"/>
    <w:rsid w:val="009D7C88"/>
    <w:rsid w:val="009E0C32"/>
    <w:rsid w:val="009E17DB"/>
    <w:rsid w:val="009E2CF6"/>
    <w:rsid w:val="009E453F"/>
    <w:rsid w:val="009E751B"/>
    <w:rsid w:val="009E7827"/>
    <w:rsid w:val="009E7A24"/>
    <w:rsid w:val="009F26AE"/>
    <w:rsid w:val="009F26BF"/>
    <w:rsid w:val="009F5A76"/>
    <w:rsid w:val="00A030C7"/>
    <w:rsid w:val="00A0403A"/>
    <w:rsid w:val="00A06015"/>
    <w:rsid w:val="00A13C99"/>
    <w:rsid w:val="00A1506B"/>
    <w:rsid w:val="00A15975"/>
    <w:rsid w:val="00A17251"/>
    <w:rsid w:val="00A17870"/>
    <w:rsid w:val="00A2300E"/>
    <w:rsid w:val="00A235C5"/>
    <w:rsid w:val="00A2445C"/>
    <w:rsid w:val="00A25637"/>
    <w:rsid w:val="00A27214"/>
    <w:rsid w:val="00A30896"/>
    <w:rsid w:val="00A3222E"/>
    <w:rsid w:val="00A331A9"/>
    <w:rsid w:val="00A33F21"/>
    <w:rsid w:val="00A36284"/>
    <w:rsid w:val="00A364DF"/>
    <w:rsid w:val="00A37D7F"/>
    <w:rsid w:val="00A40A1A"/>
    <w:rsid w:val="00A44D4F"/>
    <w:rsid w:val="00A45369"/>
    <w:rsid w:val="00A4629C"/>
    <w:rsid w:val="00A464EE"/>
    <w:rsid w:val="00A47574"/>
    <w:rsid w:val="00A47943"/>
    <w:rsid w:val="00A47D29"/>
    <w:rsid w:val="00A56417"/>
    <w:rsid w:val="00A57D74"/>
    <w:rsid w:val="00A57F07"/>
    <w:rsid w:val="00A64495"/>
    <w:rsid w:val="00A7048E"/>
    <w:rsid w:val="00A7195C"/>
    <w:rsid w:val="00A75280"/>
    <w:rsid w:val="00A77120"/>
    <w:rsid w:val="00A77356"/>
    <w:rsid w:val="00A779B4"/>
    <w:rsid w:val="00A80D3D"/>
    <w:rsid w:val="00A81D68"/>
    <w:rsid w:val="00A842C6"/>
    <w:rsid w:val="00A85977"/>
    <w:rsid w:val="00A872A8"/>
    <w:rsid w:val="00A92805"/>
    <w:rsid w:val="00AA04CA"/>
    <w:rsid w:val="00AA1B21"/>
    <w:rsid w:val="00AA444F"/>
    <w:rsid w:val="00AA47EA"/>
    <w:rsid w:val="00AA4E2F"/>
    <w:rsid w:val="00AA55C9"/>
    <w:rsid w:val="00AA7C34"/>
    <w:rsid w:val="00AB0204"/>
    <w:rsid w:val="00AB1A94"/>
    <w:rsid w:val="00AB246F"/>
    <w:rsid w:val="00AB370E"/>
    <w:rsid w:val="00AB37C6"/>
    <w:rsid w:val="00AB50D7"/>
    <w:rsid w:val="00AB5A4F"/>
    <w:rsid w:val="00AB5D0D"/>
    <w:rsid w:val="00AB7397"/>
    <w:rsid w:val="00AC1133"/>
    <w:rsid w:val="00AC14BF"/>
    <w:rsid w:val="00AC2CC5"/>
    <w:rsid w:val="00AC4E67"/>
    <w:rsid w:val="00AC7087"/>
    <w:rsid w:val="00AD1EDF"/>
    <w:rsid w:val="00AD371D"/>
    <w:rsid w:val="00AD40EB"/>
    <w:rsid w:val="00AD47EE"/>
    <w:rsid w:val="00AD48AE"/>
    <w:rsid w:val="00AD539D"/>
    <w:rsid w:val="00AD62F6"/>
    <w:rsid w:val="00AD75C1"/>
    <w:rsid w:val="00AD7877"/>
    <w:rsid w:val="00AE2540"/>
    <w:rsid w:val="00AE26B9"/>
    <w:rsid w:val="00AE2CF0"/>
    <w:rsid w:val="00AE2E74"/>
    <w:rsid w:val="00AE4FBA"/>
    <w:rsid w:val="00AE746A"/>
    <w:rsid w:val="00AE7492"/>
    <w:rsid w:val="00AE78C2"/>
    <w:rsid w:val="00AE7931"/>
    <w:rsid w:val="00AF168D"/>
    <w:rsid w:val="00AF2382"/>
    <w:rsid w:val="00AF267C"/>
    <w:rsid w:val="00AF38EE"/>
    <w:rsid w:val="00AF3A6E"/>
    <w:rsid w:val="00AF3E77"/>
    <w:rsid w:val="00AF4F12"/>
    <w:rsid w:val="00AF57BA"/>
    <w:rsid w:val="00B01132"/>
    <w:rsid w:val="00B03836"/>
    <w:rsid w:val="00B06CFA"/>
    <w:rsid w:val="00B07362"/>
    <w:rsid w:val="00B107B1"/>
    <w:rsid w:val="00B1082E"/>
    <w:rsid w:val="00B13A73"/>
    <w:rsid w:val="00B156CE"/>
    <w:rsid w:val="00B17649"/>
    <w:rsid w:val="00B20A1D"/>
    <w:rsid w:val="00B22933"/>
    <w:rsid w:val="00B23BF3"/>
    <w:rsid w:val="00B24990"/>
    <w:rsid w:val="00B27D01"/>
    <w:rsid w:val="00B3060D"/>
    <w:rsid w:val="00B33073"/>
    <w:rsid w:val="00B33118"/>
    <w:rsid w:val="00B33122"/>
    <w:rsid w:val="00B340A3"/>
    <w:rsid w:val="00B343B1"/>
    <w:rsid w:val="00B3509F"/>
    <w:rsid w:val="00B36221"/>
    <w:rsid w:val="00B3768F"/>
    <w:rsid w:val="00B37F0C"/>
    <w:rsid w:val="00B40C44"/>
    <w:rsid w:val="00B41CCB"/>
    <w:rsid w:val="00B41E18"/>
    <w:rsid w:val="00B42BAC"/>
    <w:rsid w:val="00B44333"/>
    <w:rsid w:val="00B47338"/>
    <w:rsid w:val="00B50750"/>
    <w:rsid w:val="00B53611"/>
    <w:rsid w:val="00B60AB8"/>
    <w:rsid w:val="00B626C6"/>
    <w:rsid w:val="00B63366"/>
    <w:rsid w:val="00B63573"/>
    <w:rsid w:val="00B63746"/>
    <w:rsid w:val="00B63ABB"/>
    <w:rsid w:val="00B644A5"/>
    <w:rsid w:val="00B648CA"/>
    <w:rsid w:val="00B7227D"/>
    <w:rsid w:val="00B74084"/>
    <w:rsid w:val="00B759AE"/>
    <w:rsid w:val="00B764D5"/>
    <w:rsid w:val="00B81C49"/>
    <w:rsid w:val="00B82F03"/>
    <w:rsid w:val="00B8328D"/>
    <w:rsid w:val="00B8480C"/>
    <w:rsid w:val="00B84B62"/>
    <w:rsid w:val="00B879E7"/>
    <w:rsid w:val="00B916B3"/>
    <w:rsid w:val="00B92EAC"/>
    <w:rsid w:val="00B95391"/>
    <w:rsid w:val="00B96BFC"/>
    <w:rsid w:val="00B97B41"/>
    <w:rsid w:val="00BA27C0"/>
    <w:rsid w:val="00BA386F"/>
    <w:rsid w:val="00BA3A4A"/>
    <w:rsid w:val="00BA3FDF"/>
    <w:rsid w:val="00BA517A"/>
    <w:rsid w:val="00BA52E6"/>
    <w:rsid w:val="00BB0AE0"/>
    <w:rsid w:val="00BB1221"/>
    <w:rsid w:val="00BB1859"/>
    <w:rsid w:val="00BB2DF2"/>
    <w:rsid w:val="00BB3D12"/>
    <w:rsid w:val="00BB3F83"/>
    <w:rsid w:val="00BB58DE"/>
    <w:rsid w:val="00BB6908"/>
    <w:rsid w:val="00BC05E9"/>
    <w:rsid w:val="00BC0E0B"/>
    <w:rsid w:val="00BC0F26"/>
    <w:rsid w:val="00BC1185"/>
    <w:rsid w:val="00BC1C5A"/>
    <w:rsid w:val="00BC2CED"/>
    <w:rsid w:val="00BC639E"/>
    <w:rsid w:val="00BD0049"/>
    <w:rsid w:val="00BD6B9B"/>
    <w:rsid w:val="00BE011C"/>
    <w:rsid w:val="00BE0786"/>
    <w:rsid w:val="00BE2540"/>
    <w:rsid w:val="00BE2752"/>
    <w:rsid w:val="00BE3AE5"/>
    <w:rsid w:val="00BE49B8"/>
    <w:rsid w:val="00BE4E04"/>
    <w:rsid w:val="00BE6B66"/>
    <w:rsid w:val="00BF4D7D"/>
    <w:rsid w:val="00BF62E4"/>
    <w:rsid w:val="00BF6601"/>
    <w:rsid w:val="00BF6889"/>
    <w:rsid w:val="00BF6A1F"/>
    <w:rsid w:val="00BF6E71"/>
    <w:rsid w:val="00BF7627"/>
    <w:rsid w:val="00BF7D19"/>
    <w:rsid w:val="00BF7EA4"/>
    <w:rsid w:val="00C0102E"/>
    <w:rsid w:val="00C02A23"/>
    <w:rsid w:val="00C10299"/>
    <w:rsid w:val="00C1107B"/>
    <w:rsid w:val="00C12AD7"/>
    <w:rsid w:val="00C12CCE"/>
    <w:rsid w:val="00C13DEB"/>
    <w:rsid w:val="00C166D8"/>
    <w:rsid w:val="00C16C06"/>
    <w:rsid w:val="00C229F6"/>
    <w:rsid w:val="00C25216"/>
    <w:rsid w:val="00C257D4"/>
    <w:rsid w:val="00C25E96"/>
    <w:rsid w:val="00C27E3B"/>
    <w:rsid w:val="00C32EDD"/>
    <w:rsid w:val="00C342A5"/>
    <w:rsid w:val="00C3737D"/>
    <w:rsid w:val="00C379D2"/>
    <w:rsid w:val="00C41C2B"/>
    <w:rsid w:val="00C43CC2"/>
    <w:rsid w:val="00C44A93"/>
    <w:rsid w:val="00C46EFE"/>
    <w:rsid w:val="00C555E8"/>
    <w:rsid w:val="00C5583D"/>
    <w:rsid w:val="00C628D9"/>
    <w:rsid w:val="00C64D09"/>
    <w:rsid w:val="00C65257"/>
    <w:rsid w:val="00C70FA2"/>
    <w:rsid w:val="00C71492"/>
    <w:rsid w:val="00C73814"/>
    <w:rsid w:val="00C74841"/>
    <w:rsid w:val="00C75090"/>
    <w:rsid w:val="00C76C91"/>
    <w:rsid w:val="00C76F7C"/>
    <w:rsid w:val="00C810DB"/>
    <w:rsid w:val="00C8722B"/>
    <w:rsid w:val="00C877EC"/>
    <w:rsid w:val="00C90CCA"/>
    <w:rsid w:val="00C91829"/>
    <w:rsid w:val="00C920E2"/>
    <w:rsid w:val="00C92750"/>
    <w:rsid w:val="00C949CD"/>
    <w:rsid w:val="00C96C78"/>
    <w:rsid w:val="00C96EB7"/>
    <w:rsid w:val="00CA406B"/>
    <w:rsid w:val="00CA5772"/>
    <w:rsid w:val="00CA6408"/>
    <w:rsid w:val="00CA744D"/>
    <w:rsid w:val="00CB3A3C"/>
    <w:rsid w:val="00CB52DF"/>
    <w:rsid w:val="00CB58D7"/>
    <w:rsid w:val="00CB7077"/>
    <w:rsid w:val="00CB717B"/>
    <w:rsid w:val="00CC014E"/>
    <w:rsid w:val="00CC1336"/>
    <w:rsid w:val="00CC2F24"/>
    <w:rsid w:val="00CC47AC"/>
    <w:rsid w:val="00CD1B9A"/>
    <w:rsid w:val="00CD2664"/>
    <w:rsid w:val="00CD683A"/>
    <w:rsid w:val="00CD6D7D"/>
    <w:rsid w:val="00CE0DE5"/>
    <w:rsid w:val="00CE37E3"/>
    <w:rsid w:val="00CE488A"/>
    <w:rsid w:val="00CE577F"/>
    <w:rsid w:val="00CE5B47"/>
    <w:rsid w:val="00CE5FDA"/>
    <w:rsid w:val="00CF3133"/>
    <w:rsid w:val="00CF38AB"/>
    <w:rsid w:val="00CF4216"/>
    <w:rsid w:val="00CF52EA"/>
    <w:rsid w:val="00CF5ED6"/>
    <w:rsid w:val="00CF6EB5"/>
    <w:rsid w:val="00D020B7"/>
    <w:rsid w:val="00D0284F"/>
    <w:rsid w:val="00D02A8F"/>
    <w:rsid w:val="00D039A3"/>
    <w:rsid w:val="00D05B90"/>
    <w:rsid w:val="00D06207"/>
    <w:rsid w:val="00D070DE"/>
    <w:rsid w:val="00D07432"/>
    <w:rsid w:val="00D1071E"/>
    <w:rsid w:val="00D107AA"/>
    <w:rsid w:val="00D11E75"/>
    <w:rsid w:val="00D12A6A"/>
    <w:rsid w:val="00D12D09"/>
    <w:rsid w:val="00D12D1F"/>
    <w:rsid w:val="00D131C8"/>
    <w:rsid w:val="00D142C6"/>
    <w:rsid w:val="00D15C29"/>
    <w:rsid w:val="00D16361"/>
    <w:rsid w:val="00D16617"/>
    <w:rsid w:val="00D25D1F"/>
    <w:rsid w:val="00D276E9"/>
    <w:rsid w:val="00D311DE"/>
    <w:rsid w:val="00D31E03"/>
    <w:rsid w:val="00D341A8"/>
    <w:rsid w:val="00D34AB8"/>
    <w:rsid w:val="00D355F0"/>
    <w:rsid w:val="00D37BCD"/>
    <w:rsid w:val="00D40EBF"/>
    <w:rsid w:val="00D43036"/>
    <w:rsid w:val="00D43860"/>
    <w:rsid w:val="00D45059"/>
    <w:rsid w:val="00D47A88"/>
    <w:rsid w:val="00D5091D"/>
    <w:rsid w:val="00D51952"/>
    <w:rsid w:val="00D51FB9"/>
    <w:rsid w:val="00D54B02"/>
    <w:rsid w:val="00D54FD5"/>
    <w:rsid w:val="00D55735"/>
    <w:rsid w:val="00D56EE5"/>
    <w:rsid w:val="00D570B0"/>
    <w:rsid w:val="00D6104F"/>
    <w:rsid w:val="00D61CEE"/>
    <w:rsid w:val="00D62D1E"/>
    <w:rsid w:val="00D65183"/>
    <w:rsid w:val="00D65CFD"/>
    <w:rsid w:val="00D665F7"/>
    <w:rsid w:val="00D70BC1"/>
    <w:rsid w:val="00D718F4"/>
    <w:rsid w:val="00D723DA"/>
    <w:rsid w:val="00D72949"/>
    <w:rsid w:val="00D741EA"/>
    <w:rsid w:val="00D74380"/>
    <w:rsid w:val="00D74EB6"/>
    <w:rsid w:val="00D75D50"/>
    <w:rsid w:val="00D7700B"/>
    <w:rsid w:val="00D77BC9"/>
    <w:rsid w:val="00D81070"/>
    <w:rsid w:val="00D83AD1"/>
    <w:rsid w:val="00D84307"/>
    <w:rsid w:val="00D87B70"/>
    <w:rsid w:val="00D94480"/>
    <w:rsid w:val="00D9604F"/>
    <w:rsid w:val="00DA0520"/>
    <w:rsid w:val="00DA289A"/>
    <w:rsid w:val="00DA6088"/>
    <w:rsid w:val="00DA6908"/>
    <w:rsid w:val="00DB1C88"/>
    <w:rsid w:val="00DB2251"/>
    <w:rsid w:val="00DB33AB"/>
    <w:rsid w:val="00DB3713"/>
    <w:rsid w:val="00DB44C6"/>
    <w:rsid w:val="00DB486E"/>
    <w:rsid w:val="00DC05C3"/>
    <w:rsid w:val="00DC0880"/>
    <w:rsid w:val="00DC0BF5"/>
    <w:rsid w:val="00DC36E4"/>
    <w:rsid w:val="00DC3BB5"/>
    <w:rsid w:val="00DC58BC"/>
    <w:rsid w:val="00DC5E50"/>
    <w:rsid w:val="00DC7FFB"/>
    <w:rsid w:val="00DD1C22"/>
    <w:rsid w:val="00DD241C"/>
    <w:rsid w:val="00DD3A43"/>
    <w:rsid w:val="00DD628A"/>
    <w:rsid w:val="00DD728F"/>
    <w:rsid w:val="00DE48AC"/>
    <w:rsid w:val="00DE7372"/>
    <w:rsid w:val="00DF2C1C"/>
    <w:rsid w:val="00DF33DF"/>
    <w:rsid w:val="00DF7CED"/>
    <w:rsid w:val="00E02DF6"/>
    <w:rsid w:val="00E0309B"/>
    <w:rsid w:val="00E038C4"/>
    <w:rsid w:val="00E1202D"/>
    <w:rsid w:val="00E12E7A"/>
    <w:rsid w:val="00E14315"/>
    <w:rsid w:val="00E1547C"/>
    <w:rsid w:val="00E15F43"/>
    <w:rsid w:val="00E167EB"/>
    <w:rsid w:val="00E172BB"/>
    <w:rsid w:val="00E17A64"/>
    <w:rsid w:val="00E17FCF"/>
    <w:rsid w:val="00E20B65"/>
    <w:rsid w:val="00E25255"/>
    <w:rsid w:val="00E270E6"/>
    <w:rsid w:val="00E30064"/>
    <w:rsid w:val="00E30582"/>
    <w:rsid w:val="00E3125E"/>
    <w:rsid w:val="00E3441B"/>
    <w:rsid w:val="00E3468D"/>
    <w:rsid w:val="00E4116C"/>
    <w:rsid w:val="00E43040"/>
    <w:rsid w:val="00E43D1E"/>
    <w:rsid w:val="00E44302"/>
    <w:rsid w:val="00E46E01"/>
    <w:rsid w:val="00E52217"/>
    <w:rsid w:val="00E53D8E"/>
    <w:rsid w:val="00E55E2A"/>
    <w:rsid w:val="00E611F4"/>
    <w:rsid w:val="00E64A87"/>
    <w:rsid w:val="00E74CD1"/>
    <w:rsid w:val="00E76767"/>
    <w:rsid w:val="00E76E7F"/>
    <w:rsid w:val="00E77517"/>
    <w:rsid w:val="00E778EA"/>
    <w:rsid w:val="00E80016"/>
    <w:rsid w:val="00E81305"/>
    <w:rsid w:val="00E852EB"/>
    <w:rsid w:val="00E86CF6"/>
    <w:rsid w:val="00E908A8"/>
    <w:rsid w:val="00E9160A"/>
    <w:rsid w:val="00E91BB5"/>
    <w:rsid w:val="00E92A51"/>
    <w:rsid w:val="00E93488"/>
    <w:rsid w:val="00E95C9C"/>
    <w:rsid w:val="00E960C4"/>
    <w:rsid w:val="00E9633D"/>
    <w:rsid w:val="00EA0811"/>
    <w:rsid w:val="00EA0F33"/>
    <w:rsid w:val="00EA113D"/>
    <w:rsid w:val="00EA1BDE"/>
    <w:rsid w:val="00EA3589"/>
    <w:rsid w:val="00EA3A9F"/>
    <w:rsid w:val="00EA50D4"/>
    <w:rsid w:val="00EA581D"/>
    <w:rsid w:val="00EA74B3"/>
    <w:rsid w:val="00EB054E"/>
    <w:rsid w:val="00EB05EE"/>
    <w:rsid w:val="00EB3489"/>
    <w:rsid w:val="00EB4025"/>
    <w:rsid w:val="00EB6D32"/>
    <w:rsid w:val="00EC0182"/>
    <w:rsid w:val="00EC25F0"/>
    <w:rsid w:val="00EC2DA5"/>
    <w:rsid w:val="00EC3A73"/>
    <w:rsid w:val="00EC4B0E"/>
    <w:rsid w:val="00EC74EA"/>
    <w:rsid w:val="00ED05C6"/>
    <w:rsid w:val="00ED12EA"/>
    <w:rsid w:val="00ED45AD"/>
    <w:rsid w:val="00ED5869"/>
    <w:rsid w:val="00ED6C25"/>
    <w:rsid w:val="00ED6ED4"/>
    <w:rsid w:val="00ED7A71"/>
    <w:rsid w:val="00EE069B"/>
    <w:rsid w:val="00EE06CD"/>
    <w:rsid w:val="00EE07C8"/>
    <w:rsid w:val="00EE3311"/>
    <w:rsid w:val="00EE368C"/>
    <w:rsid w:val="00EE467F"/>
    <w:rsid w:val="00EE69AF"/>
    <w:rsid w:val="00EF2E68"/>
    <w:rsid w:val="00F016C6"/>
    <w:rsid w:val="00F05CDF"/>
    <w:rsid w:val="00F1091E"/>
    <w:rsid w:val="00F1230B"/>
    <w:rsid w:val="00F12D28"/>
    <w:rsid w:val="00F14012"/>
    <w:rsid w:val="00F14898"/>
    <w:rsid w:val="00F14B42"/>
    <w:rsid w:val="00F163AE"/>
    <w:rsid w:val="00F167B8"/>
    <w:rsid w:val="00F21954"/>
    <w:rsid w:val="00F21AF9"/>
    <w:rsid w:val="00F21D3D"/>
    <w:rsid w:val="00F22728"/>
    <w:rsid w:val="00F264B0"/>
    <w:rsid w:val="00F27E03"/>
    <w:rsid w:val="00F30337"/>
    <w:rsid w:val="00F3440E"/>
    <w:rsid w:val="00F34514"/>
    <w:rsid w:val="00F34B01"/>
    <w:rsid w:val="00F36C6E"/>
    <w:rsid w:val="00F36FA0"/>
    <w:rsid w:val="00F3734A"/>
    <w:rsid w:val="00F379F2"/>
    <w:rsid w:val="00F41620"/>
    <w:rsid w:val="00F41D6E"/>
    <w:rsid w:val="00F42F68"/>
    <w:rsid w:val="00F431A8"/>
    <w:rsid w:val="00F43F8D"/>
    <w:rsid w:val="00F44C77"/>
    <w:rsid w:val="00F45752"/>
    <w:rsid w:val="00F46584"/>
    <w:rsid w:val="00F601A3"/>
    <w:rsid w:val="00F617C6"/>
    <w:rsid w:val="00F62124"/>
    <w:rsid w:val="00F62251"/>
    <w:rsid w:val="00F6338E"/>
    <w:rsid w:val="00F63AD0"/>
    <w:rsid w:val="00F648BB"/>
    <w:rsid w:val="00F65CD9"/>
    <w:rsid w:val="00F669CE"/>
    <w:rsid w:val="00F70B53"/>
    <w:rsid w:val="00F74017"/>
    <w:rsid w:val="00F80969"/>
    <w:rsid w:val="00F8098B"/>
    <w:rsid w:val="00F837DA"/>
    <w:rsid w:val="00F84CDA"/>
    <w:rsid w:val="00F85058"/>
    <w:rsid w:val="00F858E3"/>
    <w:rsid w:val="00F941F9"/>
    <w:rsid w:val="00F9527D"/>
    <w:rsid w:val="00F952B4"/>
    <w:rsid w:val="00F95AA5"/>
    <w:rsid w:val="00F96EA8"/>
    <w:rsid w:val="00F97B58"/>
    <w:rsid w:val="00FA2272"/>
    <w:rsid w:val="00FA57B4"/>
    <w:rsid w:val="00FA5909"/>
    <w:rsid w:val="00FA69D4"/>
    <w:rsid w:val="00FA731E"/>
    <w:rsid w:val="00FA7744"/>
    <w:rsid w:val="00FB380C"/>
    <w:rsid w:val="00FB3B72"/>
    <w:rsid w:val="00FB3EF7"/>
    <w:rsid w:val="00FB7E9E"/>
    <w:rsid w:val="00FC2F57"/>
    <w:rsid w:val="00FC3030"/>
    <w:rsid w:val="00FC632D"/>
    <w:rsid w:val="00FC7C3F"/>
    <w:rsid w:val="00FD1F83"/>
    <w:rsid w:val="00FD21F0"/>
    <w:rsid w:val="00FD29D5"/>
    <w:rsid w:val="00FD5464"/>
    <w:rsid w:val="00FD7871"/>
    <w:rsid w:val="00FE028B"/>
    <w:rsid w:val="00FE42C0"/>
    <w:rsid w:val="00FE4DF2"/>
    <w:rsid w:val="00FE5433"/>
    <w:rsid w:val="00FE5F63"/>
    <w:rsid w:val="00FE60A5"/>
    <w:rsid w:val="00FE6364"/>
    <w:rsid w:val="00FF3551"/>
    <w:rsid w:val="00FF3C09"/>
    <w:rsid w:val="00FF6C59"/>
    <w:rsid w:val="00FF6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4BF4DF"/>
  <w15:chartTrackingRefBased/>
  <w15:docId w15:val="{8D9538A7-8A41-5147-A501-3802209C5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563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4248C"/>
    <w:pPr>
      <w:ind w:left="720"/>
      <w:contextualSpacing/>
    </w:pPr>
  </w:style>
  <w:style w:type="character" w:styleId="Hyperlink">
    <w:name w:val="Hyperlink"/>
    <w:basedOn w:val="DefaultParagraphFont"/>
    <w:uiPriority w:val="99"/>
    <w:unhideWhenUsed/>
    <w:rsid w:val="002B3038"/>
    <w:rPr>
      <w:color w:val="0563C1" w:themeColor="hyperlink"/>
      <w:u w:val="single"/>
    </w:rPr>
  </w:style>
  <w:style w:type="character" w:styleId="UnresolvedMention">
    <w:name w:val="Unresolved Mention"/>
    <w:basedOn w:val="DefaultParagraphFont"/>
    <w:uiPriority w:val="99"/>
    <w:semiHidden/>
    <w:unhideWhenUsed/>
    <w:rsid w:val="002B3038"/>
    <w:rPr>
      <w:color w:val="605E5C"/>
      <w:shd w:val="clear" w:color="auto" w:fill="E1DFDD"/>
    </w:rPr>
  </w:style>
  <w:style w:type="character" w:styleId="FollowedHyperlink">
    <w:name w:val="FollowedHyperlink"/>
    <w:basedOn w:val="DefaultParagraphFont"/>
    <w:uiPriority w:val="99"/>
    <w:semiHidden/>
    <w:unhideWhenUsed/>
    <w:rsid w:val="00085386"/>
    <w:rPr>
      <w:color w:val="954F72" w:themeColor="followedHyperlink"/>
      <w:u w:val="single"/>
    </w:rPr>
  </w:style>
  <w:style w:type="character" w:customStyle="1" w:styleId="Heading1Char">
    <w:name w:val="Heading 1 Char"/>
    <w:basedOn w:val="DefaultParagraphFont"/>
    <w:link w:val="Heading1"/>
    <w:uiPriority w:val="9"/>
    <w:rsid w:val="00A2563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rticle/using-anti-social-behaviour-asb-case-review-address-anti-social-behaviour" TargetMode="External"/><Relationship Id="rId18" Type="http://schemas.openxmlformats.org/officeDocument/2006/relationships/hyperlink" Target="https://www.justice.gov/file/1437336/download" TargetMode="External"/><Relationship Id="rId26" Type="http://schemas.openxmlformats.org/officeDocument/2006/relationships/hyperlink" Target="https://assets.publishing.service.gov.uk/media/5b684f22e5274a14f45342c9/the-economic-and-social-costs-of-crime-horr99.pdf" TargetMode="External"/><Relationship Id="rId39" Type="http://schemas.openxmlformats.org/officeDocument/2006/relationships/hyperlink" Target="https://www.unison.org.uk/news/press-release/2023/06/police-forces-in-england-and-wales-could-face-a-combined-budget-shortfall-of-more-than-700m-by-2026-warns-unison/" TargetMode="External"/><Relationship Id="rId21" Type="http://schemas.openxmlformats.org/officeDocument/2006/relationships/hyperlink" Target="https://youthendowmentfund.org.uk/wp-content/uploads/2022/07/YEF-Hot-Spots-Policing-Technical-Report_Final_July-2022.pdf" TargetMode="External"/><Relationship Id="rId34" Type="http://schemas.openxmlformats.org/officeDocument/2006/relationships/hyperlink" Target="https://bmcpublichealth.biomedcentral.com/counter/pdf/10.1186/1471-2458-12-38.pdf" TargetMode="External"/><Relationship Id="rId42" Type="http://schemas.openxmlformats.org/officeDocument/2006/relationships/hyperlink" Target="https://www.walthamforest.gov.uk/neighbourhoods/crime-and-community-safety/community-safety/multi-agency-risk-assessment-conference-marac" TargetMode="External"/><Relationship Id="rId7" Type="http://schemas.openxmlformats.org/officeDocument/2006/relationships/hyperlink" Target="http://www.inquiriesjournal.com/articles/1028/2/the-use-and-effectiveness-of-problem-oriented-policing" TargetMode="External"/><Relationship Id="rId2" Type="http://schemas.openxmlformats.org/officeDocument/2006/relationships/styles" Target="styles.xml"/><Relationship Id="rId16" Type="http://schemas.openxmlformats.org/officeDocument/2006/relationships/hyperlink" Target="https://paas-s3-broker-prod-lon-6453d964-1d1a-432a-9260-5e0ba7d2fc51.s3.eu-west-2.amazonaws.com/s3fs-public/2021-02/np_rea_summary.pdf" TargetMode="External"/><Relationship Id="rId20" Type="http://schemas.openxmlformats.org/officeDocument/2006/relationships/hyperlink" Target="https://eige.europa.eu/sites/default/files/documents/multi-agency_risk_assessment_conferences_marac_-_support_services_-_uk.pdf" TargetMode="External"/><Relationship Id="rId29" Type="http://schemas.openxmlformats.org/officeDocument/2006/relationships/hyperlink" Target="https://www.gov.uk/guidance/anti-social-behaviour-asb-case-review-also-known-as-the-community-trigger" TargetMode="External"/><Relationship Id="rId41" Type="http://schemas.openxmlformats.org/officeDocument/2006/relationships/hyperlink" Target="https://www.victimsupport.org.uk/crime-info/types-crime/burglary/" TargetMode="External"/><Relationship Id="rId1" Type="http://schemas.openxmlformats.org/officeDocument/2006/relationships/numbering" Target="numbering.xml"/><Relationship Id="rId6" Type="http://schemas.openxmlformats.org/officeDocument/2006/relationships/hyperlink" Target="https://www.crimeandjustice.org.uk/sites/crimeandjustice.org.uk/files/09627259408552680.pdf" TargetMode="External"/><Relationship Id="rId11" Type="http://schemas.openxmlformats.org/officeDocument/2006/relationships/hyperlink" Target="https://www.college.police.uk/research/crime-reduction-toolkit/hot-spots-policing" TargetMode="External"/><Relationship Id="rId24" Type="http://schemas.openxmlformats.org/officeDocument/2006/relationships/hyperlink" Target="https://www.hampshiresab.org.uk/learning-from-experience-database/serious-case-reviews/theme/anti-social-behaviour/" TargetMode="External"/><Relationship Id="rId32" Type="http://schemas.openxmlformats.org/officeDocument/2006/relationships/hyperlink" Target="https://www.report-it.org.uk/files/ipcc_report-fiona-pilkington-leicestershire.pdf" TargetMode="External"/><Relationship Id="rId37" Type="http://schemas.openxmlformats.org/officeDocument/2006/relationships/hyperlink" Target="https://www.ons.gov.uk/peoplepopulationandcommunity/crimeandjustice/bulletins/crimeinenglandandwales/yearendingdecember2022" TargetMode="External"/><Relationship Id="rId40" Type="http://schemas.openxmlformats.org/officeDocument/2006/relationships/hyperlink" Target="https://www.port.ac.uk/news-events-and-blogs/news/one-in-ten-burglary-victims-moves-house" TargetMode="External"/><Relationship Id="rId5" Type="http://schemas.openxmlformats.org/officeDocument/2006/relationships/hyperlink" Target="https://asbhelp.co.uk/a-pilkington-malaise-have-we-really-learnt-the-lessons-for-2020/" TargetMode="External"/><Relationship Id="rId15" Type="http://schemas.openxmlformats.org/officeDocument/2006/relationships/hyperlink" Target="https://www.college.police.uk/article/effective-implementation-problem-oriented-policing-guidelines" TargetMode="External"/><Relationship Id="rId23" Type="http://schemas.openxmlformats.org/officeDocument/2006/relationships/hyperlink" Target="https://www.gov.uk/guidance/police-and-criminal-evidence-act-1984-pace-codes-of-practice" TargetMode="External"/><Relationship Id="rId28" Type="http://schemas.openxmlformats.org/officeDocument/2006/relationships/hyperlink" Target="https://www.justiceinspectorates.gov.uk/hmiprobation/research/the-evidence-base-probation/specific-types-of-delivery/mappa/" TargetMode="External"/><Relationship Id="rId36" Type="http://schemas.openxmlformats.org/officeDocument/2006/relationships/hyperlink" Target="https://doi.org/10.1038/s41598-020-80897-8" TargetMode="External"/><Relationship Id="rId10" Type="http://schemas.openxmlformats.org/officeDocument/2006/relationships/hyperlink" Target="https://www.college.police.uk/app/engagement-and-communication/engagement" TargetMode="External"/><Relationship Id="rId19" Type="http://schemas.openxmlformats.org/officeDocument/2006/relationships/hyperlink" Target="https://www.victimsupport.org.uk/wp-content/uploads/documents/files/VS_Understanding%20victims%20of%20crime_web.pdf" TargetMode="External"/><Relationship Id="rId31" Type="http://schemas.openxmlformats.org/officeDocument/2006/relationships/hyperlink" Target="https://www.policeconduct.gov.uk/sites/default/files/documents/police-complaints-statistics-for-england-and-wales-2022-23.pdf"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186/s40163-018-0078-4" TargetMode="External"/><Relationship Id="rId14" Type="http://schemas.openxmlformats.org/officeDocument/2006/relationships/hyperlink" Target="https://www.college.police.uk/anti-social-behaviour" TargetMode="External"/><Relationship Id="rId22" Type="http://schemas.openxmlformats.org/officeDocument/2006/relationships/hyperlink" Target="https://www.gov.uk/government/publications/policing-by-consent/definition-of-policing-by-consent" TargetMode="External"/><Relationship Id="rId27" Type="http://schemas.openxmlformats.org/officeDocument/2006/relationships/hyperlink" Target="https://hmicfrs.justiceinspectorates.gov.uk/our-work/article/stop-and-search/" TargetMode="External"/><Relationship Id="rId30" Type="http://schemas.openxmlformats.org/officeDocument/2006/relationships/hyperlink" Target="https://www.gov.uk/government/publications/impacts-of-anti-social-behaviour-on-individuals-and-communities/anti-social-behaviour-impacts-on-individuals-and-local-communities" TargetMode="External"/><Relationship Id="rId35" Type="http://schemas.openxmlformats.org/officeDocument/2006/relationships/hyperlink" Target="https://library.college.police.uk/docs/npia/public-confidence-in-the-police.pdf" TargetMode="External"/><Relationship Id="rId43" Type="http://schemas.openxmlformats.org/officeDocument/2006/relationships/fontTable" Target="fontTable.xml"/><Relationship Id="rId8" Type="http://schemas.openxmlformats.org/officeDocument/2006/relationships/hyperlink" Target="https://www.btp.police.uk/police-forces/british-transport-police/areas/about-us/about-us/in-the-community/pact-meetings/" TargetMode="External"/><Relationship Id="rId3" Type="http://schemas.openxmlformats.org/officeDocument/2006/relationships/settings" Target="settings.xml"/><Relationship Id="rId12" Type="http://schemas.openxmlformats.org/officeDocument/2006/relationships/hyperlink" Target="https://www.college.police.uk/guidance/problem-solving-policing" TargetMode="External"/><Relationship Id="rId17" Type="http://schemas.openxmlformats.org/officeDocument/2006/relationships/hyperlink" Target="https://www.cps.gov.uk/legal-guidance/theft-act-offences" TargetMode="External"/><Relationship Id="rId25" Type="http://schemas.openxmlformats.org/officeDocument/2006/relationships/hyperlink" Target="https://www.gov.uk/government/publications/public-perceptions-of-policing-a-review-of-research-and-literature/public-perceptions-of-policing-a-review-of-research-and-literature" TargetMode="External"/><Relationship Id="rId33" Type="http://schemas.openxmlformats.org/officeDocument/2006/relationships/hyperlink" Target="https://link-springer-com.ezproxy.uwtsd.ac.uk/content/pdf/10.1007/s12117-017-9317-4.pdf" TargetMode="External"/><Relationship Id="rId38" Type="http://schemas.openxmlformats.org/officeDocument/2006/relationships/hyperlink" Target="https://www.ons.gov.uk/peoplepopulationandcommunity/crimeandjustice/bulletins/crimeinenglandandwales/yearendingmarch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2506</TotalTime>
  <Pages>15</Pages>
  <Words>4990</Words>
  <Characters>28448</Characters>
  <Application>Microsoft Office Word</Application>
  <DocSecurity>0</DocSecurity>
  <Lines>237</Lines>
  <Paragraphs>66</Paragraphs>
  <ScaleCrop>false</ScaleCrop>
  <Company/>
  <LinksUpToDate>false</LinksUpToDate>
  <CharactersWithSpaces>33372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Bowen (2200584)</dc:creator>
  <cp:keywords/>
  <dc:description/>
  <cp:lastModifiedBy>Ellie Bowen (2200584)</cp:lastModifiedBy>
  <cp:revision>1395</cp:revision>
  <dcterms:created xsi:type="dcterms:W3CDTF">2023-10-22T19:59:00Z</dcterms:created>
  <dcterms:modified xsi:type="dcterms:W3CDTF">2023-11-09T19:58:00Z</dcterms:modified>
</cp:coreProperties>
</file>