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0550A" w14:textId="77777777" w:rsidR="00135F41" w:rsidRPr="00BD500B" w:rsidRDefault="00FB0CAC" w:rsidP="00BD500B">
      <w:pPr>
        <w:spacing w:before="1400" w:line="360" w:lineRule="auto"/>
        <w:jc w:val="center"/>
        <w:rPr>
          <w:rFonts w:ascii="Arial" w:hAnsi="Arial" w:cs="Arial"/>
        </w:rPr>
      </w:pPr>
      <w:r w:rsidRPr="00BD500B">
        <w:rPr>
          <w:rFonts w:ascii="Arial" w:hAnsi="Arial" w:cs="Arial"/>
          <w:color w:val="555555"/>
          <w:sz w:val="26"/>
          <w:szCs w:val="26"/>
        </w:rPr>
        <w:t>University of Wales Trinity Saint David</w:t>
      </w:r>
    </w:p>
    <w:p w14:paraId="34BB1D1A" w14:textId="77777777" w:rsidR="00135F41" w:rsidRPr="00BD500B" w:rsidRDefault="00FB0CAC" w:rsidP="00BD500B">
      <w:pPr>
        <w:spacing w:before="600" w:after="120" w:line="360" w:lineRule="auto"/>
        <w:jc w:val="center"/>
        <w:rPr>
          <w:rFonts w:ascii="Arial" w:hAnsi="Arial" w:cs="Arial"/>
        </w:rPr>
      </w:pPr>
      <w:r w:rsidRPr="00BD500B">
        <w:rPr>
          <w:rFonts w:ascii="Arial" w:hAnsi="Arial" w:cs="Arial"/>
          <w:b/>
          <w:bCs/>
          <w:color w:val="0E7C86"/>
          <w:sz w:val="64"/>
          <w:szCs w:val="64"/>
        </w:rPr>
        <w:t>WellCare Connect</w:t>
      </w:r>
    </w:p>
    <w:p w14:paraId="09583854" w14:textId="77777777" w:rsidR="00135F41" w:rsidRPr="00BD500B" w:rsidRDefault="00FB0CAC" w:rsidP="00BD500B">
      <w:pPr>
        <w:spacing w:after="200" w:line="360" w:lineRule="auto"/>
        <w:jc w:val="center"/>
        <w:rPr>
          <w:rFonts w:ascii="Arial" w:hAnsi="Arial" w:cs="Arial"/>
        </w:rPr>
      </w:pPr>
      <w:r w:rsidRPr="00BD500B">
        <w:rPr>
          <w:rFonts w:ascii="Arial" w:hAnsi="Arial" w:cs="Arial"/>
          <w:color w:val="1B2A49"/>
          <w:sz w:val="36"/>
          <w:szCs w:val="36"/>
        </w:rPr>
        <w:t>Website Redesign for Online Business Presence</w:t>
      </w:r>
    </w:p>
    <w:p w14:paraId="1875A5BE" w14:textId="77777777" w:rsidR="00135F41" w:rsidRPr="00BD500B" w:rsidRDefault="00FB0CAC" w:rsidP="00BD500B">
      <w:pPr>
        <w:pBdr>
          <w:bottom w:val="single" w:sz="12" w:space="12" w:color="0E7C86"/>
        </w:pBdr>
        <w:spacing w:after="1200" w:line="360" w:lineRule="auto"/>
        <w:jc w:val="center"/>
        <w:rPr>
          <w:rFonts w:ascii="Arial" w:hAnsi="Arial" w:cs="Arial"/>
        </w:rPr>
      </w:pPr>
      <w:r w:rsidRPr="00BD500B">
        <w:rPr>
          <w:rFonts w:ascii="Arial" w:hAnsi="Arial" w:cs="Arial"/>
          <w:i/>
          <w:iCs/>
          <w:color w:val="555555"/>
          <w:sz w:val="26"/>
          <w:szCs w:val="26"/>
        </w:rPr>
        <w:t>UI/UX Design Specification Report – Component 1</w:t>
      </w:r>
    </w:p>
    <w:p w14:paraId="7464187A" w14:textId="58E9BF05" w:rsidR="00135F41" w:rsidRPr="00BD500B" w:rsidRDefault="00FB0CAC" w:rsidP="00BD500B">
      <w:pPr>
        <w:shd w:val="clear" w:color="auto" w:fill="FFFFFF" w:themeFill="background1"/>
        <w:spacing w:after="120" w:line="360" w:lineRule="auto"/>
        <w:jc w:val="center"/>
        <w:rPr>
          <w:rFonts w:ascii="Arial" w:hAnsi="Arial" w:cs="Arial"/>
        </w:rPr>
      </w:pPr>
      <w:r w:rsidRPr="00BD500B">
        <w:rPr>
          <w:rFonts w:ascii="Arial" w:hAnsi="Arial" w:cs="Arial"/>
          <w:b/>
          <w:bCs/>
          <w:color w:val="1B2A49"/>
          <w:sz w:val="24"/>
          <w:szCs w:val="24"/>
        </w:rPr>
        <w:t>Student name:</w:t>
      </w:r>
      <w:r w:rsidR="00414327" w:rsidRPr="00BD500B">
        <w:rPr>
          <w:rFonts w:ascii="Arial" w:hAnsi="Arial" w:cs="Arial"/>
          <w:b/>
          <w:bCs/>
          <w:color w:val="1B2A49"/>
          <w:sz w:val="24"/>
          <w:szCs w:val="24"/>
        </w:rPr>
        <w:t xml:space="preserve"> </w:t>
      </w:r>
      <w:r w:rsidR="00414327" w:rsidRPr="00BD500B">
        <w:rPr>
          <w:rFonts w:ascii="Arial" w:hAnsi="Arial" w:cs="Arial"/>
        </w:rPr>
        <w:t>Cristian Visan</w:t>
      </w:r>
    </w:p>
    <w:p w14:paraId="0781BA5B" w14:textId="46F7115E" w:rsidR="009F29E8" w:rsidRPr="00BD500B" w:rsidRDefault="009F29E8" w:rsidP="00BD500B">
      <w:pPr>
        <w:spacing w:after="160" w:line="360" w:lineRule="auto"/>
        <w:jc w:val="both"/>
        <w:rPr>
          <w:rFonts w:ascii="Arial" w:hAnsi="Arial" w:cs="Arial"/>
        </w:rPr>
      </w:pPr>
      <w:r w:rsidRPr="00BD500B">
        <w:rPr>
          <w:rFonts w:ascii="Arial" w:hAnsi="Arial" w:cs="Arial"/>
          <w:b/>
          <w:bCs/>
          <w:color w:val="1B2A49"/>
          <w:sz w:val="24"/>
          <w:szCs w:val="24"/>
        </w:rPr>
        <w:t xml:space="preserve">                                                         </w:t>
      </w:r>
      <w:r w:rsidR="00FB0CAC" w:rsidRPr="00BD500B">
        <w:rPr>
          <w:rFonts w:ascii="Arial" w:hAnsi="Arial" w:cs="Arial"/>
          <w:b/>
          <w:bCs/>
          <w:color w:val="1B2A49"/>
          <w:sz w:val="24"/>
          <w:szCs w:val="24"/>
        </w:rPr>
        <w:t>Student number:</w:t>
      </w:r>
      <w:r w:rsidRPr="00BD500B">
        <w:rPr>
          <w:rFonts w:ascii="Arial" w:hAnsi="Arial" w:cs="Arial"/>
          <w:b/>
          <w:bCs/>
          <w:color w:val="1B2A49"/>
          <w:sz w:val="24"/>
          <w:szCs w:val="24"/>
        </w:rPr>
        <w:t xml:space="preserve"> </w:t>
      </w:r>
      <w:r w:rsidRPr="00BD500B">
        <w:rPr>
          <w:rFonts w:ascii="Arial" w:hAnsi="Arial" w:cs="Arial"/>
        </w:rPr>
        <w:t>2427859</w:t>
      </w:r>
    </w:p>
    <w:p w14:paraId="48497FC6" w14:textId="77777777" w:rsidR="00135F41" w:rsidRPr="00BD500B" w:rsidRDefault="00FB0CAC" w:rsidP="00BD500B">
      <w:pPr>
        <w:spacing w:after="120" w:line="360" w:lineRule="auto"/>
        <w:jc w:val="center"/>
        <w:rPr>
          <w:rFonts w:ascii="Arial" w:hAnsi="Arial" w:cs="Arial"/>
        </w:rPr>
      </w:pPr>
      <w:r w:rsidRPr="00BD500B">
        <w:rPr>
          <w:rFonts w:ascii="Arial" w:hAnsi="Arial" w:cs="Arial"/>
          <w:b/>
          <w:bCs/>
          <w:color w:val="1B2A49"/>
          <w:sz w:val="24"/>
          <w:szCs w:val="24"/>
        </w:rPr>
        <w:t xml:space="preserve">Course: </w:t>
      </w:r>
      <w:r w:rsidRPr="00BD500B">
        <w:rPr>
          <w:rFonts w:ascii="Arial" w:hAnsi="Arial" w:cs="Arial"/>
          <w:sz w:val="24"/>
          <w:szCs w:val="24"/>
        </w:rPr>
        <w:t>BSc Applied Computing</w:t>
      </w:r>
    </w:p>
    <w:p w14:paraId="46B7B163" w14:textId="77777777" w:rsidR="00135F41" w:rsidRPr="00BD500B" w:rsidRDefault="00FB0CAC" w:rsidP="00BD500B">
      <w:pPr>
        <w:spacing w:after="120" w:line="360" w:lineRule="auto"/>
        <w:jc w:val="center"/>
        <w:rPr>
          <w:rFonts w:ascii="Arial" w:hAnsi="Arial" w:cs="Arial"/>
        </w:rPr>
      </w:pPr>
      <w:r w:rsidRPr="00BD500B">
        <w:rPr>
          <w:rFonts w:ascii="Arial" w:hAnsi="Arial" w:cs="Arial"/>
          <w:b/>
          <w:bCs/>
          <w:color w:val="1B2A49"/>
          <w:sz w:val="24"/>
          <w:szCs w:val="24"/>
        </w:rPr>
        <w:t xml:space="preserve">Module: </w:t>
      </w:r>
      <w:r w:rsidRPr="00BD500B">
        <w:rPr>
          <w:rFonts w:ascii="Arial" w:hAnsi="Arial" w:cs="Arial"/>
          <w:sz w:val="24"/>
          <w:szCs w:val="24"/>
        </w:rPr>
        <w:t>ACCA5019 Business and Web Management</w:t>
      </w:r>
    </w:p>
    <w:p w14:paraId="101CF05E" w14:textId="77777777" w:rsidR="00135F41" w:rsidRPr="00BD500B" w:rsidRDefault="00FB0CAC" w:rsidP="00BD500B">
      <w:pPr>
        <w:spacing w:after="120" w:line="360" w:lineRule="auto"/>
        <w:jc w:val="center"/>
        <w:rPr>
          <w:rFonts w:ascii="Arial" w:hAnsi="Arial" w:cs="Arial"/>
        </w:rPr>
      </w:pPr>
      <w:r w:rsidRPr="00BD500B">
        <w:rPr>
          <w:rFonts w:ascii="Arial" w:hAnsi="Arial" w:cs="Arial"/>
          <w:b/>
          <w:bCs/>
          <w:color w:val="1B2A49"/>
          <w:sz w:val="24"/>
          <w:szCs w:val="24"/>
        </w:rPr>
        <w:t xml:space="preserve">Lecturer: </w:t>
      </w:r>
      <w:r w:rsidRPr="00BD500B">
        <w:rPr>
          <w:rFonts w:ascii="Arial" w:hAnsi="Arial" w:cs="Arial"/>
          <w:sz w:val="24"/>
          <w:szCs w:val="24"/>
        </w:rPr>
        <w:t xml:space="preserve">Dr </w:t>
      </w:r>
      <w:proofErr w:type="spellStart"/>
      <w:r w:rsidRPr="00BD500B">
        <w:rPr>
          <w:rFonts w:ascii="Arial" w:hAnsi="Arial" w:cs="Arial"/>
          <w:sz w:val="24"/>
          <w:szCs w:val="24"/>
        </w:rPr>
        <w:t>Mobolanle</w:t>
      </w:r>
      <w:proofErr w:type="spellEnd"/>
      <w:r w:rsidRPr="00BD500B">
        <w:rPr>
          <w:rFonts w:ascii="Arial" w:hAnsi="Arial" w:cs="Arial"/>
          <w:sz w:val="24"/>
          <w:szCs w:val="24"/>
        </w:rPr>
        <w:t xml:space="preserve"> Bello</w:t>
      </w:r>
    </w:p>
    <w:p w14:paraId="413E11FA" w14:textId="77777777" w:rsidR="00135F41" w:rsidRPr="00BD500B" w:rsidRDefault="00FB0CAC" w:rsidP="00BD500B">
      <w:pPr>
        <w:spacing w:after="120" w:line="360" w:lineRule="auto"/>
        <w:jc w:val="center"/>
        <w:rPr>
          <w:rFonts w:ascii="Arial" w:hAnsi="Arial" w:cs="Arial"/>
        </w:rPr>
      </w:pPr>
      <w:r w:rsidRPr="00BD500B">
        <w:rPr>
          <w:rFonts w:ascii="Arial" w:hAnsi="Arial" w:cs="Arial"/>
          <w:b/>
          <w:bCs/>
          <w:color w:val="1B2A49"/>
          <w:sz w:val="24"/>
          <w:szCs w:val="24"/>
        </w:rPr>
        <w:t xml:space="preserve">Date: </w:t>
      </w:r>
      <w:r w:rsidRPr="00BD500B">
        <w:rPr>
          <w:rFonts w:ascii="Arial" w:hAnsi="Arial" w:cs="Arial"/>
          <w:sz w:val="24"/>
          <w:szCs w:val="24"/>
        </w:rPr>
        <w:t>23 October 2026</w:t>
      </w:r>
    </w:p>
    <w:p w14:paraId="2E8D19F7" w14:textId="1A52117D" w:rsidR="00135F41" w:rsidRPr="00BD500B" w:rsidRDefault="00FB0CAC" w:rsidP="00BD500B">
      <w:pPr>
        <w:spacing w:line="360" w:lineRule="auto"/>
        <w:rPr>
          <w:rFonts w:ascii="Arial" w:hAnsi="Arial" w:cs="Arial"/>
        </w:rPr>
      </w:pPr>
      <w:r w:rsidRPr="00BD500B">
        <w:rPr>
          <w:rFonts w:ascii="Arial" w:hAnsi="Arial" w:cs="Arial"/>
        </w:rPr>
        <w:br w:type="page"/>
      </w:r>
    </w:p>
    <w:sdt>
      <w:sdtPr>
        <w:rPr>
          <w:rFonts w:ascii="Arial" w:eastAsia="Calibri" w:hAnsi="Arial" w:cs="Arial"/>
          <w:color w:val="auto"/>
          <w:sz w:val="23"/>
          <w:szCs w:val="23"/>
          <w:lang w:val="en-GB" w:eastAsia="en-GB"/>
        </w:rPr>
        <w:id w:val="-1400594460"/>
        <w:docPartObj>
          <w:docPartGallery w:val="Table of Contents"/>
          <w:docPartUnique/>
        </w:docPartObj>
      </w:sdtPr>
      <w:sdtEndPr>
        <w:rPr>
          <w:b/>
          <w:bCs/>
          <w:noProof/>
        </w:rPr>
      </w:sdtEndPr>
      <w:sdtContent>
        <w:p w14:paraId="0FE4E8D4" w14:textId="39EFE16D" w:rsidR="00E50C41" w:rsidRPr="00BD500B" w:rsidRDefault="00E50C41" w:rsidP="00BD500B">
          <w:pPr>
            <w:pStyle w:val="TOCHeading"/>
            <w:spacing w:line="360" w:lineRule="auto"/>
            <w:rPr>
              <w:rFonts w:ascii="Arial" w:hAnsi="Arial" w:cs="Arial"/>
            </w:rPr>
          </w:pPr>
          <w:r w:rsidRPr="00BD500B">
            <w:rPr>
              <w:rFonts w:ascii="Arial" w:hAnsi="Arial" w:cs="Arial"/>
            </w:rPr>
            <w:t>Contents</w:t>
          </w:r>
        </w:p>
        <w:p w14:paraId="7B6ABD24" w14:textId="576A68B1" w:rsidR="00E50C41" w:rsidRPr="00BD500B" w:rsidRDefault="00E50C41" w:rsidP="00BD500B">
          <w:pPr>
            <w:pStyle w:val="TOC1"/>
            <w:tabs>
              <w:tab w:val="right" w:leader="dot" w:pos="9016"/>
            </w:tabs>
            <w:spacing w:line="360" w:lineRule="auto"/>
            <w:rPr>
              <w:rFonts w:ascii="Arial" w:eastAsiaTheme="minorEastAsia" w:hAnsi="Arial" w:cs="Arial"/>
              <w:noProof/>
              <w:kern w:val="2"/>
              <w:sz w:val="24"/>
              <w:szCs w:val="24"/>
              <w14:ligatures w14:val="standardContextual"/>
            </w:rPr>
          </w:pPr>
          <w:r w:rsidRPr="00BD500B">
            <w:rPr>
              <w:rFonts w:ascii="Arial" w:hAnsi="Arial" w:cs="Arial"/>
            </w:rPr>
            <w:fldChar w:fldCharType="begin"/>
          </w:r>
          <w:r w:rsidRPr="00BD500B">
            <w:rPr>
              <w:rFonts w:ascii="Arial" w:hAnsi="Arial" w:cs="Arial"/>
            </w:rPr>
            <w:instrText xml:space="preserve"> TOC \o "1-3" \h \z \u </w:instrText>
          </w:r>
          <w:r w:rsidRPr="00BD500B">
            <w:rPr>
              <w:rFonts w:ascii="Arial" w:hAnsi="Arial" w:cs="Arial"/>
            </w:rPr>
            <w:fldChar w:fldCharType="separate"/>
          </w:r>
          <w:hyperlink w:anchor="_Toc243140089" w:history="1">
            <w:r w:rsidRPr="00BD500B">
              <w:rPr>
                <w:rStyle w:val="Hyperlink"/>
                <w:rFonts w:ascii="Arial" w:hAnsi="Arial" w:cs="Arial"/>
                <w:noProof/>
              </w:rPr>
              <w:t>1. Introduction</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_Toc243140089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3</w:t>
            </w:r>
            <w:r w:rsidRPr="00BD500B">
              <w:rPr>
                <w:rFonts w:ascii="Arial" w:hAnsi="Arial" w:cs="Arial"/>
                <w:noProof/>
                <w:webHidden/>
              </w:rPr>
              <w:fldChar w:fldCharType="end"/>
            </w:r>
          </w:hyperlink>
        </w:p>
        <w:p w14:paraId="48E6FF72" w14:textId="1AF0B35F" w:rsidR="00E50C41" w:rsidRPr="00BD500B" w:rsidRDefault="00E50C41" w:rsidP="00BD500B">
          <w:pPr>
            <w:pStyle w:val="TOC1"/>
            <w:tabs>
              <w:tab w:val="right" w:leader="dot" w:pos="9016"/>
            </w:tabs>
            <w:spacing w:line="360" w:lineRule="auto"/>
            <w:rPr>
              <w:rFonts w:ascii="Arial" w:eastAsiaTheme="minorEastAsia" w:hAnsi="Arial" w:cs="Arial"/>
              <w:noProof/>
              <w:kern w:val="2"/>
              <w:sz w:val="24"/>
              <w:szCs w:val="24"/>
              <w14:ligatures w14:val="standardContextual"/>
            </w:rPr>
          </w:pPr>
          <w:hyperlink w:anchor="_Toc243140090" w:history="1">
            <w:r w:rsidRPr="00BD500B">
              <w:rPr>
                <w:rStyle w:val="Hyperlink"/>
                <w:rFonts w:ascii="Arial" w:hAnsi="Arial" w:cs="Arial"/>
                <w:noProof/>
              </w:rPr>
              <w:t>2. WellCare Connect Website Redesign</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_Toc243140090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4</w:t>
            </w:r>
            <w:r w:rsidRPr="00BD500B">
              <w:rPr>
                <w:rFonts w:ascii="Arial" w:hAnsi="Arial" w:cs="Arial"/>
                <w:noProof/>
                <w:webHidden/>
              </w:rPr>
              <w:fldChar w:fldCharType="end"/>
            </w:r>
          </w:hyperlink>
        </w:p>
        <w:p w14:paraId="60E28B82" w14:textId="5EACB625" w:rsidR="00E50C41" w:rsidRPr="00BD500B" w:rsidRDefault="00E50C41" w:rsidP="00BD500B">
          <w:pPr>
            <w:pStyle w:val="TOC2"/>
            <w:tabs>
              <w:tab w:val="right" w:leader="dot" w:pos="9016"/>
            </w:tabs>
            <w:spacing w:line="360" w:lineRule="auto"/>
            <w:rPr>
              <w:rFonts w:ascii="Arial" w:eastAsiaTheme="minorEastAsia" w:hAnsi="Arial" w:cs="Arial"/>
              <w:noProof/>
              <w:kern w:val="2"/>
              <w:sz w:val="24"/>
              <w:szCs w:val="24"/>
              <w14:ligatures w14:val="standardContextual"/>
            </w:rPr>
          </w:pPr>
          <w:hyperlink w:anchor="_Toc243140091" w:history="1">
            <w:r w:rsidRPr="00BD500B">
              <w:rPr>
                <w:rStyle w:val="Hyperlink"/>
                <w:rFonts w:ascii="Arial" w:hAnsi="Arial" w:cs="Arial"/>
                <w:noProof/>
              </w:rPr>
              <w:t>2.1 Navigation and findability</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_Toc243140091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4</w:t>
            </w:r>
            <w:r w:rsidRPr="00BD500B">
              <w:rPr>
                <w:rFonts w:ascii="Arial" w:hAnsi="Arial" w:cs="Arial"/>
                <w:noProof/>
                <w:webHidden/>
              </w:rPr>
              <w:fldChar w:fldCharType="end"/>
            </w:r>
          </w:hyperlink>
        </w:p>
        <w:p w14:paraId="6E0EE4EC" w14:textId="50ED8E19" w:rsidR="00E50C41" w:rsidRPr="00BD500B" w:rsidRDefault="00E50C41" w:rsidP="00BD500B">
          <w:pPr>
            <w:pStyle w:val="TOC2"/>
            <w:tabs>
              <w:tab w:val="right" w:leader="dot" w:pos="9016"/>
            </w:tabs>
            <w:spacing w:line="360" w:lineRule="auto"/>
            <w:rPr>
              <w:rFonts w:ascii="Arial" w:eastAsiaTheme="minorEastAsia" w:hAnsi="Arial" w:cs="Arial"/>
              <w:noProof/>
              <w:kern w:val="2"/>
              <w:sz w:val="24"/>
              <w:szCs w:val="24"/>
              <w14:ligatures w14:val="standardContextual"/>
            </w:rPr>
          </w:pPr>
          <w:hyperlink w:anchor="_Toc243140092" w:history="1">
            <w:r w:rsidRPr="00BD500B">
              <w:rPr>
                <w:rStyle w:val="Hyperlink"/>
                <w:rFonts w:ascii="Arial" w:hAnsi="Arial" w:cs="Arial"/>
                <w:noProof/>
              </w:rPr>
              <w:t>2.2 Trust and brand</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_Toc243140092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5</w:t>
            </w:r>
            <w:r w:rsidRPr="00BD500B">
              <w:rPr>
                <w:rFonts w:ascii="Arial" w:hAnsi="Arial" w:cs="Arial"/>
                <w:noProof/>
                <w:webHidden/>
              </w:rPr>
              <w:fldChar w:fldCharType="end"/>
            </w:r>
          </w:hyperlink>
        </w:p>
        <w:p w14:paraId="4C7124C0" w14:textId="47E50598" w:rsidR="00E50C41" w:rsidRPr="00BD500B" w:rsidRDefault="00E50C41" w:rsidP="00BD500B">
          <w:pPr>
            <w:pStyle w:val="TOC2"/>
            <w:tabs>
              <w:tab w:val="right" w:leader="dot" w:pos="9016"/>
            </w:tabs>
            <w:spacing w:line="360" w:lineRule="auto"/>
            <w:rPr>
              <w:rFonts w:ascii="Arial" w:eastAsiaTheme="minorEastAsia" w:hAnsi="Arial" w:cs="Arial"/>
              <w:noProof/>
              <w:kern w:val="2"/>
              <w:sz w:val="24"/>
              <w:szCs w:val="24"/>
              <w14:ligatures w14:val="standardContextual"/>
            </w:rPr>
          </w:pPr>
          <w:hyperlink w:anchor="_Toc243140093" w:history="1">
            <w:r w:rsidRPr="00BD500B">
              <w:rPr>
                <w:rStyle w:val="Hyperlink"/>
                <w:rFonts w:ascii="Arial" w:hAnsi="Arial" w:cs="Arial"/>
                <w:noProof/>
              </w:rPr>
              <w:t>2.3 Accessibility</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_Toc243140093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5</w:t>
            </w:r>
            <w:r w:rsidRPr="00BD500B">
              <w:rPr>
                <w:rFonts w:ascii="Arial" w:hAnsi="Arial" w:cs="Arial"/>
                <w:noProof/>
                <w:webHidden/>
              </w:rPr>
              <w:fldChar w:fldCharType="end"/>
            </w:r>
          </w:hyperlink>
        </w:p>
        <w:p w14:paraId="2B9BACB2" w14:textId="00E49818" w:rsidR="00E50C41" w:rsidRPr="00BD500B" w:rsidRDefault="00E50C41" w:rsidP="00BD500B">
          <w:pPr>
            <w:pStyle w:val="TOC2"/>
            <w:tabs>
              <w:tab w:val="right" w:leader="dot" w:pos="9016"/>
            </w:tabs>
            <w:spacing w:line="360" w:lineRule="auto"/>
            <w:rPr>
              <w:rFonts w:ascii="Arial" w:eastAsiaTheme="minorEastAsia" w:hAnsi="Arial" w:cs="Arial"/>
              <w:noProof/>
              <w:kern w:val="2"/>
              <w:sz w:val="24"/>
              <w:szCs w:val="24"/>
              <w14:ligatures w14:val="standardContextual"/>
            </w:rPr>
          </w:pPr>
          <w:hyperlink w:anchor="_Toc243140094" w:history="1">
            <w:r w:rsidRPr="00BD500B">
              <w:rPr>
                <w:rStyle w:val="Hyperlink"/>
                <w:rFonts w:ascii="Arial" w:hAnsi="Arial" w:cs="Arial"/>
                <w:noProof/>
              </w:rPr>
              <w:t>2.4 Booking flow and calls to action</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_Toc243140094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5</w:t>
            </w:r>
            <w:r w:rsidRPr="00BD500B">
              <w:rPr>
                <w:rFonts w:ascii="Arial" w:hAnsi="Arial" w:cs="Arial"/>
                <w:noProof/>
                <w:webHidden/>
              </w:rPr>
              <w:fldChar w:fldCharType="end"/>
            </w:r>
          </w:hyperlink>
        </w:p>
        <w:p w14:paraId="0E3D056E" w14:textId="3B46007A" w:rsidR="00E50C41" w:rsidRPr="00BD500B" w:rsidRDefault="00E50C41" w:rsidP="00BD500B">
          <w:pPr>
            <w:pStyle w:val="TOC2"/>
            <w:tabs>
              <w:tab w:val="right" w:leader="dot" w:pos="9016"/>
            </w:tabs>
            <w:spacing w:line="360" w:lineRule="auto"/>
            <w:rPr>
              <w:rFonts w:ascii="Arial" w:eastAsiaTheme="minorEastAsia" w:hAnsi="Arial" w:cs="Arial"/>
              <w:noProof/>
              <w:kern w:val="2"/>
              <w:sz w:val="24"/>
              <w:szCs w:val="24"/>
              <w14:ligatures w14:val="standardContextual"/>
            </w:rPr>
          </w:pPr>
          <w:hyperlink w:anchor="_Toc243140095" w:history="1">
            <w:r w:rsidRPr="00BD500B">
              <w:rPr>
                <w:rStyle w:val="Hyperlink"/>
                <w:rFonts w:ascii="Arial" w:hAnsi="Arial" w:cs="Arial"/>
                <w:noProof/>
              </w:rPr>
              <w:t>2.5 Personalisation and reminders</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_Toc243140095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5</w:t>
            </w:r>
            <w:r w:rsidRPr="00BD500B">
              <w:rPr>
                <w:rFonts w:ascii="Arial" w:hAnsi="Arial" w:cs="Arial"/>
                <w:noProof/>
                <w:webHidden/>
              </w:rPr>
              <w:fldChar w:fldCharType="end"/>
            </w:r>
          </w:hyperlink>
        </w:p>
        <w:p w14:paraId="5605FB7E" w14:textId="497BD210" w:rsidR="00E50C41" w:rsidRPr="00BD500B" w:rsidRDefault="00E50C41" w:rsidP="00BD500B">
          <w:pPr>
            <w:pStyle w:val="TOC2"/>
            <w:tabs>
              <w:tab w:val="right" w:leader="dot" w:pos="9016"/>
            </w:tabs>
            <w:spacing w:line="360" w:lineRule="auto"/>
            <w:rPr>
              <w:rFonts w:ascii="Arial" w:eastAsiaTheme="minorEastAsia" w:hAnsi="Arial" w:cs="Arial"/>
              <w:noProof/>
              <w:kern w:val="2"/>
              <w:sz w:val="24"/>
              <w:szCs w:val="24"/>
              <w14:ligatures w14:val="standardContextual"/>
            </w:rPr>
          </w:pPr>
          <w:hyperlink w:anchor="_Toc243140096" w:history="1">
            <w:r w:rsidRPr="00BD500B">
              <w:rPr>
                <w:rStyle w:val="Hyperlink"/>
                <w:rFonts w:ascii="Arial" w:hAnsi="Arial" w:cs="Arial"/>
                <w:noProof/>
              </w:rPr>
              <w:t>2.6 Performance</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_Toc243140096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6</w:t>
            </w:r>
            <w:r w:rsidRPr="00BD500B">
              <w:rPr>
                <w:rFonts w:ascii="Arial" w:hAnsi="Arial" w:cs="Arial"/>
                <w:noProof/>
                <w:webHidden/>
              </w:rPr>
              <w:fldChar w:fldCharType="end"/>
            </w:r>
          </w:hyperlink>
        </w:p>
        <w:p w14:paraId="3E8DE2E5" w14:textId="7C34C9E2" w:rsidR="00E50C41" w:rsidRPr="00BD500B" w:rsidRDefault="00E50C41" w:rsidP="00BD500B">
          <w:pPr>
            <w:pStyle w:val="TOC1"/>
            <w:tabs>
              <w:tab w:val="right" w:leader="dot" w:pos="9016"/>
            </w:tabs>
            <w:spacing w:line="360" w:lineRule="auto"/>
            <w:rPr>
              <w:rFonts w:ascii="Arial" w:eastAsiaTheme="minorEastAsia" w:hAnsi="Arial" w:cs="Arial"/>
              <w:noProof/>
              <w:kern w:val="2"/>
              <w:sz w:val="24"/>
              <w:szCs w:val="24"/>
              <w14:ligatures w14:val="standardContextual"/>
            </w:rPr>
          </w:pPr>
          <w:hyperlink w:anchor="_Toc243140097" w:history="1">
            <w:r w:rsidRPr="00BD500B">
              <w:rPr>
                <w:rStyle w:val="Hyperlink"/>
                <w:rFonts w:ascii="Arial" w:hAnsi="Arial" w:cs="Arial"/>
                <w:noProof/>
              </w:rPr>
              <w:t>3. Responsive Design Implementation</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_Toc243140097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6</w:t>
            </w:r>
            <w:r w:rsidRPr="00BD500B">
              <w:rPr>
                <w:rFonts w:ascii="Arial" w:hAnsi="Arial" w:cs="Arial"/>
                <w:noProof/>
                <w:webHidden/>
              </w:rPr>
              <w:fldChar w:fldCharType="end"/>
            </w:r>
          </w:hyperlink>
        </w:p>
        <w:p w14:paraId="64464807" w14:textId="61830031" w:rsidR="00E50C41" w:rsidRPr="00BD500B" w:rsidRDefault="00E50C41" w:rsidP="00BD500B">
          <w:pPr>
            <w:pStyle w:val="TOC1"/>
            <w:tabs>
              <w:tab w:val="right" w:leader="dot" w:pos="9016"/>
            </w:tabs>
            <w:spacing w:line="360" w:lineRule="auto"/>
            <w:rPr>
              <w:rFonts w:ascii="Arial" w:eastAsiaTheme="minorEastAsia" w:hAnsi="Arial" w:cs="Arial"/>
              <w:noProof/>
              <w:kern w:val="2"/>
              <w:sz w:val="24"/>
              <w:szCs w:val="24"/>
              <w14:ligatures w14:val="standardContextual"/>
            </w:rPr>
          </w:pPr>
          <w:hyperlink w:anchor="_Toc243140098" w:history="1">
            <w:r w:rsidRPr="00BD500B">
              <w:rPr>
                <w:rStyle w:val="Hyperlink"/>
                <w:rFonts w:ascii="Arial" w:hAnsi="Arial" w:cs="Arial"/>
                <w:noProof/>
              </w:rPr>
              <w:t>4. Implementation</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_Toc243140098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7</w:t>
            </w:r>
            <w:r w:rsidRPr="00BD500B">
              <w:rPr>
                <w:rFonts w:ascii="Arial" w:hAnsi="Arial" w:cs="Arial"/>
                <w:noProof/>
                <w:webHidden/>
              </w:rPr>
              <w:fldChar w:fldCharType="end"/>
            </w:r>
          </w:hyperlink>
        </w:p>
        <w:p w14:paraId="77461067" w14:textId="3AB2AEB0" w:rsidR="00E50C41" w:rsidRPr="00BD500B" w:rsidRDefault="00E50C41" w:rsidP="00BD500B">
          <w:pPr>
            <w:pStyle w:val="TOC2"/>
            <w:tabs>
              <w:tab w:val="right" w:leader="dot" w:pos="9016"/>
            </w:tabs>
            <w:spacing w:line="360" w:lineRule="auto"/>
            <w:rPr>
              <w:rFonts w:ascii="Arial" w:eastAsiaTheme="minorEastAsia" w:hAnsi="Arial" w:cs="Arial"/>
              <w:noProof/>
              <w:kern w:val="2"/>
              <w:sz w:val="24"/>
              <w:szCs w:val="24"/>
              <w14:ligatures w14:val="standardContextual"/>
            </w:rPr>
          </w:pPr>
          <w:hyperlink w:anchor="_Toc243140099" w:history="1">
            <w:r w:rsidRPr="00BD500B">
              <w:rPr>
                <w:rStyle w:val="Hyperlink"/>
                <w:rFonts w:ascii="Arial" w:hAnsi="Arial" w:cs="Arial"/>
                <w:noProof/>
              </w:rPr>
              <w:t>4.1 Mood board</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_Toc243140099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7</w:t>
            </w:r>
            <w:r w:rsidRPr="00BD500B">
              <w:rPr>
                <w:rFonts w:ascii="Arial" w:hAnsi="Arial" w:cs="Arial"/>
                <w:noProof/>
                <w:webHidden/>
              </w:rPr>
              <w:fldChar w:fldCharType="end"/>
            </w:r>
          </w:hyperlink>
        </w:p>
        <w:p w14:paraId="55F033C8" w14:textId="1A765B70" w:rsidR="00E50C41" w:rsidRPr="00BD500B" w:rsidRDefault="00E50C41" w:rsidP="00BD500B">
          <w:pPr>
            <w:pStyle w:val="TOC2"/>
            <w:tabs>
              <w:tab w:val="right" w:leader="dot" w:pos="9016"/>
            </w:tabs>
            <w:spacing w:line="360" w:lineRule="auto"/>
            <w:rPr>
              <w:rFonts w:ascii="Arial" w:eastAsiaTheme="minorEastAsia" w:hAnsi="Arial" w:cs="Arial"/>
              <w:noProof/>
              <w:kern w:val="2"/>
              <w:sz w:val="24"/>
              <w:szCs w:val="24"/>
              <w14:ligatures w14:val="standardContextual"/>
            </w:rPr>
          </w:pPr>
          <w:hyperlink w:anchor="_Toc243140100" w:history="1">
            <w:r w:rsidRPr="00BD500B">
              <w:rPr>
                <w:rStyle w:val="Hyperlink"/>
                <w:rFonts w:ascii="Arial" w:hAnsi="Arial" w:cs="Arial"/>
                <w:noProof/>
              </w:rPr>
              <w:t>4.2 Wireframes</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_Toc243140100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8</w:t>
            </w:r>
            <w:r w:rsidRPr="00BD500B">
              <w:rPr>
                <w:rFonts w:ascii="Arial" w:hAnsi="Arial" w:cs="Arial"/>
                <w:noProof/>
                <w:webHidden/>
              </w:rPr>
              <w:fldChar w:fldCharType="end"/>
            </w:r>
          </w:hyperlink>
        </w:p>
        <w:p w14:paraId="7AFF5CF0" w14:textId="63EB894E" w:rsidR="00E50C41" w:rsidRPr="00BD500B" w:rsidRDefault="00E50C41" w:rsidP="00BD500B">
          <w:pPr>
            <w:pStyle w:val="TOC2"/>
            <w:tabs>
              <w:tab w:val="right" w:leader="dot" w:pos="9016"/>
            </w:tabs>
            <w:spacing w:line="360" w:lineRule="auto"/>
            <w:rPr>
              <w:rFonts w:ascii="Arial" w:eastAsiaTheme="minorEastAsia" w:hAnsi="Arial" w:cs="Arial"/>
              <w:noProof/>
              <w:kern w:val="2"/>
              <w:sz w:val="24"/>
              <w:szCs w:val="24"/>
              <w14:ligatures w14:val="standardContextual"/>
            </w:rPr>
          </w:pPr>
          <w:hyperlink w:anchor="_Toc243140101" w:history="1">
            <w:r w:rsidRPr="00BD500B">
              <w:rPr>
                <w:rStyle w:val="Hyperlink"/>
                <w:rFonts w:ascii="Arial" w:hAnsi="Arial" w:cs="Arial"/>
                <w:noProof/>
              </w:rPr>
              <w:t>4.3 Interactive prototype</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_Toc243140101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11</w:t>
            </w:r>
            <w:r w:rsidRPr="00BD500B">
              <w:rPr>
                <w:rFonts w:ascii="Arial" w:hAnsi="Arial" w:cs="Arial"/>
                <w:noProof/>
                <w:webHidden/>
              </w:rPr>
              <w:fldChar w:fldCharType="end"/>
            </w:r>
          </w:hyperlink>
        </w:p>
        <w:p w14:paraId="319D68DC" w14:textId="2989E09F" w:rsidR="00E50C41" w:rsidRPr="00BD500B" w:rsidRDefault="00E50C41" w:rsidP="00BD500B">
          <w:pPr>
            <w:pStyle w:val="TOC1"/>
            <w:tabs>
              <w:tab w:val="right" w:leader="dot" w:pos="9016"/>
            </w:tabs>
            <w:spacing w:line="360" w:lineRule="auto"/>
            <w:rPr>
              <w:rFonts w:ascii="Arial" w:eastAsiaTheme="minorEastAsia" w:hAnsi="Arial" w:cs="Arial"/>
              <w:noProof/>
              <w:kern w:val="2"/>
              <w:sz w:val="24"/>
              <w:szCs w:val="24"/>
              <w14:ligatures w14:val="standardContextual"/>
            </w:rPr>
          </w:pPr>
          <w:hyperlink w:anchor="_Toc243140102" w:history="1">
            <w:r w:rsidRPr="00BD500B">
              <w:rPr>
                <w:rStyle w:val="Hyperlink"/>
                <w:rFonts w:ascii="Arial" w:hAnsi="Arial" w:cs="Arial"/>
                <w:noProof/>
              </w:rPr>
              <w:t>5. Conclusion</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_Toc243140102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15</w:t>
            </w:r>
            <w:r w:rsidRPr="00BD500B">
              <w:rPr>
                <w:rFonts w:ascii="Arial" w:hAnsi="Arial" w:cs="Arial"/>
                <w:noProof/>
                <w:webHidden/>
              </w:rPr>
              <w:fldChar w:fldCharType="end"/>
            </w:r>
          </w:hyperlink>
        </w:p>
        <w:p w14:paraId="7ECC9B8E" w14:textId="6D67456A" w:rsidR="00E50C41" w:rsidRPr="00BD500B" w:rsidRDefault="00E50C41" w:rsidP="00BD500B">
          <w:pPr>
            <w:pStyle w:val="TOC1"/>
            <w:tabs>
              <w:tab w:val="right" w:leader="dot" w:pos="9016"/>
            </w:tabs>
            <w:spacing w:line="360" w:lineRule="auto"/>
            <w:rPr>
              <w:rFonts w:ascii="Arial" w:eastAsiaTheme="minorEastAsia" w:hAnsi="Arial" w:cs="Arial"/>
              <w:noProof/>
              <w:kern w:val="2"/>
              <w:sz w:val="24"/>
              <w:szCs w:val="24"/>
              <w14:ligatures w14:val="standardContextual"/>
            </w:rPr>
          </w:pPr>
          <w:hyperlink w:anchor="_Toc243140103" w:history="1">
            <w:r w:rsidRPr="00BD500B">
              <w:rPr>
                <w:rStyle w:val="Hyperlink"/>
                <w:rFonts w:ascii="Arial" w:hAnsi="Arial" w:cs="Arial"/>
                <w:noProof/>
              </w:rPr>
              <w:t>6. References</w:t>
            </w:r>
            <w:r w:rsidRPr="00BD500B">
              <w:rPr>
                <w:rFonts w:ascii="Arial" w:hAnsi="Arial" w:cs="Arial"/>
                <w:noProof/>
                <w:webHidden/>
              </w:rPr>
              <w:tab/>
            </w:r>
            <w:r w:rsidRPr="00BD500B">
              <w:rPr>
                <w:rFonts w:ascii="Arial" w:hAnsi="Arial" w:cs="Arial"/>
                <w:noProof/>
                <w:webHidden/>
              </w:rPr>
              <w:fldChar w:fldCharType="begin"/>
            </w:r>
            <w:r w:rsidRPr="00BD500B">
              <w:rPr>
                <w:rFonts w:ascii="Arial" w:hAnsi="Arial" w:cs="Arial"/>
                <w:noProof/>
                <w:webHidden/>
              </w:rPr>
              <w:instrText xml:space="preserve"> PAGEREF _Toc243140103 \h </w:instrText>
            </w:r>
            <w:r w:rsidRPr="00BD500B">
              <w:rPr>
                <w:rFonts w:ascii="Arial" w:hAnsi="Arial" w:cs="Arial"/>
                <w:noProof/>
                <w:webHidden/>
              </w:rPr>
            </w:r>
            <w:r w:rsidRPr="00BD500B">
              <w:rPr>
                <w:rFonts w:ascii="Arial" w:hAnsi="Arial" w:cs="Arial"/>
                <w:noProof/>
                <w:webHidden/>
              </w:rPr>
              <w:fldChar w:fldCharType="separate"/>
            </w:r>
            <w:r w:rsidRPr="00BD500B">
              <w:rPr>
                <w:rFonts w:ascii="Arial" w:hAnsi="Arial" w:cs="Arial"/>
                <w:noProof/>
                <w:webHidden/>
              </w:rPr>
              <w:t>16</w:t>
            </w:r>
            <w:r w:rsidRPr="00BD500B">
              <w:rPr>
                <w:rFonts w:ascii="Arial" w:hAnsi="Arial" w:cs="Arial"/>
                <w:noProof/>
                <w:webHidden/>
              </w:rPr>
              <w:fldChar w:fldCharType="end"/>
            </w:r>
          </w:hyperlink>
        </w:p>
        <w:p w14:paraId="5BC4C237" w14:textId="0A789C69" w:rsidR="00E50C41" w:rsidRPr="00BD500B" w:rsidRDefault="00E50C41" w:rsidP="00BD500B">
          <w:pPr>
            <w:spacing w:line="360" w:lineRule="auto"/>
            <w:rPr>
              <w:rFonts w:ascii="Arial" w:hAnsi="Arial" w:cs="Arial"/>
            </w:rPr>
          </w:pPr>
          <w:r w:rsidRPr="00BD500B">
            <w:rPr>
              <w:rFonts w:ascii="Arial" w:hAnsi="Arial" w:cs="Arial"/>
              <w:b/>
              <w:bCs/>
              <w:noProof/>
            </w:rPr>
            <w:fldChar w:fldCharType="end"/>
          </w:r>
        </w:p>
      </w:sdtContent>
    </w:sdt>
    <w:p w14:paraId="6BEA7122" w14:textId="77777777" w:rsidR="00E50C41" w:rsidRPr="00BD500B" w:rsidRDefault="00E50C41" w:rsidP="00BD500B">
      <w:pPr>
        <w:spacing w:line="360" w:lineRule="auto"/>
        <w:rPr>
          <w:rFonts w:ascii="Arial" w:hAnsi="Arial" w:cs="Arial"/>
        </w:rPr>
      </w:pPr>
    </w:p>
    <w:p w14:paraId="3E65A24B" w14:textId="637226F7" w:rsidR="00135F41" w:rsidRPr="00BD500B" w:rsidRDefault="00E50C41" w:rsidP="00BD500B">
      <w:pPr>
        <w:pStyle w:val="Heading1"/>
        <w:pageBreakBefore/>
        <w:spacing w:line="360" w:lineRule="auto"/>
        <w:rPr>
          <w:rFonts w:ascii="Arial" w:hAnsi="Arial" w:cs="Arial"/>
        </w:rPr>
      </w:pPr>
      <w:bookmarkStart w:id="0" w:name="_Toc243140089"/>
      <w:r w:rsidRPr="00BD500B">
        <w:rPr>
          <w:rFonts w:ascii="Arial" w:hAnsi="Arial" w:cs="Arial"/>
        </w:rPr>
        <w:lastRenderedPageBreak/>
        <w:t>1</w:t>
      </w:r>
      <w:r w:rsidR="00FB0CAC" w:rsidRPr="00BD500B">
        <w:rPr>
          <w:rFonts w:ascii="Arial" w:hAnsi="Arial" w:cs="Arial"/>
        </w:rPr>
        <w:t>. Introduction</w:t>
      </w:r>
      <w:bookmarkEnd w:id="0"/>
    </w:p>
    <w:p w14:paraId="3508BFEC" w14:textId="77777777" w:rsidR="00581294" w:rsidRPr="00BD500B" w:rsidRDefault="00581294" w:rsidP="00BD500B">
      <w:pPr>
        <w:spacing w:after="160" w:line="360" w:lineRule="auto"/>
        <w:jc w:val="both"/>
        <w:rPr>
          <w:rFonts w:ascii="Arial" w:hAnsi="Arial" w:cs="Arial"/>
        </w:rPr>
      </w:pPr>
      <w:r w:rsidRPr="00BD500B">
        <w:rPr>
          <w:rFonts w:ascii="Arial" w:hAnsi="Arial" w:cs="Arial"/>
        </w:rPr>
        <w:t>This report provides a summary of the user interface (UI) and user experience (UX) redesign of WellCare Connect, an expanding online healthcare firm that enables users to schedule an appointment, speak with a virtual healthcare provider, receive digital prescriptions, and access their personal medical record.</w:t>
      </w:r>
    </w:p>
    <w:p w14:paraId="6B728139" w14:textId="3B6129EB" w:rsidR="00135F41" w:rsidRPr="00BD500B" w:rsidRDefault="00581294" w:rsidP="00BD500B">
      <w:pPr>
        <w:spacing w:after="160" w:line="360" w:lineRule="auto"/>
        <w:jc w:val="both"/>
        <w:rPr>
          <w:rFonts w:ascii="Arial" w:hAnsi="Arial" w:cs="Arial"/>
        </w:rPr>
      </w:pPr>
      <w:r w:rsidRPr="00BD500B">
        <w:rPr>
          <w:rFonts w:ascii="Arial" w:hAnsi="Arial" w:cs="Arial"/>
        </w:rPr>
        <w:t xml:space="preserve">This was designed following user-centred design process [1] with 3 phases: low fidelity wireframes to obtain and correct layout and functionality, high fidelity interactive prototype of five key pages in Inkscape, and a mood board that captures the identity and visual direction of the brand. In section 4, the current challenges are </w:t>
      </w:r>
      <w:r w:rsidR="00BD500B" w:rsidRPr="00BD500B">
        <w:rPr>
          <w:rFonts w:ascii="Arial" w:hAnsi="Arial" w:cs="Arial"/>
        </w:rPr>
        <w:t>discussed,</w:t>
      </w:r>
      <w:r w:rsidRPr="00BD500B">
        <w:rPr>
          <w:rFonts w:ascii="Arial" w:hAnsi="Arial" w:cs="Arial"/>
        </w:rPr>
        <w:t xml:space="preserve"> and solutions are presented. Section 5 discusses the impact responsive design has on user experience and mobile conversions. The design outputs are discussed and the development of the final design using the mood board and wireframe shown in Section 6. The project is reflected in Section 7.</w:t>
      </w:r>
    </w:p>
    <w:p w14:paraId="22D4472B" w14:textId="1A9310FE" w:rsidR="00135F41" w:rsidRPr="00BD500B" w:rsidRDefault="00E50C41" w:rsidP="00BD500B">
      <w:pPr>
        <w:pStyle w:val="Heading1"/>
        <w:pageBreakBefore/>
        <w:spacing w:line="360" w:lineRule="auto"/>
        <w:rPr>
          <w:rFonts w:ascii="Arial" w:hAnsi="Arial" w:cs="Arial"/>
        </w:rPr>
      </w:pPr>
      <w:bookmarkStart w:id="1" w:name="_Toc243140090"/>
      <w:r w:rsidRPr="00BD500B">
        <w:rPr>
          <w:rFonts w:ascii="Arial" w:hAnsi="Arial" w:cs="Arial"/>
        </w:rPr>
        <w:lastRenderedPageBreak/>
        <w:t>2</w:t>
      </w:r>
      <w:r w:rsidR="00FB0CAC" w:rsidRPr="00BD500B">
        <w:rPr>
          <w:rFonts w:ascii="Arial" w:hAnsi="Arial" w:cs="Arial"/>
        </w:rPr>
        <w:t>. WellCare Connect Website Redesign</w:t>
      </w:r>
      <w:bookmarkEnd w:id="1"/>
    </w:p>
    <w:p w14:paraId="44BAFFFB" w14:textId="0F0CADE3" w:rsidR="00135F41" w:rsidRPr="00BD500B" w:rsidRDefault="00581294" w:rsidP="00BD500B">
      <w:pPr>
        <w:spacing w:after="160" w:line="360" w:lineRule="auto"/>
        <w:jc w:val="both"/>
        <w:rPr>
          <w:rFonts w:ascii="Arial" w:hAnsi="Arial" w:cs="Arial"/>
        </w:rPr>
      </w:pPr>
      <w:r w:rsidRPr="00BD500B">
        <w:rPr>
          <w:rFonts w:ascii="Arial" w:hAnsi="Arial" w:cs="Arial"/>
        </w:rPr>
        <w:t xml:space="preserve">Table 1 describes each problem in the brief and the design </w:t>
      </w:r>
      <w:r w:rsidR="00BD500B" w:rsidRPr="00BD500B">
        <w:rPr>
          <w:rFonts w:ascii="Arial" w:hAnsi="Arial" w:cs="Arial"/>
        </w:rPr>
        <w:t>response and</w:t>
      </w:r>
      <w:r w:rsidRPr="00BD500B">
        <w:rPr>
          <w:rFonts w:ascii="Arial" w:hAnsi="Arial" w:cs="Arial"/>
        </w:rPr>
        <w:t xml:space="preserve"> indicates the location of the problem in the prototype. Applications of the themes are then discussed with supporting evidence, if available, the most important ones</w:t>
      </w:r>
      <w:r w:rsidR="00FB0CAC" w:rsidRPr="00BD500B">
        <w:rPr>
          <w:rFonts w:ascii="Arial" w:hAnsi="Arial" w:cs="Arial"/>
        </w:rPr>
        <w:t>.</w:t>
      </w:r>
    </w:p>
    <w:p w14:paraId="54FB2556" w14:textId="77777777" w:rsidR="00135F41" w:rsidRPr="00BD500B" w:rsidRDefault="00FB0CAC" w:rsidP="00BD500B">
      <w:pPr>
        <w:keepNext/>
        <w:spacing w:before="200" w:after="100" w:line="360" w:lineRule="auto"/>
        <w:rPr>
          <w:rFonts w:ascii="Arial" w:hAnsi="Arial" w:cs="Arial"/>
        </w:rPr>
      </w:pPr>
      <w:r w:rsidRPr="00BD500B">
        <w:rPr>
          <w:rFonts w:ascii="Arial" w:hAnsi="Arial" w:cs="Arial"/>
          <w:b/>
          <w:bCs/>
          <w:color w:val="1B2A49"/>
          <w:sz w:val="19"/>
          <w:szCs w:val="19"/>
        </w:rPr>
        <w:t xml:space="preserve">Table 1. </w:t>
      </w:r>
      <w:r w:rsidRPr="00BD500B">
        <w:rPr>
          <w:rFonts w:ascii="Arial" w:hAnsi="Arial" w:cs="Arial"/>
          <w:i/>
          <w:iCs/>
          <w:sz w:val="19"/>
          <w:szCs w:val="19"/>
        </w:rPr>
        <w:t>Current website issues mapped to design solutions</w:t>
      </w:r>
    </w:p>
    <w:tbl>
      <w:tblPr>
        <w:tblStyle w:val="GridTable5Dark-Accent4"/>
        <w:tblW w:w="9026" w:type="dxa"/>
        <w:tblLook w:val="04A0" w:firstRow="1" w:lastRow="0" w:firstColumn="1" w:lastColumn="0" w:noHBand="0" w:noVBand="1"/>
      </w:tblPr>
      <w:tblGrid>
        <w:gridCol w:w="2300"/>
        <w:gridCol w:w="5000"/>
        <w:gridCol w:w="1726"/>
      </w:tblGrid>
      <w:tr w:rsidR="00135F41" w:rsidRPr="00BD500B" w14:paraId="456C0051" w14:textId="77777777" w:rsidTr="005812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0" w:type="dxa"/>
          </w:tcPr>
          <w:p w14:paraId="41D43653" w14:textId="77777777" w:rsidR="00135F41" w:rsidRPr="00BD500B" w:rsidRDefault="00FB0CAC" w:rsidP="00BD500B">
            <w:pPr>
              <w:spacing w:line="360" w:lineRule="auto"/>
              <w:rPr>
                <w:rFonts w:ascii="Arial" w:hAnsi="Arial" w:cs="Arial"/>
              </w:rPr>
            </w:pPr>
            <w:r w:rsidRPr="00BD500B">
              <w:rPr>
                <w:rFonts w:ascii="Arial" w:hAnsi="Arial" w:cs="Arial"/>
                <w:color w:val="FFFFFF"/>
                <w:sz w:val="19"/>
                <w:szCs w:val="19"/>
              </w:rPr>
              <w:t>Current issue</w:t>
            </w:r>
          </w:p>
        </w:tc>
        <w:tc>
          <w:tcPr>
            <w:tcW w:w="5000" w:type="dxa"/>
          </w:tcPr>
          <w:p w14:paraId="0534DF14" w14:textId="77777777" w:rsidR="00135F41" w:rsidRPr="00BD500B" w:rsidRDefault="00FB0CAC" w:rsidP="00BD500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FFFFFF"/>
                <w:sz w:val="19"/>
                <w:szCs w:val="19"/>
              </w:rPr>
              <w:t>Proposed solution</w:t>
            </w:r>
          </w:p>
        </w:tc>
        <w:tc>
          <w:tcPr>
            <w:tcW w:w="1726" w:type="dxa"/>
          </w:tcPr>
          <w:p w14:paraId="585EBC55" w14:textId="77777777" w:rsidR="00135F41" w:rsidRPr="00BD500B" w:rsidRDefault="00FB0CAC" w:rsidP="00BD500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FFFFFF"/>
                <w:sz w:val="19"/>
                <w:szCs w:val="19"/>
              </w:rPr>
              <w:t>Prototype page</w:t>
            </w:r>
          </w:p>
        </w:tc>
      </w:tr>
      <w:tr w:rsidR="00135F41" w:rsidRPr="00BD500B" w14:paraId="62CCBDAB" w14:textId="77777777" w:rsidTr="00581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0" w:type="dxa"/>
          </w:tcPr>
          <w:p w14:paraId="5B54EB6E" w14:textId="77777777" w:rsidR="00135F41" w:rsidRPr="00BD500B" w:rsidRDefault="00FB0CAC" w:rsidP="00BD500B">
            <w:pPr>
              <w:spacing w:line="360" w:lineRule="auto"/>
              <w:rPr>
                <w:rFonts w:ascii="Arial" w:hAnsi="Arial" w:cs="Arial"/>
              </w:rPr>
            </w:pPr>
            <w:r w:rsidRPr="00BD500B">
              <w:rPr>
                <w:rFonts w:ascii="Arial" w:hAnsi="Arial" w:cs="Arial"/>
                <w:color w:val="1B2A49"/>
                <w:sz w:val="19"/>
                <w:szCs w:val="19"/>
              </w:rPr>
              <w:t>Confusing navigation</w:t>
            </w:r>
          </w:p>
        </w:tc>
        <w:tc>
          <w:tcPr>
            <w:tcW w:w="5000" w:type="dxa"/>
          </w:tcPr>
          <w:p w14:paraId="63D8CA27"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Five-item menu in patient language (Services, Specialists, Book, Telehealth, My Health); current page underlined; same position on every page</w:t>
            </w:r>
          </w:p>
        </w:tc>
        <w:tc>
          <w:tcPr>
            <w:tcW w:w="1726" w:type="dxa"/>
          </w:tcPr>
          <w:p w14:paraId="0ED0294A"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All pages</w:t>
            </w:r>
          </w:p>
        </w:tc>
      </w:tr>
      <w:tr w:rsidR="00135F41" w:rsidRPr="00BD500B" w14:paraId="4F7E2C5C" w14:textId="77777777" w:rsidTr="00581294">
        <w:tc>
          <w:tcPr>
            <w:cnfStyle w:val="001000000000" w:firstRow="0" w:lastRow="0" w:firstColumn="1" w:lastColumn="0" w:oddVBand="0" w:evenVBand="0" w:oddHBand="0" w:evenHBand="0" w:firstRowFirstColumn="0" w:firstRowLastColumn="0" w:lastRowFirstColumn="0" w:lastRowLastColumn="0"/>
            <w:tcW w:w="2300" w:type="dxa"/>
          </w:tcPr>
          <w:p w14:paraId="63953564" w14:textId="77777777" w:rsidR="00135F41" w:rsidRPr="00BD500B" w:rsidRDefault="00FB0CAC" w:rsidP="00BD500B">
            <w:pPr>
              <w:spacing w:line="360" w:lineRule="auto"/>
              <w:rPr>
                <w:rFonts w:ascii="Arial" w:hAnsi="Arial" w:cs="Arial"/>
              </w:rPr>
            </w:pPr>
            <w:r w:rsidRPr="00BD500B">
              <w:rPr>
                <w:rFonts w:ascii="Arial" w:hAnsi="Arial" w:cs="Arial"/>
                <w:color w:val="1B2A49"/>
                <w:sz w:val="19"/>
                <w:szCs w:val="19"/>
              </w:rPr>
              <w:t>Emergency contacts hard to find</w:t>
            </w:r>
          </w:p>
        </w:tc>
        <w:tc>
          <w:tcPr>
            <w:tcW w:w="5000" w:type="dxa"/>
          </w:tcPr>
          <w:p w14:paraId="6E2E2939" w14:textId="77777777" w:rsidR="00135F41" w:rsidRPr="00BD500B" w:rsidRDefault="00FB0CAC" w:rsidP="00BD50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1B2A49"/>
                <w:sz w:val="19"/>
                <w:szCs w:val="19"/>
              </w:rPr>
              <w:t>Royal-blue alert bar with 999, 111 and a 24/7 nurse line across the top of the page</w:t>
            </w:r>
          </w:p>
        </w:tc>
        <w:tc>
          <w:tcPr>
            <w:tcW w:w="1726" w:type="dxa"/>
          </w:tcPr>
          <w:p w14:paraId="7BF05F1F" w14:textId="77777777" w:rsidR="00135F41" w:rsidRPr="00BD500B" w:rsidRDefault="00FB0CAC" w:rsidP="00BD50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1B2A49"/>
                <w:sz w:val="19"/>
                <w:szCs w:val="19"/>
              </w:rPr>
              <w:t>Specialists, Book, Telehealth, My Health</w:t>
            </w:r>
          </w:p>
        </w:tc>
      </w:tr>
      <w:tr w:rsidR="00135F41" w:rsidRPr="00BD500B" w14:paraId="16F3483E" w14:textId="77777777" w:rsidTr="00581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0" w:type="dxa"/>
          </w:tcPr>
          <w:p w14:paraId="3678A841" w14:textId="77777777" w:rsidR="00135F41" w:rsidRPr="00BD500B" w:rsidRDefault="00FB0CAC" w:rsidP="00BD500B">
            <w:pPr>
              <w:spacing w:line="360" w:lineRule="auto"/>
              <w:rPr>
                <w:rFonts w:ascii="Arial" w:hAnsi="Arial" w:cs="Arial"/>
              </w:rPr>
            </w:pPr>
            <w:r w:rsidRPr="00BD500B">
              <w:rPr>
                <w:rFonts w:ascii="Arial" w:hAnsi="Arial" w:cs="Arial"/>
                <w:color w:val="1B2A49"/>
                <w:sz w:val="19"/>
                <w:szCs w:val="19"/>
              </w:rPr>
              <w:t>Unclear booking flow</w:t>
            </w:r>
          </w:p>
        </w:tc>
        <w:tc>
          <w:tcPr>
            <w:tcW w:w="5000" w:type="dxa"/>
          </w:tcPr>
          <w:p w14:paraId="4DDB8F7E"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Four-step progress indicator, grouped time slots and a live summary panel with one primary action</w:t>
            </w:r>
          </w:p>
        </w:tc>
        <w:tc>
          <w:tcPr>
            <w:tcW w:w="1726" w:type="dxa"/>
          </w:tcPr>
          <w:p w14:paraId="7B1CB25B"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Book</w:t>
            </w:r>
          </w:p>
        </w:tc>
      </w:tr>
      <w:tr w:rsidR="00135F41" w:rsidRPr="00BD500B" w14:paraId="16D3F9AD" w14:textId="77777777" w:rsidTr="00581294">
        <w:tc>
          <w:tcPr>
            <w:cnfStyle w:val="001000000000" w:firstRow="0" w:lastRow="0" w:firstColumn="1" w:lastColumn="0" w:oddVBand="0" w:evenVBand="0" w:oddHBand="0" w:evenHBand="0" w:firstRowFirstColumn="0" w:firstRowLastColumn="0" w:lastRowFirstColumn="0" w:lastRowLastColumn="0"/>
            <w:tcW w:w="2300" w:type="dxa"/>
          </w:tcPr>
          <w:p w14:paraId="0E273DAE" w14:textId="77777777" w:rsidR="00135F41" w:rsidRPr="00BD500B" w:rsidRDefault="00FB0CAC" w:rsidP="00BD500B">
            <w:pPr>
              <w:spacing w:line="360" w:lineRule="auto"/>
              <w:rPr>
                <w:rFonts w:ascii="Arial" w:hAnsi="Arial" w:cs="Arial"/>
              </w:rPr>
            </w:pPr>
            <w:r w:rsidRPr="00BD500B">
              <w:rPr>
                <w:rFonts w:ascii="Arial" w:hAnsi="Arial" w:cs="Arial"/>
                <w:color w:val="1B2A49"/>
                <w:sz w:val="19"/>
                <w:szCs w:val="19"/>
              </w:rPr>
              <w:t>Ineffective calls to action</w:t>
            </w:r>
          </w:p>
        </w:tc>
        <w:tc>
          <w:tcPr>
            <w:tcW w:w="5000" w:type="dxa"/>
          </w:tcPr>
          <w:p w14:paraId="1275F6CF" w14:textId="77777777" w:rsidR="00135F41" w:rsidRPr="00BD500B" w:rsidRDefault="00FB0CAC" w:rsidP="00BD50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1B2A49"/>
                <w:sz w:val="19"/>
                <w:szCs w:val="19"/>
              </w:rPr>
              <w:t>Two primary actions in the hero (Book, Start video); teal for every primary button, outline for secondary</w:t>
            </w:r>
          </w:p>
        </w:tc>
        <w:tc>
          <w:tcPr>
            <w:tcW w:w="1726" w:type="dxa"/>
          </w:tcPr>
          <w:p w14:paraId="528A1853" w14:textId="77777777" w:rsidR="00135F41" w:rsidRPr="00BD500B" w:rsidRDefault="00FB0CAC" w:rsidP="00BD50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1B2A49"/>
                <w:sz w:val="19"/>
                <w:szCs w:val="19"/>
              </w:rPr>
              <w:t>Home</w:t>
            </w:r>
          </w:p>
        </w:tc>
      </w:tr>
      <w:tr w:rsidR="00135F41" w:rsidRPr="00BD500B" w14:paraId="3F39BF1B" w14:textId="77777777" w:rsidTr="00581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0" w:type="dxa"/>
          </w:tcPr>
          <w:p w14:paraId="5D1E2D4D" w14:textId="77777777" w:rsidR="00135F41" w:rsidRPr="00BD500B" w:rsidRDefault="00FB0CAC" w:rsidP="00BD500B">
            <w:pPr>
              <w:spacing w:line="360" w:lineRule="auto"/>
              <w:rPr>
                <w:rFonts w:ascii="Arial" w:hAnsi="Arial" w:cs="Arial"/>
              </w:rPr>
            </w:pPr>
            <w:r w:rsidRPr="00BD500B">
              <w:rPr>
                <w:rFonts w:ascii="Arial" w:hAnsi="Arial" w:cs="Arial"/>
                <w:color w:val="1B2A49"/>
                <w:sz w:val="19"/>
                <w:szCs w:val="19"/>
              </w:rPr>
              <w:t>Lack of trust signals</w:t>
            </w:r>
          </w:p>
        </w:tc>
        <w:tc>
          <w:tcPr>
            <w:tcW w:w="5000" w:type="dxa"/>
          </w:tcPr>
          <w:p w14:paraId="69BCB970"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Trust strip (CQC, GDPR, GMC, reviews); doctor ratings; reassurance text next to decisions</w:t>
            </w:r>
          </w:p>
        </w:tc>
        <w:tc>
          <w:tcPr>
            <w:tcW w:w="1726" w:type="dxa"/>
          </w:tcPr>
          <w:p w14:paraId="0822EF0F"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Home, Specialists, Book</w:t>
            </w:r>
          </w:p>
        </w:tc>
      </w:tr>
      <w:tr w:rsidR="00135F41" w:rsidRPr="00BD500B" w14:paraId="0E14B19C" w14:textId="77777777" w:rsidTr="00581294">
        <w:tc>
          <w:tcPr>
            <w:cnfStyle w:val="001000000000" w:firstRow="0" w:lastRow="0" w:firstColumn="1" w:lastColumn="0" w:oddVBand="0" w:evenVBand="0" w:oddHBand="0" w:evenHBand="0" w:firstRowFirstColumn="0" w:firstRowLastColumn="0" w:lastRowFirstColumn="0" w:lastRowLastColumn="0"/>
            <w:tcW w:w="2300" w:type="dxa"/>
          </w:tcPr>
          <w:p w14:paraId="2565528A" w14:textId="77777777" w:rsidR="00135F41" w:rsidRPr="00BD500B" w:rsidRDefault="00FB0CAC" w:rsidP="00BD500B">
            <w:pPr>
              <w:spacing w:line="360" w:lineRule="auto"/>
              <w:rPr>
                <w:rFonts w:ascii="Arial" w:hAnsi="Arial" w:cs="Arial"/>
              </w:rPr>
            </w:pPr>
            <w:r w:rsidRPr="00BD500B">
              <w:rPr>
                <w:rFonts w:ascii="Arial" w:hAnsi="Arial" w:cs="Arial"/>
                <w:color w:val="1B2A49"/>
                <w:sz w:val="19"/>
                <w:szCs w:val="19"/>
              </w:rPr>
              <w:t>Limited accessibility</w:t>
            </w:r>
          </w:p>
        </w:tc>
        <w:tc>
          <w:tcPr>
            <w:tcW w:w="5000" w:type="dxa"/>
          </w:tcPr>
          <w:p w14:paraId="3B1C48E8" w14:textId="77777777" w:rsidR="00135F41" w:rsidRPr="00BD500B" w:rsidRDefault="00FB0CAC" w:rsidP="00BD50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1B2A49"/>
                <w:sz w:val="19"/>
                <w:szCs w:val="19"/>
              </w:rPr>
              <w:t>Text size and contrast toggle, text labels as well as colour, large targets; contrast audit (Section 4.3)</w:t>
            </w:r>
          </w:p>
        </w:tc>
        <w:tc>
          <w:tcPr>
            <w:tcW w:w="1726" w:type="dxa"/>
          </w:tcPr>
          <w:p w14:paraId="4725BEC7" w14:textId="77777777" w:rsidR="00135F41" w:rsidRPr="00BD500B" w:rsidRDefault="00FB0CAC" w:rsidP="00BD50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1B2A49"/>
                <w:sz w:val="19"/>
                <w:szCs w:val="19"/>
              </w:rPr>
              <w:t>All pages</w:t>
            </w:r>
          </w:p>
        </w:tc>
      </w:tr>
      <w:tr w:rsidR="00135F41" w:rsidRPr="00BD500B" w14:paraId="49BF86DF" w14:textId="77777777" w:rsidTr="00581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0" w:type="dxa"/>
          </w:tcPr>
          <w:p w14:paraId="4AEE74EE" w14:textId="77777777" w:rsidR="00135F41" w:rsidRPr="00BD500B" w:rsidRDefault="00FB0CAC" w:rsidP="00BD500B">
            <w:pPr>
              <w:spacing w:line="360" w:lineRule="auto"/>
              <w:rPr>
                <w:rFonts w:ascii="Arial" w:hAnsi="Arial" w:cs="Arial"/>
              </w:rPr>
            </w:pPr>
            <w:r w:rsidRPr="00BD500B">
              <w:rPr>
                <w:rFonts w:ascii="Arial" w:hAnsi="Arial" w:cs="Arial"/>
                <w:color w:val="1B2A49"/>
                <w:sz w:val="19"/>
                <w:szCs w:val="19"/>
              </w:rPr>
              <w:t>Specialist directory hard to use</w:t>
            </w:r>
          </w:p>
        </w:tc>
        <w:tc>
          <w:tcPr>
            <w:tcW w:w="5000" w:type="dxa"/>
          </w:tcPr>
          <w:p w14:paraId="39089E56"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Search by condition, specialty or name; filters; sort by soonest available; colour-coded doctor cards with Book on each</w:t>
            </w:r>
          </w:p>
        </w:tc>
        <w:tc>
          <w:tcPr>
            <w:tcW w:w="1726" w:type="dxa"/>
          </w:tcPr>
          <w:p w14:paraId="1AAF14D9"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Specialists</w:t>
            </w:r>
          </w:p>
        </w:tc>
      </w:tr>
      <w:tr w:rsidR="00135F41" w:rsidRPr="00BD500B" w14:paraId="20A33339" w14:textId="77777777" w:rsidTr="00581294">
        <w:tc>
          <w:tcPr>
            <w:cnfStyle w:val="001000000000" w:firstRow="0" w:lastRow="0" w:firstColumn="1" w:lastColumn="0" w:oddVBand="0" w:evenVBand="0" w:oddHBand="0" w:evenHBand="0" w:firstRowFirstColumn="0" w:firstRowLastColumn="0" w:lastRowFirstColumn="0" w:lastRowLastColumn="0"/>
            <w:tcW w:w="2300" w:type="dxa"/>
          </w:tcPr>
          <w:p w14:paraId="53A60223" w14:textId="77777777" w:rsidR="00135F41" w:rsidRPr="00BD500B" w:rsidRDefault="00FB0CAC" w:rsidP="00BD500B">
            <w:pPr>
              <w:spacing w:line="360" w:lineRule="auto"/>
              <w:rPr>
                <w:rFonts w:ascii="Arial" w:hAnsi="Arial" w:cs="Arial"/>
              </w:rPr>
            </w:pPr>
            <w:r w:rsidRPr="00BD500B">
              <w:rPr>
                <w:rFonts w:ascii="Arial" w:hAnsi="Arial" w:cs="Arial"/>
                <w:color w:val="1B2A49"/>
                <w:sz w:val="19"/>
                <w:szCs w:val="19"/>
              </w:rPr>
              <w:t>Telehealth hard to find</w:t>
            </w:r>
          </w:p>
        </w:tc>
        <w:tc>
          <w:tcPr>
            <w:tcW w:w="5000" w:type="dxa"/>
          </w:tcPr>
          <w:p w14:paraId="22ACCC7D" w14:textId="77777777" w:rsidR="00135F41" w:rsidRPr="00BD500B" w:rsidRDefault="00FB0CAC" w:rsidP="00BD50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1B2A49"/>
                <w:sz w:val="19"/>
                <w:szCs w:val="19"/>
              </w:rPr>
              <w:t>Telehealth in main navigation and hero; device check before joining</w:t>
            </w:r>
          </w:p>
        </w:tc>
        <w:tc>
          <w:tcPr>
            <w:tcW w:w="1726" w:type="dxa"/>
          </w:tcPr>
          <w:p w14:paraId="5A2D8DBB" w14:textId="77777777" w:rsidR="00135F41" w:rsidRPr="00BD500B" w:rsidRDefault="00FB0CAC" w:rsidP="00BD50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1B2A49"/>
                <w:sz w:val="19"/>
                <w:szCs w:val="19"/>
              </w:rPr>
              <w:t>Home, Telehealth</w:t>
            </w:r>
          </w:p>
        </w:tc>
      </w:tr>
      <w:tr w:rsidR="00135F41" w:rsidRPr="00BD500B" w14:paraId="13FC2B9B" w14:textId="77777777" w:rsidTr="00581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0" w:type="dxa"/>
          </w:tcPr>
          <w:p w14:paraId="2FF0E7F3" w14:textId="77777777" w:rsidR="00135F41" w:rsidRPr="00BD500B" w:rsidRDefault="00FB0CAC" w:rsidP="00BD500B">
            <w:pPr>
              <w:spacing w:line="360" w:lineRule="auto"/>
              <w:rPr>
                <w:rFonts w:ascii="Arial" w:hAnsi="Arial" w:cs="Arial"/>
              </w:rPr>
            </w:pPr>
            <w:r w:rsidRPr="00BD500B">
              <w:rPr>
                <w:rFonts w:ascii="Arial" w:hAnsi="Arial" w:cs="Arial"/>
                <w:color w:val="1B2A49"/>
                <w:sz w:val="19"/>
                <w:szCs w:val="19"/>
              </w:rPr>
              <w:t>No personalisation or reminders</w:t>
            </w:r>
          </w:p>
        </w:tc>
        <w:tc>
          <w:tcPr>
            <w:tcW w:w="5000" w:type="dxa"/>
          </w:tcPr>
          <w:p w14:paraId="47FF31BD"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Dashboard with next appointment, medication and test reminders, and recommendations</w:t>
            </w:r>
          </w:p>
        </w:tc>
        <w:tc>
          <w:tcPr>
            <w:tcW w:w="1726" w:type="dxa"/>
          </w:tcPr>
          <w:p w14:paraId="2423FF0C"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My Health</w:t>
            </w:r>
          </w:p>
        </w:tc>
      </w:tr>
      <w:tr w:rsidR="00135F41" w:rsidRPr="00BD500B" w14:paraId="40734795" w14:textId="77777777" w:rsidTr="00581294">
        <w:tc>
          <w:tcPr>
            <w:cnfStyle w:val="001000000000" w:firstRow="0" w:lastRow="0" w:firstColumn="1" w:lastColumn="0" w:oddVBand="0" w:evenVBand="0" w:oddHBand="0" w:evenHBand="0" w:firstRowFirstColumn="0" w:firstRowLastColumn="0" w:lastRowFirstColumn="0" w:lastRowLastColumn="0"/>
            <w:tcW w:w="2300" w:type="dxa"/>
          </w:tcPr>
          <w:p w14:paraId="4C218E48" w14:textId="77777777" w:rsidR="00135F41" w:rsidRPr="00BD500B" w:rsidRDefault="00FB0CAC" w:rsidP="00BD500B">
            <w:pPr>
              <w:spacing w:line="360" w:lineRule="auto"/>
              <w:rPr>
                <w:rFonts w:ascii="Arial" w:hAnsi="Arial" w:cs="Arial"/>
              </w:rPr>
            </w:pPr>
            <w:r w:rsidRPr="00BD500B">
              <w:rPr>
                <w:rFonts w:ascii="Arial" w:hAnsi="Arial" w:cs="Arial"/>
                <w:color w:val="1B2A49"/>
                <w:sz w:val="19"/>
                <w:szCs w:val="19"/>
              </w:rPr>
              <w:t>Inconsistent branding, outdated look</w:t>
            </w:r>
          </w:p>
        </w:tc>
        <w:tc>
          <w:tcPr>
            <w:tcW w:w="5000" w:type="dxa"/>
          </w:tcPr>
          <w:p w14:paraId="3E5C4A1B" w14:textId="77777777" w:rsidR="00135F41" w:rsidRPr="00BD500B" w:rsidRDefault="00FB0CAC" w:rsidP="00BD50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1B2A49"/>
                <w:sz w:val="19"/>
                <w:szCs w:val="19"/>
              </w:rPr>
              <w:t>Shared header and footer layers; fixed colour roles (teal action, blue alert, navy headings) plus warm and fresh accents; Inter typeface</w:t>
            </w:r>
          </w:p>
        </w:tc>
        <w:tc>
          <w:tcPr>
            <w:tcW w:w="1726" w:type="dxa"/>
          </w:tcPr>
          <w:p w14:paraId="7593C180" w14:textId="77777777" w:rsidR="00135F41" w:rsidRPr="00BD500B" w:rsidRDefault="00FB0CAC" w:rsidP="00BD500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D500B">
              <w:rPr>
                <w:rFonts w:ascii="Arial" w:hAnsi="Arial" w:cs="Arial"/>
                <w:color w:val="1B2A49"/>
                <w:sz w:val="19"/>
                <w:szCs w:val="19"/>
              </w:rPr>
              <w:t>All pages</w:t>
            </w:r>
          </w:p>
        </w:tc>
      </w:tr>
      <w:tr w:rsidR="00135F41" w:rsidRPr="00BD500B" w14:paraId="65DC435B" w14:textId="77777777" w:rsidTr="00581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0" w:type="dxa"/>
          </w:tcPr>
          <w:p w14:paraId="218DF12D" w14:textId="77777777" w:rsidR="00135F41" w:rsidRPr="00BD500B" w:rsidRDefault="00FB0CAC" w:rsidP="00BD500B">
            <w:pPr>
              <w:spacing w:line="360" w:lineRule="auto"/>
              <w:rPr>
                <w:rFonts w:ascii="Arial" w:hAnsi="Arial" w:cs="Arial"/>
              </w:rPr>
            </w:pPr>
            <w:r w:rsidRPr="00BD500B">
              <w:rPr>
                <w:rFonts w:ascii="Arial" w:hAnsi="Arial" w:cs="Arial"/>
                <w:color w:val="1B2A49"/>
                <w:sz w:val="19"/>
                <w:szCs w:val="19"/>
              </w:rPr>
              <w:t>Poor mobile experience and slow loading</w:t>
            </w:r>
          </w:p>
        </w:tc>
        <w:tc>
          <w:tcPr>
            <w:tcW w:w="5000" w:type="dxa"/>
          </w:tcPr>
          <w:p w14:paraId="5D6A2137"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Mobile-first layout and lightweight visuals (Section 5)</w:t>
            </w:r>
          </w:p>
        </w:tc>
        <w:tc>
          <w:tcPr>
            <w:tcW w:w="1726" w:type="dxa"/>
          </w:tcPr>
          <w:p w14:paraId="4B891AF7" w14:textId="77777777" w:rsidR="00135F41" w:rsidRPr="00BD500B" w:rsidRDefault="00FB0CAC" w:rsidP="00BD500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D500B">
              <w:rPr>
                <w:rFonts w:ascii="Arial" w:hAnsi="Arial" w:cs="Arial"/>
                <w:color w:val="1B2A49"/>
                <w:sz w:val="19"/>
                <w:szCs w:val="19"/>
              </w:rPr>
              <w:t>Mobile wireframe</w:t>
            </w:r>
          </w:p>
        </w:tc>
      </w:tr>
    </w:tbl>
    <w:p w14:paraId="4E10DACA" w14:textId="77777777" w:rsidR="00135F41" w:rsidRPr="00BD500B" w:rsidRDefault="00135F41" w:rsidP="00BD500B">
      <w:pPr>
        <w:spacing w:after="200" w:line="360" w:lineRule="auto"/>
        <w:rPr>
          <w:rFonts w:ascii="Arial" w:hAnsi="Arial" w:cs="Arial"/>
        </w:rPr>
      </w:pPr>
    </w:p>
    <w:p w14:paraId="77A66453" w14:textId="6A7CE8C0" w:rsidR="00135F41" w:rsidRPr="00BD500B" w:rsidRDefault="00E50C41" w:rsidP="00BD500B">
      <w:pPr>
        <w:pStyle w:val="Heading2"/>
        <w:spacing w:line="360" w:lineRule="auto"/>
        <w:rPr>
          <w:rFonts w:ascii="Arial" w:hAnsi="Arial" w:cs="Arial"/>
        </w:rPr>
      </w:pPr>
      <w:bookmarkStart w:id="2" w:name="_Toc243140091"/>
      <w:r w:rsidRPr="00BD500B">
        <w:rPr>
          <w:rFonts w:ascii="Arial" w:hAnsi="Arial" w:cs="Arial"/>
        </w:rPr>
        <w:t>2</w:t>
      </w:r>
      <w:r w:rsidR="00FB0CAC" w:rsidRPr="00BD500B">
        <w:rPr>
          <w:rFonts w:ascii="Arial" w:hAnsi="Arial" w:cs="Arial"/>
        </w:rPr>
        <w:t>.1 Navigation and findability</w:t>
      </w:r>
      <w:bookmarkEnd w:id="2"/>
    </w:p>
    <w:p w14:paraId="4563C867" w14:textId="5426D85A" w:rsidR="00135F41" w:rsidRPr="00BD500B" w:rsidRDefault="00581294" w:rsidP="00BD500B">
      <w:pPr>
        <w:spacing w:after="160" w:line="360" w:lineRule="auto"/>
        <w:jc w:val="both"/>
        <w:rPr>
          <w:rFonts w:ascii="Arial" w:hAnsi="Arial" w:cs="Arial"/>
        </w:rPr>
      </w:pPr>
      <w:r w:rsidRPr="00BD500B">
        <w:rPr>
          <w:rFonts w:ascii="Arial" w:hAnsi="Arial" w:cs="Arial"/>
        </w:rPr>
        <w:t xml:space="preserve">Patients' concern was that they had trouble finding emergency contacts, specialists and telehealth. The new design is based on a 5-level design, with the names of the various </w:t>
      </w:r>
      <w:r w:rsidRPr="00BD500B">
        <w:rPr>
          <w:rFonts w:ascii="Arial" w:hAnsi="Arial" w:cs="Arial"/>
        </w:rPr>
        <w:lastRenderedPageBreak/>
        <w:t>items being laid out in plain patient terminology and not internal service names. The same header is used throughout all the pages, making it easy to recognize the section you are on, in line with Nielsen's heuristics “consistency and standards” and “recognition rather than recall” [2]. The most important question of safety is asked first in an alert bar at the very top. The use of royal blue (8.6:1) in the background of the bar gives a reassuring message and the white text on blue (8.6:1) is very readable; red has been reserved for the telehealth warning message, “Chest pain or breathing difficulty?” Call 999 now</w:t>
      </w:r>
      <w:r w:rsidR="00FB0CAC" w:rsidRPr="00BD500B">
        <w:rPr>
          <w:rFonts w:ascii="Arial" w:hAnsi="Arial" w:cs="Arial"/>
        </w:rPr>
        <w:t>.</w:t>
      </w:r>
    </w:p>
    <w:p w14:paraId="200BE1D3" w14:textId="148F2280" w:rsidR="00135F41" w:rsidRPr="00BD500B" w:rsidRDefault="00E50C41" w:rsidP="00BD500B">
      <w:pPr>
        <w:pStyle w:val="Heading2"/>
        <w:spacing w:line="360" w:lineRule="auto"/>
        <w:rPr>
          <w:rFonts w:ascii="Arial" w:hAnsi="Arial" w:cs="Arial"/>
        </w:rPr>
      </w:pPr>
      <w:bookmarkStart w:id="3" w:name="_Toc243140092"/>
      <w:r w:rsidRPr="00BD500B">
        <w:rPr>
          <w:rFonts w:ascii="Arial" w:hAnsi="Arial" w:cs="Arial"/>
        </w:rPr>
        <w:t>2</w:t>
      </w:r>
      <w:r w:rsidR="00FB0CAC" w:rsidRPr="00BD500B">
        <w:rPr>
          <w:rFonts w:ascii="Arial" w:hAnsi="Arial" w:cs="Arial"/>
        </w:rPr>
        <w:t>.2 Trust and brand</w:t>
      </w:r>
      <w:bookmarkEnd w:id="3"/>
    </w:p>
    <w:p w14:paraId="5DE77E37" w14:textId="745ED3DD" w:rsidR="00135F41" w:rsidRPr="00BD500B" w:rsidRDefault="00581294" w:rsidP="00BD500B">
      <w:pPr>
        <w:spacing w:after="160" w:line="360" w:lineRule="auto"/>
        <w:jc w:val="both"/>
        <w:rPr>
          <w:rFonts w:ascii="Arial" w:hAnsi="Arial" w:cs="Arial"/>
        </w:rPr>
      </w:pPr>
      <w:r w:rsidRPr="00BD500B">
        <w:rPr>
          <w:rFonts w:ascii="Arial" w:hAnsi="Arial" w:cs="Arial"/>
        </w:rPr>
        <w:t xml:space="preserve">Liu et al. [3] determined that greatest predictors of willingness to use telemedicine were the level of patient trust </w:t>
      </w:r>
      <w:r w:rsidR="00BD500B" w:rsidRPr="00BD500B">
        <w:rPr>
          <w:rFonts w:ascii="Arial" w:hAnsi="Arial" w:cs="Arial"/>
        </w:rPr>
        <w:t>on</w:t>
      </w:r>
      <w:r w:rsidRPr="00BD500B">
        <w:rPr>
          <w:rFonts w:ascii="Arial" w:hAnsi="Arial" w:cs="Arial"/>
        </w:rPr>
        <w:t xml:space="preserve"> the internet. Consumer trust was established primarily through credibility of the doctor, through the institutional safeguards and through the credibility of the </w:t>
      </w:r>
      <w:r w:rsidR="00BD500B" w:rsidRPr="00BD500B">
        <w:rPr>
          <w:rFonts w:ascii="Arial" w:hAnsi="Arial" w:cs="Arial"/>
        </w:rPr>
        <w:t>website and</w:t>
      </w:r>
      <w:r w:rsidRPr="00BD500B">
        <w:rPr>
          <w:rFonts w:ascii="Arial" w:hAnsi="Arial" w:cs="Arial"/>
        </w:rPr>
        <w:t xml:space="preserve"> decreased through perceived risk. The same holds true for Saoula et al. [4] who discovered that ease of use and reliability of the website creates e-trust and that this leads to increased retention. The prototype then provides visibility of credibility in the shape of regulatory badges (CQC, GMC, GDPR), doctor ratings and reassurance lines by each decision. At the visual level, the brand would like to appear friendly, warm and fresh rather than clinical, because the user forms an opinion of their credibility not only by the text, but also by its appearance [5]. There's always a danger of having a too extensive palette so each colour has its specific purpose: teal for all buttons and the logo; royal blue for alerts and headlines; navy for headings; warm accents (butter, peach, blush, rose) for telehealth and doctor cards; and greens (sage, lime, olive, khaki) for filters and cards</w:t>
      </w:r>
      <w:r w:rsidR="00FB0CAC" w:rsidRPr="00BD500B">
        <w:rPr>
          <w:rFonts w:ascii="Arial" w:hAnsi="Arial" w:cs="Arial"/>
        </w:rPr>
        <w:t>.</w:t>
      </w:r>
    </w:p>
    <w:p w14:paraId="14E1F820" w14:textId="62BF33ED" w:rsidR="00135F41" w:rsidRPr="00BD500B" w:rsidRDefault="00E50C41" w:rsidP="00BD500B">
      <w:pPr>
        <w:pStyle w:val="Heading2"/>
        <w:spacing w:line="360" w:lineRule="auto"/>
        <w:rPr>
          <w:rFonts w:ascii="Arial" w:hAnsi="Arial" w:cs="Arial"/>
        </w:rPr>
      </w:pPr>
      <w:bookmarkStart w:id="4" w:name="_Toc243140093"/>
      <w:r w:rsidRPr="00BD500B">
        <w:rPr>
          <w:rFonts w:ascii="Arial" w:hAnsi="Arial" w:cs="Arial"/>
        </w:rPr>
        <w:t>2</w:t>
      </w:r>
      <w:r w:rsidR="00FB0CAC" w:rsidRPr="00BD500B">
        <w:rPr>
          <w:rFonts w:ascii="Arial" w:hAnsi="Arial" w:cs="Arial"/>
        </w:rPr>
        <w:t>.3 Accessibility</w:t>
      </w:r>
      <w:bookmarkEnd w:id="4"/>
    </w:p>
    <w:p w14:paraId="4B9B68AD" w14:textId="3F889DA9" w:rsidR="00135F41" w:rsidRPr="00BD500B" w:rsidRDefault="00581294" w:rsidP="00BD500B">
      <w:pPr>
        <w:spacing w:after="160" w:line="360" w:lineRule="auto"/>
        <w:jc w:val="both"/>
        <w:rPr>
          <w:rFonts w:ascii="Arial" w:hAnsi="Arial" w:cs="Arial"/>
        </w:rPr>
      </w:pPr>
      <w:r w:rsidRPr="00BD500B">
        <w:rPr>
          <w:rFonts w:ascii="Arial" w:hAnsi="Arial" w:cs="Arial"/>
        </w:rPr>
        <w:t xml:space="preserve">WellCare Connect is usable by patients of all ages and abilities, going to the WCAG 2.2 Level AA [6] for the design. Passing combinations are white on teal buttons (4.95:1), white on the royal blue alert bar (8.6:1) and navy text on lime or butter (12.3:1). Words are used as status </w:t>
      </w:r>
      <w:r w:rsidR="00BD500B" w:rsidRPr="00BD500B">
        <w:rPr>
          <w:rFonts w:ascii="Arial" w:hAnsi="Arial" w:cs="Arial"/>
        </w:rPr>
        <w:t>labels;</w:t>
      </w:r>
      <w:r w:rsidRPr="00BD500B">
        <w:rPr>
          <w:rFonts w:ascii="Arial" w:hAnsi="Arial" w:cs="Arial"/>
        </w:rPr>
        <w:t xml:space="preserve"> buttons are not less than 24 </w:t>
      </w:r>
      <w:proofErr w:type="gramStart"/>
      <w:r w:rsidR="00BD500B" w:rsidRPr="00BD500B">
        <w:rPr>
          <w:rFonts w:ascii="Arial" w:hAnsi="Arial" w:cs="Arial"/>
        </w:rPr>
        <w:t>p</w:t>
      </w:r>
      <w:r w:rsidR="00BD500B">
        <w:rPr>
          <w:rFonts w:ascii="Arial" w:hAnsi="Arial" w:cs="Arial"/>
        </w:rPr>
        <w:t>i</w:t>
      </w:r>
      <w:r w:rsidR="00BD500B" w:rsidRPr="00BD500B">
        <w:rPr>
          <w:rFonts w:ascii="Arial" w:hAnsi="Arial" w:cs="Arial"/>
        </w:rPr>
        <w:t>x</w:t>
      </w:r>
      <w:r w:rsidR="00BD500B">
        <w:rPr>
          <w:rFonts w:ascii="Arial" w:hAnsi="Arial" w:cs="Arial"/>
        </w:rPr>
        <w:t>el</w:t>
      </w:r>
      <w:proofErr w:type="gramEnd"/>
      <w:r w:rsidR="00BD500B">
        <w:rPr>
          <w:rFonts w:ascii="Arial" w:hAnsi="Arial" w:cs="Arial"/>
        </w:rPr>
        <w:t>,</w:t>
      </w:r>
      <w:r w:rsidRPr="00BD500B">
        <w:rPr>
          <w:rFonts w:ascii="Arial" w:hAnsi="Arial" w:cs="Arial"/>
        </w:rPr>
        <w:t xml:space="preserve"> and a header toggle provides larger text and contrast. A </w:t>
      </w:r>
      <w:r w:rsidR="00BD500B" w:rsidRPr="00BD500B">
        <w:rPr>
          <w:rFonts w:ascii="Arial" w:hAnsi="Arial" w:cs="Arial"/>
        </w:rPr>
        <w:t>self-audit</w:t>
      </w:r>
      <w:r w:rsidRPr="00BD500B">
        <w:rPr>
          <w:rFonts w:ascii="Arial" w:hAnsi="Arial" w:cs="Arial"/>
        </w:rPr>
        <w:t xml:space="preserve"> revealed some faults to overcome by the next iteration. The green-to-dark grey doctor panel only has a 1.3:1 aspect ratio, and specialty / ‘next available’ details are difficult to read; the light caption on the grey-green video panel is 1.6:1; and the navy navigation text on the teal Specialists header is 3.0:1. There is also a variation in contrast over gradients. A decorative layer is now over the alert bar on Home. The suggested solution involves retaining the colour-coding rules but removing the accents from the text and adding accents as a tint or as an edge strip behind the navy </w:t>
      </w:r>
      <w:r w:rsidRPr="00BD500B">
        <w:rPr>
          <w:rFonts w:ascii="Arial" w:hAnsi="Arial" w:cs="Arial"/>
        </w:rPr>
        <w:lastRenderedPageBreak/>
        <w:t>text, thus maintaining the warm feel while still complying with the minimum requirement of 4.5:1</w:t>
      </w:r>
      <w:r w:rsidR="00FB0CAC" w:rsidRPr="00BD500B">
        <w:rPr>
          <w:rFonts w:ascii="Arial" w:hAnsi="Arial" w:cs="Arial"/>
        </w:rPr>
        <w:t>.</w:t>
      </w:r>
    </w:p>
    <w:p w14:paraId="240B944F" w14:textId="3333F2B9" w:rsidR="00135F41" w:rsidRPr="00BD500B" w:rsidRDefault="00E50C41" w:rsidP="00BD500B">
      <w:pPr>
        <w:pStyle w:val="Heading2"/>
        <w:spacing w:line="360" w:lineRule="auto"/>
        <w:rPr>
          <w:rFonts w:ascii="Arial" w:hAnsi="Arial" w:cs="Arial"/>
        </w:rPr>
      </w:pPr>
      <w:bookmarkStart w:id="5" w:name="_Toc243140094"/>
      <w:r w:rsidRPr="00BD500B">
        <w:rPr>
          <w:rFonts w:ascii="Arial" w:hAnsi="Arial" w:cs="Arial"/>
        </w:rPr>
        <w:t>2</w:t>
      </w:r>
      <w:r w:rsidR="00FB0CAC" w:rsidRPr="00BD500B">
        <w:rPr>
          <w:rFonts w:ascii="Arial" w:hAnsi="Arial" w:cs="Arial"/>
        </w:rPr>
        <w:t>.4 Booking flow and calls to action</w:t>
      </w:r>
      <w:bookmarkEnd w:id="5"/>
    </w:p>
    <w:p w14:paraId="6B455DE8" w14:textId="37B3DA11" w:rsidR="00135F41" w:rsidRPr="00BD500B" w:rsidRDefault="00581294" w:rsidP="00BD500B">
      <w:pPr>
        <w:spacing w:after="160" w:line="360" w:lineRule="auto"/>
        <w:jc w:val="both"/>
        <w:rPr>
          <w:rFonts w:ascii="Arial" w:hAnsi="Arial" w:cs="Arial"/>
        </w:rPr>
      </w:pPr>
      <w:r w:rsidRPr="00BD500B">
        <w:rPr>
          <w:rFonts w:ascii="Arial" w:hAnsi="Arial" w:cs="Arial"/>
        </w:rPr>
        <w:t>The booking page is a hazy process broken down into four clear steps: Service, Doctor, Date &amp; time, Confirm. Steps that have been completed are checked and the step that has been selected is highlighted as bold, to help with “visibility of system status” [2]. Time slots are presented in a charcoal gradient panel to make the white slot buttons stand out from the background, while a summary panel presents the Doctor, Date, Time, Type and Reason in one-go before the primary action “Confirm booking”</w:t>
      </w:r>
      <w:r w:rsidR="00FB0CAC" w:rsidRPr="00BD500B">
        <w:rPr>
          <w:rFonts w:ascii="Arial" w:hAnsi="Arial" w:cs="Arial"/>
        </w:rPr>
        <w:t>.</w:t>
      </w:r>
    </w:p>
    <w:p w14:paraId="5F308ADC" w14:textId="17D500C5" w:rsidR="00135F41" w:rsidRPr="00BD500B" w:rsidRDefault="00E50C41" w:rsidP="00BD500B">
      <w:pPr>
        <w:pStyle w:val="Heading2"/>
        <w:spacing w:line="360" w:lineRule="auto"/>
        <w:rPr>
          <w:rFonts w:ascii="Arial" w:hAnsi="Arial" w:cs="Arial"/>
        </w:rPr>
      </w:pPr>
      <w:bookmarkStart w:id="6" w:name="_Toc243140095"/>
      <w:r w:rsidRPr="00BD500B">
        <w:rPr>
          <w:rFonts w:ascii="Arial" w:hAnsi="Arial" w:cs="Arial"/>
        </w:rPr>
        <w:t>2</w:t>
      </w:r>
      <w:r w:rsidR="00FB0CAC" w:rsidRPr="00BD500B">
        <w:rPr>
          <w:rFonts w:ascii="Arial" w:hAnsi="Arial" w:cs="Arial"/>
        </w:rPr>
        <w:t>.5 Personalisation and reminders</w:t>
      </w:r>
      <w:bookmarkEnd w:id="6"/>
    </w:p>
    <w:p w14:paraId="644C043E" w14:textId="0594990A" w:rsidR="00135F41" w:rsidRPr="00BD500B" w:rsidRDefault="00581294" w:rsidP="00BD500B">
      <w:pPr>
        <w:spacing w:after="160" w:line="360" w:lineRule="auto"/>
        <w:jc w:val="both"/>
        <w:rPr>
          <w:rFonts w:ascii="Arial" w:hAnsi="Arial" w:cs="Arial"/>
        </w:rPr>
      </w:pPr>
      <w:r w:rsidRPr="00BD500B">
        <w:rPr>
          <w:rFonts w:ascii="Arial" w:hAnsi="Arial" w:cs="Arial"/>
        </w:rPr>
        <w:t xml:space="preserve">Lack of personalisation is addressed in the “My Health” dashboard. It welcomes the patient, presents the upcoming appointment with a one-tap to join a video call, reminds patient of items (medications, a blood test, seasonal flu vaccine, etc.) and recommends services based on patient history. In an RCT study, Berset et al. [7] showed that patient portal reminder messages led to increased scheduling and attendance at delayed care visits. However, the evidence supporting patient portal use was moderate to weak, with recommendations dependent upon context [8] as outcomes must be measured following the launch. If a health-based recommendation is made it </w:t>
      </w:r>
      <w:r w:rsidR="00BD500B" w:rsidRPr="00BD500B">
        <w:rPr>
          <w:rFonts w:ascii="Arial" w:hAnsi="Arial" w:cs="Arial"/>
        </w:rPr>
        <w:t>must</w:t>
      </w:r>
      <w:r w:rsidRPr="00BD500B">
        <w:rPr>
          <w:rFonts w:ascii="Arial" w:hAnsi="Arial" w:cs="Arial"/>
        </w:rPr>
        <w:t xml:space="preserve"> be given explicit consent under UK GDPR</w:t>
      </w:r>
      <w:r w:rsidR="00FB0CAC" w:rsidRPr="00BD500B">
        <w:rPr>
          <w:rFonts w:ascii="Arial" w:hAnsi="Arial" w:cs="Arial"/>
        </w:rPr>
        <w:t>.</w:t>
      </w:r>
    </w:p>
    <w:p w14:paraId="534BB50F" w14:textId="3734945B" w:rsidR="00135F41" w:rsidRPr="00BD500B" w:rsidRDefault="00E50C41" w:rsidP="00BD500B">
      <w:pPr>
        <w:pStyle w:val="Heading2"/>
        <w:spacing w:line="360" w:lineRule="auto"/>
        <w:rPr>
          <w:rFonts w:ascii="Arial" w:hAnsi="Arial" w:cs="Arial"/>
        </w:rPr>
      </w:pPr>
      <w:bookmarkStart w:id="7" w:name="_Toc243140096"/>
      <w:r w:rsidRPr="00BD500B">
        <w:rPr>
          <w:rFonts w:ascii="Arial" w:hAnsi="Arial" w:cs="Arial"/>
        </w:rPr>
        <w:t>2</w:t>
      </w:r>
      <w:r w:rsidR="00FB0CAC" w:rsidRPr="00BD500B">
        <w:rPr>
          <w:rFonts w:ascii="Arial" w:hAnsi="Arial" w:cs="Arial"/>
        </w:rPr>
        <w:t>.6 Performance</w:t>
      </w:r>
      <w:bookmarkEnd w:id="7"/>
    </w:p>
    <w:p w14:paraId="1A6DE7EE" w14:textId="3AEE6732" w:rsidR="00135F41" w:rsidRPr="00BD500B" w:rsidRDefault="00581294" w:rsidP="00BD500B">
      <w:pPr>
        <w:spacing w:after="160" w:line="360" w:lineRule="auto"/>
        <w:jc w:val="both"/>
        <w:rPr>
          <w:rFonts w:ascii="Arial" w:hAnsi="Arial" w:cs="Arial"/>
        </w:rPr>
      </w:pPr>
      <w:r w:rsidRPr="00BD500B">
        <w:rPr>
          <w:rFonts w:ascii="Arial" w:hAnsi="Arial" w:cs="Arial"/>
        </w:rPr>
        <w:t>The lack of loading was solved at the design level by replacing large photographs with icons and avatars based on letters. The gradients would be CSS and not created as an image, so there won't be much weight added. Final speed will be subject to the development options including image compression and caching</w:t>
      </w:r>
      <w:r w:rsidR="00FB0CAC" w:rsidRPr="00BD500B">
        <w:rPr>
          <w:rFonts w:ascii="Arial" w:hAnsi="Arial" w:cs="Arial"/>
        </w:rPr>
        <w:t>.</w:t>
      </w:r>
    </w:p>
    <w:p w14:paraId="05674305" w14:textId="7691D6EF" w:rsidR="00135F41" w:rsidRPr="00BD500B" w:rsidRDefault="00E50C41" w:rsidP="00BD500B">
      <w:pPr>
        <w:pStyle w:val="Heading1"/>
        <w:spacing w:line="360" w:lineRule="auto"/>
        <w:rPr>
          <w:rFonts w:ascii="Arial" w:hAnsi="Arial" w:cs="Arial"/>
        </w:rPr>
      </w:pPr>
      <w:bookmarkStart w:id="8" w:name="_Toc243140097"/>
      <w:r w:rsidRPr="00BD500B">
        <w:rPr>
          <w:rFonts w:ascii="Arial" w:hAnsi="Arial" w:cs="Arial"/>
        </w:rPr>
        <w:t>3</w:t>
      </w:r>
      <w:r w:rsidR="00FB0CAC" w:rsidRPr="00BD500B">
        <w:rPr>
          <w:rFonts w:ascii="Arial" w:hAnsi="Arial" w:cs="Arial"/>
        </w:rPr>
        <w:t>. Responsive Design Implementation</w:t>
      </w:r>
      <w:bookmarkEnd w:id="8"/>
    </w:p>
    <w:p w14:paraId="225CF47D" w14:textId="4883AACF" w:rsidR="00135F41" w:rsidRPr="00BD500B" w:rsidRDefault="00581294" w:rsidP="00BD500B">
      <w:pPr>
        <w:spacing w:after="160" w:line="360" w:lineRule="auto"/>
        <w:jc w:val="both"/>
        <w:rPr>
          <w:rFonts w:ascii="Arial" w:hAnsi="Arial" w:cs="Arial"/>
        </w:rPr>
      </w:pPr>
      <w:r w:rsidRPr="00BD500B">
        <w:rPr>
          <w:rFonts w:ascii="Arial" w:hAnsi="Arial" w:cs="Arial"/>
        </w:rPr>
        <w:t xml:space="preserve">Fluid grids, images and responsive CSS media queries are used in responsive design so that one web site fits any screen size [9]. This is why it's so significant in terms of how users are going online these days. According to Ofcom [10] one in five adult internet users was using a smartphone as their sole communication device, while 73% of UK adults used their smartphone while online. For WellCare Connect, it corresponds to an appointment </w:t>
      </w:r>
      <w:r w:rsidRPr="00BD500B">
        <w:rPr>
          <w:rFonts w:ascii="Arial" w:hAnsi="Arial" w:cs="Arial"/>
        </w:rPr>
        <w:lastRenderedPageBreak/>
        <w:t xml:space="preserve">booked, a video consultation or an </w:t>
      </w:r>
      <w:r w:rsidR="00414327" w:rsidRPr="00BD500B">
        <w:rPr>
          <w:rFonts w:ascii="Arial" w:hAnsi="Arial" w:cs="Arial"/>
        </w:rPr>
        <w:t>enrolment</w:t>
      </w:r>
      <w:r w:rsidRPr="00BD500B">
        <w:rPr>
          <w:rFonts w:ascii="Arial" w:hAnsi="Arial" w:cs="Arial"/>
        </w:rPr>
        <w:t xml:space="preserve"> in a subscription. The implications of responsive design can be summed up briefly into three. First, it enhances user experience. The ease of learning was the most valued dimension, and Parlakkiliç [11] found a very strong correlation between responsive design and perceived usability (r = 0.92). Second, it promotes conversions and retention. Easy-to-use mobile layout can foster </w:t>
      </w:r>
      <w:r w:rsidR="00BD500B" w:rsidRPr="00BD500B">
        <w:rPr>
          <w:rFonts w:ascii="Arial" w:hAnsi="Arial" w:cs="Arial"/>
        </w:rPr>
        <w:t>trust,</w:t>
      </w:r>
      <w:r w:rsidRPr="00BD500B">
        <w:rPr>
          <w:rFonts w:ascii="Arial" w:hAnsi="Arial" w:cs="Arial"/>
        </w:rPr>
        <w:t xml:space="preserve"> and trust can lead to repeat use [4]. Kumar [12] </w:t>
      </w:r>
      <w:r w:rsidR="00BD500B" w:rsidRPr="00BD500B">
        <w:rPr>
          <w:rFonts w:ascii="Arial" w:hAnsi="Arial" w:cs="Arial"/>
        </w:rPr>
        <w:t>analysed</w:t>
      </w:r>
      <w:r w:rsidRPr="00BD500B">
        <w:rPr>
          <w:rFonts w:ascii="Arial" w:hAnsi="Arial" w:cs="Arial"/>
        </w:rPr>
        <w:t xml:space="preserve"> the 5 popular responsive ecommerce websites and came up with a mobile-first usability guideline; he believes that "consistency across device" is the usability criteria that most often developers fall short of delivering. Thirdly, it has the benefit of being one codebase as compared to having a separate mobile site. There are also charges and restrictions. Each breakpoint should be designed and tested and complex screens like the dashboard cannot just be smaller, they need to prioritise content. The additional limitation is related to telehealth: a video call on a mobile phone must have large, well-distinguished controls; connectivity issues and low digital literacy were identified as critical challenges by Gonçalves et al. [13] with respect to the usability of telehealth. The redesign follows the mobile-first </w:t>
      </w:r>
      <w:r w:rsidR="00BD500B" w:rsidRPr="00BD500B">
        <w:rPr>
          <w:rFonts w:ascii="Arial" w:hAnsi="Arial" w:cs="Arial"/>
        </w:rPr>
        <w:t>principle and</w:t>
      </w:r>
      <w:r w:rsidRPr="00BD500B">
        <w:rPr>
          <w:rFonts w:ascii="Arial" w:hAnsi="Arial" w:cs="Arial"/>
        </w:rPr>
        <w:t xml:space="preserve"> is demonstrated in the mobile </w:t>
      </w:r>
      <w:r w:rsidR="00BD500B" w:rsidRPr="00BD500B">
        <w:rPr>
          <w:rFonts w:ascii="Arial" w:hAnsi="Arial" w:cs="Arial"/>
        </w:rPr>
        <w:t>home</w:t>
      </w:r>
      <w:r w:rsidRPr="00BD500B">
        <w:rPr>
          <w:rFonts w:ascii="Arial" w:hAnsi="Arial" w:cs="Arial"/>
        </w:rPr>
        <w:t xml:space="preserve"> wireframe (Fig. 7) on </w:t>
      </w:r>
      <w:r w:rsidR="00BD500B" w:rsidRPr="00BD500B">
        <w:rPr>
          <w:rFonts w:ascii="Arial" w:hAnsi="Arial" w:cs="Arial"/>
        </w:rPr>
        <w:t>390-pixel</w:t>
      </w:r>
      <w:r w:rsidRPr="00BD500B">
        <w:rPr>
          <w:rFonts w:ascii="Arial" w:hAnsi="Arial" w:cs="Arial"/>
        </w:rPr>
        <w:t xml:space="preserve"> width. The alert bar remains in the foreground and displays the shorter text. The hero is made one column and the buttons – size at least 48</w:t>
      </w:r>
      <w:r w:rsidR="00BD500B" w:rsidRPr="00BD500B">
        <w:rPr>
          <w:rFonts w:ascii="Arial" w:hAnsi="Arial" w:cs="Arial"/>
        </w:rPr>
        <w:t xml:space="preserve">-pixel </w:t>
      </w:r>
      <w:r w:rsidRPr="00BD500B">
        <w:rPr>
          <w:rFonts w:ascii="Arial" w:hAnsi="Arial" w:cs="Arial"/>
        </w:rPr>
        <w:t>wide, for thumb use. The line of four service cards becomes a 2 x 2 square. A sticky header and sticky “Book appointment” button ensures that the main conversion stays stuck in place as you scroll. The hamburger menu will have the same five items that it has at desktop. We are planning for breakpoints at 390 p</w:t>
      </w:r>
      <w:r w:rsidR="00BD500B" w:rsidRPr="00BD500B">
        <w:rPr>
          <w:rFonts w:ascii="Arial" w:hAnsi="Arial" w:cs="Arial"/>
        </w:rPr>
        <w:t xml:space="preserve">ixel </w:t>
      </w:r>
      <w:r w:rsidRPr="00BD500B">
        <w:rPr>
          <w:rFonts w:ascii="Arial" w:hAnsi="Arial" w:cs="Arial"/>
        </w:rPr>
        <w:t xml:space="preserve">(mobile), 768 (tablet) and 1440 (desktop) on a </w:t>
      </w:r>
      <w:r w:rsidR="00BD500B" w:rsidRPr="00BD500B">
        <w:rPr>
          <w:rFonts w:ascii="Arial" w:hAnsi="Arial" w:cs="Arial"/>
        </w:rPr>
        <w:t>12-column</w:t>
      </w:r>
      <w:r w:rsidRPr="00BD500B">
        <w:rPr>
          <w:rFonts w:ascii="Arial" w:hAnsi="Arial" w:cs="Arial"/>
        </w:rPr>
        <w:t xml:space="preserve"> grid that reduces to 4 on mobile</w:t>
      </w:r>
      <w:r w:rsidR="00FB0CAC" w:rsidRPr="00BD500B">
        <w:rPr>
          <w:rFonts w:ascii="Arial" w:hAnsi="Arial" w:cs="Arial"/>
        </w:rPr>
        <w:t>.</w:t>
      </w:r>
    </w:p>
    <w:p w14:paraId="631C1595" w14:textId="24B6FAAD" w:rsidR="00135F41" w:rsidRPr="00BD500B" w:rsidRDefault="00E50C41" w:rsidP="00BD500B">
      <w:pPr>
        <w:pStyle w:val="Heading1"/>
        <w:pageBreakBefore/>
        <w:spacing w:line="360" w:lineRule="auto"/>
        <w:rPr>
          <w:rFonts w:ascii="Arial" w:hAnsi="Arial" w:cs="Arial"/>
        </w:rPr>
      </w:pPr>
      <w:bookmarkStart w:id="9" w:name="_Toc243140098"/>
      <w:r w:rsidRPr="00BD500B">
        <w:rPr>
          <w:rFonts w:ascii="Arial" w:hAnsi="Arial" w:cs="Arial"/>
        </w:rPr>
        <w:lastRenderedPageBreak/>
        <w:t>4</w:t>
      </w:r>
      <w:r w:rsidR="00FB0CAC" w:rsidRPr="00BD500B">
        <w:rPr>
          <w:rFonts w:ascii="Arial" w:hAnsi="Arial" w:cs="Arial"/>
        </w:rPr>
        <w:t>. Implementation</w:t>
      </w:r>
      <w:bookmarkEnd w:id="9"/>
    </w:p>
    <w:p w14:paraId="4774DB7B" w14:textId="74D1EC17" w:rsidR="00135F41" w:rsidRPr="00BD500B" w:rsidRDefault="00581294" w:rsidP="00BD500B">
      <w:pPr>
        <w:spacing w:after="160" w:line="360" w:lineRule="auto"/>
        <w:jc w:val="both"/>
        <w:rPr>
          <w:rFonts w:ascii="Arial" w:hAnsi="Arial" w:cs="Arial"/>
        </w:rPr>
      </w:pPr>
      <w:r w:rsidRPr="00BD500B">
        <w:rPr>
          <w:rFonts w:ascii="Arial" w:hAnsi="Arial" w:cs="Arial"/>
        </w:rPr>
        <w:t>The results of Task 1 are presented here and an explanation of the ways in which the mood board and the wireframes helped shape the final design</w:t>
      </w:r>
      <w:r w:rsidR="00FB0CAC" w:rsidRPr="00BD500B">
        <w:rPr>
          <w:rFonts w:ascii="Arial" w:hAnsi="Arial" w:cs="Arial"/>
        </w:rPr>
        <w:t>.</w:t>
      </w:r>
    </w:p>
    <w:p w14:paraId="6914DC2A" w14:textId="273FA7BE" w:rsidR="00135F41" w:rsidRPr="00BD500B" w:rsidRDefault="00E50C41" w:rsidP="00BD500B">
      <w:pPr>
        <w:pStyle w:val="Heading2"/>
        <w:spacing w:line="360" w:lineRule="auto"/>
        <w:rPr>
          <w:rFonts w:ascii="Arial" w:hAnsi="Arial" w:cs="Arial"/>
        </w:rPr>
      </w:pPr>
      <w:bookmarkStart w:id="10" w:name="_Toc243140099"/>
      <w:r w:rsidRPr="00BD500B">
        <w:rPr>
          <w:rFonts w:ascii="Arial" w:hAnsi="Arial" w:cs="Arial"/>
        </w:rPr>
        <w:t>4</w:t>
      </w:r>
      <w:r w:rsidR="00FB0CAC" w:rsidRPr="00BD500B">
        <w:rPr>
          <w:rFonts w:ascii="Arial" w:hAnsi="Arial" w:cs="Arial"/>
        </w:rPr>
        <w:t>.1 Mood board</w:t>
      </w:r>
      <w:bookmarkEnd w:id="10"/>
    </w:p>
    <w:p w14:paraId="5A57584E" w14:textId="7846010A" w:rsidR="00135F41" w:rsidRPr="00BD500B" w:rsidRDefault="00581294" w:rsidP="00BD500B">
      <w:pPr>
        <w:spacing w:after="160" w:line="360" w:lineRule="auto"/>
        <w:jc w:val="both"/>
        <w:rPr>
          <w:rFonts w:ascii="Arial" w:hAnsi="Arial" w:cs="Arial"/>
        </w:rPr>
      </w:pPr>
      <w:r w:rsidRPr="00BD500B">
        <w:rPr>
          <w:rFonts w:ascii="Arial" w:hAnsi="Arial" w:cs="Arial"/>
        </w:rPr>
        <w:t xml:space="preserve">A mood board is a qualitative design research exercise which aims to represent abstract brand values as a visual language, it becomes a shared language [14]. The WellCare Connect board (Fig. 1) features six WellCare attributes, in the order described—friendly, trustworthy, warm, fresh, modern and easy to use—and a tag line that reads, “Healthcare when you need it, wherever you are.” It is also broken down into three categorised divisions with explained purposes: core brand and action colours (royal blue, teal, navy), warm accents for a welcoming telehealth/doctor card, and natural greens that align with health and growth. It also defines three gradient treatments, the Inter type scale, core UI components and the imagery mood. The title “From the Inkscape prototype” indicates that the board was finalised at about the same time as the </w:t>
      </w:r>
      <w:r w:rsidR="00BD500B" w:rsidRPr="00BD500B">
        <w:rPr>
          <w:rFonts w:ascii="Arial" w:hAnsi="Arial" w:cs="Arial"/>
        </w:rPr>
        <w:t>prototype and</w:t>
      </w:r>
      <w:r w:rsidRPr="00BD500B">
        <w:rPr>
          <w:rFonts w:ascii="Arial" w:hAnsi="Arial" w:cs="Arial"/>
        </w:rPr>
        <w:t xml:space="preserve"> thus is a two-way street. It's provided a clear treatment of each page: for Telehealth, it's butter, peach and sage; for patients, it's colour-coded cards to help them distinguish doctors on Specialists, and for Booking, it's the charcoal calendar to make slots stand out. And for the dashboard, it's the teal hero card. The downside of this is that there were some options not explored as extensively as Cassidy's model suggests [14] so the palette should be piloted with patients before being finalized</w:t>
      </w:r>
      <w:r w:rsidR="00FB0CAC" w:rsidRPr="00BD500B">
        <w:rPr>
          <w:rFonts w:ascii="Arial" w:hAnsi="Arial" w:cs="Arial"/>
        </w:rPr>
        <w:t>.</w:t>
      </w:r>
    </w:p>
    <w:p w14:paraId="63E38DC9"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lastRenderedPageBreak/>
        <w:drawing>
          <wp:inline distT="0" distB="0" distL="0" distR="0" wp14:anchorId="303BB350" wp14:editId="7D5AC818">
            <wp:extent cx="5669280" cy="4010025"/>
            <wp:effectExtent l="0" t="0" r="0" b="0"/>
            <wp:docPr id="1" name="fig1" descr="Mood board: brand feel, colour palette, gradients and texture, the direction applied to the five pages, UI elements, typography and imagery" title="Mood board: brand feel, colour palette, gradients and texture, the direction applied to the five pages, UI elements, typography and imag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669280" cy="4010025"/>
                    </a:xfrm>
                    <a:prstGeom prst="rect">
                      <a:avLst/>
                    </a:prstGeom>
                  </pic:spPr>
                </pic:pic>
              </a:graphicData>
            </a:graphic>
          </wp:inline>
        </w:drawing>
      </w:r>
    </w:p>
    <w:p w14:paraId="2BC355FA"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1. </w:t>
      </w:r>
      <w:r w:rsidRPr="00BD500B">
        <w:rPr>
          <w:rFonts w:ascii="Arial" w:hAnsi="Arial" w:cs="Arial"/>
          <w:i/>
          <w:iCs/>
          <w:color w:val="404040"/>
          <w:sz w:val="19"/>
          <w:szCs w:val="19"/>
        </w:rPr>
        <w:t>Mood board: brand feel, colour palette, gradients and texture, the direction applied to the five pages, UI elements, typography and imagery</w:t>
      </w:r>
    </w:p>
    <w:p w14:paraId="7FC61841" w14:textId="03BBB7CC" w:rsidR="00135F41" w:rsidRPr="00BD500B" w:rsidRDefault="00E50C41" w:rsidP="00BD500B">
      <w:pPr>
        <w:pStyle w:val="Heading2"/>
        <w:spacing w:line="360" w:lineRule="auto"/>
        <w:rPr>
          <w:rFonts w:ascii="Arial" w:hAnsi="Arial" w:cs="Arial"/>
        </w:rPr>
      </w:pPr>
      <w:bookmarkStart w:id="11" w:name="_Toc243140100"/>
      <w:r w:rsidRPr="00BD500B">
        <w:rPr>
          <w:rFonts w:ascii="Arial" w:hAnsi="Arial" w:cs="Arial"/>
        </w:rPr>
        <w:t>4</w:t>
      </w:r>
      <w:r w:rsidR="00FB0CAC" w:rsidRPr="00BD500B">
        <w:rPr>
          <w:rFonts w:ascii="Arial" w:hAnsi="Arial" w:cs="Arial"/>
        </w:rPr>
        <w:t>.2 Wireframes</w:t>
      </w:r>
      <w:bookmarkEnd w:id="11"/>
    </w:p>
    <w:p w14:paraId="2BEF6214" w14:textId="60593429" w:rsidR="00581294" w:rsidRPr="00BD500B" w:rsidRDefault="00581294" w:rsidP="00BD500B">
      <w:pPr>
        <w:spacing w:after="160" w:line="360" w:lineRule="auto"/>
        <w:jc w:val="both"/>
        <w:rPr>
          <w:rFonts w:ascii="Arial" w:hAnsi="Arial" w:cs="Arial"/>
        </w:rPr>
      </w:pPr>
      <w:r w:rsidRPr="00BD500B">
        <w:rPr>
          <w:rFonts w:ascii="Arial" w:hAnsi="Arial" w:cs="Arial"/>
        </w:rPr>
        <w:t xml:space="preserve">Low fidelity wireframes were created on the 5 main pages in PowerPoint on a </w:t>
      </w:r>
      <w:r w:rsidR="00BD500B" w:rsidRPr="00BD500B">
        <w:rPr>
          <w:rFonts w:ascii="Arial" w:hAnsi="Arial" w:cs="Arial"/>
        </w:rPr>
        <w:t>1440-pixel</w:t>
      </w:r>
      <w:r w:rsidRPr="00BD500B">
        <w:rPr>
          <w:rFonts w:ascii="Arial" w:hAnsi="Arial" w:cs="Arial"/>
        </w:rPr>
        <w:t xml:space="preserve"> desktop screen, and a mobile version of the Home page (Figs. 2–7). Only use grey boxes and </w:t>
      </w:r>
      <w:r w:rsidR="00BD500B" w:rsidRPr="00BD500B">
        <w:rPr>
          <w:rFonts w:ascii="Arial" w:hAnsi="Arial" w:cs="Arial"/>
        </w:rPr>
        <w:t>placeholders’</w:t>
      </w:r>
      <w:r w:rsidRPr="00BD500B">
        <w:rPr>
          <w:rFonts w:ascii="Arial" w:hAnsi="Arial" w:cs="Arial"/>
        </w:rPr>
        <w:t xml:space="preserve"> text so that focus is kept on the layout, hierarchy and function and not the colour [1]. One objective sentence is listed on every page, and numbered notes explain the purpose of each element and the related problem that it addresses, such as the ever-present emergency bar on every page, which resolves the “can't find emergency contacts” problem.</w:t>
      </w:r>
    </w:p>
    <w:p w14:paraId="4DF416B4" w14:textId="43633C01" w:rsidR="00135F41" w:rsidRPr="00BD500B" w:rsidRDefault="00581294" w:rsidP="00BD500B">
      <w:pPr>
        <w:spacing w:after="160" w:line="360" w:lineRule="auto"/>
        <w:jc w:val="both"/>
        <w:rPr>
          <w:rFonts w:ascii="Arial" w:hAnsi="Arial" w:cs="Arial"/>
        </w:rPr>
      </w:pPr>
      <w:r w:rsidRPr="00BD500B">
        <w:rPr>
          <w:rFonts w:ascii="Arial" w:hAnsi="Arial" w:cs="Arial"/>
        </w:rPr>
        <w:t xml:space="preserve">The wireframes established the overall structure for the final design. Almost all the positions of the elements remained the same in the prototype, such as the header, the hero, the cards, the filters, the progress indicator and the summary panel; and the numbered annotations provided a kind of checklist to ensure </w:t>
      </w:r>
      <w:r w:rsidR="00BD500B" w:rsidRPr="00BD500B">
        <w:rPr>
          <w:rFonts w:ascii="Arial" w:hAnsi="Arial" w:cs="Arial"/>
        </w:rPr>
        <w:t>all</w:t>
      </w:r>
      <w:r w:rsidRPr="00BD500B">
        <w:rPr>
          <w:rFonts w:ascii="Arial" w:hAnsi="Arial" w:cs="Arial"/>
        </w:rPr>
        <w:t xml:space="preserve"> the planned features were included</w:t>
      </w:r>
      <w:r w:rsidR="00FB0CAC" w:rsidRPr="00BD500B">
        <w:rPr>
          <w:rFonts w:ascii="Arial" w:hAnsi="Arial" w:cs="Arial"/>
        </w:rPr>
        <w:t>.</w:t>
      </w:r>
    </w:p>
    <w:p w14:paraId="2817E71C"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lastRenderedPageBreak/>
        <w:drawing>
          <wp:inline distT="0" distB="0" distL="0" distR="0" wp14:anchorId="1EBB3E3A" wp14:editId="104EF424">
            <wp:extent cx="5669280" cy="3228975"/>
            <wp:effectExtent l="0" t="0" r="0" b="0"/>
            <wp:docPr id="75037131" name="fig2" descr="Wireframe 1 – Home (desktop) with numbered annotations" title="Wireframe 1 – Home (desktop) with numbered anno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669280" cy="3228975"/>
                    </a:xfrm>
                    <a:prstGeom prst="rect">
                      <a:avLst/>
                    </a:prstGeom>
                  </pic:spPr>
                </pic:pic>
              </a:graphicData>
            </a:graphic>
          </wp:inline>
        </w:drawing>
      </w:r>
    </w:p>
    <w:p w14:paraId="3809F058"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2. </w:t>
      </w:r>
      <w:r w:rsidRPr="00BD500B">
        <w:rPr>
          <w:rFonts w:ascii="Arial" w:hAnsi="Arial" w:cs="Arial"/>
          <w:i/>
          <w:iCs/>
          <w:color w:val="404040"/>
          <w:sz w:val="19"/>
          <w:szCs w:val="19"/>
        </w:rPr>
        <w:t>Wireframe 1 – Home (desktop) with numbered annotations</w:t>
      </w:r>
    </w:p>
    <w:p w14:paraId="70562B45"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drawing>
          <wp:inline distT="0" distB="0" distL="0" distR="0" wp14:anchorId="3FF8BDFA" wp14:editId="449D02CD">
            <wp:extent cx="5669280" cy="3228975"/>
            <wp:effectExtent l="0" t="0" r="0" b="0"/>
            <wp:docPr id="615496726" name="fig3" descr="Wireframe 2 – Find a specialist" title="Wireframe 2 – Find a specia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669280" cy="3228975"/>
                    </a:xfrm>
                    <a:prstGeom prst="rect">
                      <a:avLst/>
                    </a:prstGeom>
                  </pic:spPr>
                </pic:pic>
              </a:graphicData>
            </a:graphic>
          </wp:inline>
        </w:drawing>
      </w:r>
    </w:p>
    <w:p w14:paraId="34C6E4F6"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3. </w:t>
      </w:r>
      <w:r w:rsidRPr="00BD500B">
        <w:rPr>
          <w:rFonts w:ascii="Arial" w:hAnsi="Arial" w:cs="Arial"/>
          <w:i/>
          <w:iCs/>
          <w:color w:val="404040"/>
          <w:sz w:val="19"/>
          <w:szCs w:val="19"/>
        </w:rPr>
        <w:t>Wireframe 2 – Find a specialist</w:t>
      </w:r>
    </w:p>
    <w:p w14:paraId="4D4A849D"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lastRenderedPageBreak/>
        <w:drawing>
          <wp:inline distT="0" distB="0" distL="0" distR="0" wp14:anchorId="56814A4A" wp14:editId="390BCE3A">
            <wp:extent cx="5669280" cy="3228975"/>
            <wp:effectExtent l="0" t="0" r="0" b="0"/>
            <wp:docPr id="2062694349" name="fig4" descr="Wireframe 3 – Book appointment" title="Wireframe 3 – Book appoin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669280" cy="3228975"/>
                    </a:xfrm>
                    <a:prstGeom prst="rect">
                      <a:avLst/>
                    </a:prstGeom>
                  </pic:spPr>
                </pic:pic>
              </a:graphicData>
            </a:graphic>
          </wp:inline>
        </w:drawing>
      </w:r>
    </w:p>
    <w:p w14:paraId="3ECE4D4F"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4. </w:t>
      </w:r>
      <w:r w:rsidRPr="00BD500B">
        <w:rPr>
          <w:rFonts w:ascii="Arial" w:hAnsi="Arial" w:cs="Arial"/>
          <w:i/>
          <w:iCs/>
          <w:color w:val="404040"/>
          <w:sz w:val="19"/>
          <w:szCs w:val="19"/>
        </w:rPr>
        <w:t>Wireframe 3 – Book appointment</w:t>
      </w:r>
    </w:p>
    <w:p w14:paraId="0B78941D"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drawing>
          <wp:inline distT="0" distB="0" distL="0" distR="0" wp14:anchorId="14F35CA4" wp14:editId="5735C3B0">
            <wp:extent cx="5669280" cy="3228975"/>
            <wp:effectExtent l="0" t="0" r="0" b="0"/>
            <wp:docPr id="1123417062" name="fig5" descr="Wireframe 4 – Telehealth" title="Wireframe 4 – Tele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669280" cy="3228975"/>
                    </a:xfrm>
                    <a:prstGeom prst="rect">
                      <a:avLst/>
                    </a:prstGeom>
                  </pic:spPr>
                </pic:pic>
              </a:graphicData>
            </a:graphic>
          </wp:inline>
        </w:drawing>
      </w:r>
    </w:p>
    <w:p w14:paraId="2BD6C9CB"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5. </w:t>
      </w:r>
      <w:r w:rsidRPr="00BD500B">
        <w:rPr>
          <w:rFonts w:ascii="Arial" w:hAnsi="Arial" w:cs="Arial"/>
          <w:i/>
          <w:iCs/>
          <w:color w:val="404040"/>
          <w:sz w:val="19"/>
          <w:szCs w:val="19"/>
        </w:rPr>
        <w:t>Wireframe 4 – Telehealth</w:t>
      </w:r>
    </w:p>
    <w:p w14:paraId="6A083F7E"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lastRenderedPageBreak/>
        <w:drawing>
          <wp:inline distT="0" distB="0" distL="0" distR="0" wp14:anchorId="44A1150C" wp14:editId="72B14C97">
            <wp:extent cx="5669280" cy="3228975"/>
            <wp:effectExtent l="0" t="0" r="0" b="0"/>
            <wp:docPr id="1095937978" name="fig6" descr="Wireframe 5 – Patient dashboard (My Health)" title="Wireframe 5 – Patient dashboard (My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669280" cy="3228975"/>
                    </a:xfrm>
                    <a:prstGeom prst="rect">
                      <a:avLst/>
                    </a:prstGeom>
                  </pic:spPr>
                </pic:pic>
              </a:graphicData>
            </a:graphic>
          </wp:inline>
        </w:drawing>
      </w:r>
    </w:p>
    <w:p w14:paraId="5978C14E"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6. </w:t>
      </w:r>
      <w:r w:rsidRPr="00BD500B">
        <w:rPr>
          <w:rFonts w:ascii="Arial" w:hAnsi="Arial" w:cs="Arial"/>
          <w:i/>
          <w:iCs/>
          <w:color w:val="404040"/>
          <w:sz w:val="19"/>
          <w:szCs w:val="19"/>
        </w:rPr>
        <w:t>Wireframe 5 – Patient dashboard (My Health)</w:t>
      </w:r>
    </w:p>
    <w:p w14:paraId="089CA2D5"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drawing>
          <wp:inline distT="0" distB="0" distL="0" distR="0" wp14:anchorId="16D437E4" wp14:editId="6670E331">
            <wp:extent cx="5669280" cy="3228975"/>
            <wp:effectExtent l="0" t="0" r="0" b="0"/>
            <wp:docPr id="613409370" name="fig7" descr="Wireframe 6 – Home on mobile (390 px): top of page, scrolled, menu open" title="Wireframe 6 – Home on mobile (390 px): top of page, scrolled, menu o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669280" cy="3228975"/>
                    </a:xfrm>
                    <a:prstGeom prst="rect">
                      <a:avLst/>
                    </a:prstGeom>
                  </pic:spPr>
                </pic:pic>
              </a:graphicData>
            </a:graphic>
          </wp:inline>
        </w:drawing>
      </w:r>
    </w:p>
    <w:p w14:paraId="7C1F8284"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7. </w:t>
      </w:r>
      <w:r w:rsidRPr="00BD500B">
        <w:rPr>
          <w:rFonts w:ascii="Arial" w:hAnsi="Arial" w:cs="Arial"/>
          <w:i/>
          <w:iCs/>
          <w:color w:val="404040"/>
          <w:sz w:val="19"/>
          <w:szCs w:val="19"/>
        </w:rPr>
        <w:t xml:space="preserve">Wireframe 6 – Home on mobile (390 </w:t>
      </w:r>
      <w:proofErr w:type="spellStart"/>
      <w:r w:rsidRPr="00BD500B">
        <w:rPr>
          <w:rFonts w:ascii="Arial" w:hAnsi="Arial" w:cs="Arial"/>
          <w:i/>
          <w:iCs/>
          <w:color w:val="404040"/>
          <w:sz w:val="19"/>
          <w:szCs w:val="19"/>
        </w:rPr>
        <w:t>px</w:t>
      </w:r>
      <w:proofErr w:type="spellEnd"/>
      <w:r w:rsidRPr="00BD500B">
        <w:rPr>
          <w:rFonts w:ascii="Arial" w:hAnsi="Arial" w:cs="Arial"/>
          <w:i/>
          <w:iCs/>
          <w:color w:val="404040"/>
          <w:sz w:val="19"/>
          <w:szCs w:val="19"/>
        </w:rPr>
        <w:t>): top of page, scrolled, menu open</w:t>
      </w:r>
    </w:p>
    <w:p w14:paraId="5FDF0A8C" w14:textId="3EE347D8" w:rsidR="00135F41" w:rsidRPr="00BD500B" w:rsidRDefault="00E50C41" w:rsidP="00BD500B">
      <w:pPr>
        <w:pStyle w:val="Heading2"/>
        <w:spacing w:line="360" w:lineRule="auto"/>
        <w:rPr>
          <w:rFonts w:ascii="Arial" w:hAnsi="Arial" w:cs="Arial"/>
        </w:rPr>
      </w:pPr>
      <w:bookmarkStart w:id="12" w:name="_Toc243140101"/>
      <w:r w:rsidRPr="00BD500B">
        <w:rPr>
          <w:rFonts w:ascii="Arial" w:hAnsi="Arial" w:cs="Arial"/>
        </w:rPr>
        <w:t>4.</w:t>
      </w:r>
      <w:r w:rsidR="00FB0CAC" w:rsidRPr="00BD500B">
        <w:rPr>
          <w:rFonts w:ascii="Arial" w:hAnsi="Arial" w:cs="Arial"/>
        </w:rPr>
        <w:t>3 Interactive prototype</w:t>
      </w:r>
      <w:bookmarkEnd w:id="12"/>
    </w:p>
    <w:p w14:paraId="42BA781F" w14:textId="4380D4A5" w:rsidR="00581294" w:rsidRPr="00BD500B" w:rsidRDefault="00581294" w:rsidP="00BD500B">
      <w:pPr>
        <w:spacing w:after="160" w:line="360" w:lineRule="auto"/>
        <w:jc w:val="both"/>
        <w:rPr>
          <w:rFonts w:ascii="Arial" w:hAnsi="Arial" w:cs="Arial"/>
        </w:rPr>
      </w:pPr>
      <w:r w:rsidRPr="00BD500B">
        <w:rPr>
          <w:rFonts w:ascii="Arial" w:hAnsi="Arial" w:cs="Arial"/>
        </w:rPr>
        <w:t xml:space="preserve">The interactive prototype (Figs. 8-12) is a set of 5 1440 x 1024 files created in Inkscape: Book appointment, Find a specialist, Home, Telehealth and My health. The same header and footer are shared across </w:t>
      </w:r>
      <w:r w:rsidR="00BD500B" w:rsidRPr="00BD500B">
        <w:rPr>
          <w:rFonts w:ascii="Arial" w:hAnsi="Arial" w:cs="Arial"/>
        </w:rPr>
        <w:t>all</w:t>
      </w:r>
      <w:r w:rsidRPr="00BD500B">
        <w:rPr>
          <w:rFonts w:ascii="Arial" w:hAnsi="Arial" w:cs="Arial"/>
        </w:rPr>
        <w:t xml:space="preserve"> the </w:t>
      </w:r>
      <w:r w:rsidR="00BD500B" w:rsidRPr="00BD500B">
        <w:rPr>
          <w:rFonts w:ascii="Arial" w:hAnsi="Arial" w:cs="Arial"/>
        </w:rPr>
        <w:t>named</w:t>
      </w:r>
      <w:r w:rsidRPr="00BD500B">
        <w:rPr>
          <w:rFonts w:ascii="Arial" w:hAnsi="Arial" w:cs="Arial"/>
        </w:rPr>
        <w:t xml:space="preserve"> layers, while linear, radial and mesh gradients add to the depth effects on the mood board. To achieve this, interaction was added with </w:t>
      </w:r>
      <w:r w:rsidRPr="00BD500B">
        <w:rPr>
          <w:rFonts w:ascii="Arial" w:hAnsi="Arial" w:cs="Arial"/>
        </w:rPr>
        <w:lastRenderedPageBreak/>
        <w:t xml:space="preserve">Inkscape hyperlink objects: 59 links between the navigation, buttons and cards between the pages and a hover effect to give some visual feedback on each clickable element. The typical path for a journey is Home, </w:t>
      </w:r>
      <w:r w:rsidR="00BD500B" w:rsidRPr="00BD500B">
        <w:rPr>
          <w:rFonts w:ascii="Arial" w:hAnsi="Arial" w:cs="Arial"/>
        </w:rPr>
        <w:t>find</w:t>
      </w:r>
      <w:r w:rsidRPr="00BD500B">
        <w:rPr>
          <w:rFonts w:ascii="Arial" w:hAnsi="Arial" w:cs="Arial"/>
        </w:rPr>
        <w:t xml:space="preserve"> a specialist, Book (14:30 Dr Amara Okafor), Confirm booking, My Health, confirmed appointment, Join video call, Telehealth.</w:t>
      </w:r>
    </w:p>
    <w:p w14:paraId="632DF9E7" w14:textId="1E186B35" w:rsidR="00135F41" w:rsidRPr="00BD500B" w:rsidRDefault="00581294" w:rsidP="00BD500B">
      <w:pPr>
        <w:spacing w:after="160" w:line="360" w:lineRule="auto"/>
        <w:jc w:val="both"/>
        <w:rPr>
          <w:rFonts w:ascii="Arial" w:hAnsi="Arial" w:cs="Arial"/>
        </w:rPr>
      </w:pPr>
      <w:r w:rsidRPr="00BD500B">
        <w:rPr>
          <w:rFonts w:ascii="Arial" w:hAnsi="Arial" w:cs="Arial"/>
        </w:rPr>
        <w:t>There is a prototype limit. Navigation is displayed on SVG links, but states like typing in a search box, ticking filters or opening the FAQ accordion, etc., are not. The mobile layout is only a wireframe. Prior to development, correct the contrast problems in Section 4.3 and conduct a usability test with between five and eight representative patients before, which should include patients with reading disabilities, such as older patients and using screen readers</w:t>
      </w:r>
      <w:r w:rsidR="00FB0CAC" w:rsidRPr="00BD500B">
        <w:rPr>
          <w:rFonts w:ascii="Arial" w:hAnsi="Arial" w:cs="Arial"/>
        </w:rPr>
        <w:t>.</w:t>
      </w:r>
    </w:p>
    <w:p w14:paraId="75D906FB"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drawing>
          <wp:inline distT="0" distB="0" distL="0" distR="0" wp14:anchorId="13C8C5F1" wp14:editId="185E5AB0">
            <wp:extent cx="5669280" cy="4029075"/>
            <wp:effectExtent l="0" t="0" r="0" b="0"/>
            <wp:docPr id="754215997" name="fig8" descr="Prototype page 1 – Home" title="Prototype page 1 –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669280" cy="4029075"/>
                    </a:xfrm>
                    <a:prstGeom prst="rect">
                      <a:avLst/>
                    </a:prstGeom>
                  </pic:spPr>
                </pic:pic>
              </a:graphicData>
            </a:graphic>
          </wp:inline>
        </w:drawing>
      </w:r>
    </w:p>
    <w:p w14:paraId="21EDB2E3"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8. </w:t>
      </w:r>
      <w:r w:rsidRPr="00BD500B">
        <w:rPr>
          <w:rFonts w:ascii="Arial" w:hAnsi="Arial" w:cs="Arial"/>
          <w:i/>
          <w:iCs/>
          <w:color w:val="404040"/>
          <w:sz w:val="19"/>
          <w:szCs w:val="19"/>
        </w:rPr>
        <w:t>Prototype page 1 – Home</w:t>
      </w:r>
    </w:p>
    <w:p w14:paraId="36F470ED"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lastRenderedPageBreak/>
        <w:drawing>
          <wp:inline distT="0" distB="0" distL="0" distR="0" wp14:anchorId="76C9C4E3" wp14:editId="35932616">
            <wp:extent cx="5669280" cy="4029075"/>
            <wp:effectExtent l="0" t="0" r="0" b="0"/>
            <wp:docPr id="533490661" name="fig9" descr="Prototype page 2 – Find a specialist" title="Prototype page 2 – Find a specia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669280" cy="4029075"/>
                    </a:xfrm>
                    <a:prstGeom prst="rect">
                      <a:avLst/>
                    </a:prstGeom>
                  </pic:spPr>
                </pic:pic>
              </a:graphicData>
            </a:graphic>
          </wp:inline>
        </w:drawing>
      </w:r>
    </w:p>
    <w:p w14:paraId="5A9D125B"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9. </w:t>
      </w:r>
      <w:r w:rsidRPr="00BD500B">
        <w:rPr>
          <w:rFonts w:ascii="Arial" w:hAnsi="Arial" w:cs="Arial"/>
          <w:i/>
          <w:iCs/>
          <w:color w:val="404040"/>
          <w:sz w:val="19"/>
          <w:szCs w:val="19"/>
        </w:rPr>
        <w:t>Prototype page 2 – Find a specialist</w:t>
      </w:r>
    </w:p>
    <w:p w14:paraId="56D61A3A"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drawing>
          <wp:inline distT="0" distB="0" distL="0" distR="0" wp14:anchorId="6928E9F0" wp14:editId="61A3951F">
            <wp:extent cx="5669280" cy="4029075"/>
            <wp:effectExtent l="0" t="0" r="0" b="0"/>
            <wp:docPr id="1706001993" name="fig10" descr="Prototype page 3 – Book appointment (step 3 of 4)" title="Prototype page 3 – Book appointment (step 3 of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669280" cy="4029075"/>
                    </a:xfrm>
                    <a:prstGeom prst="rect">
                      <a:avLst/>
                    </a:prstGeom>
                  </pic:spPr>
                </pic:pic>
              </a:graphicData>
            </a:graphic>
          </wp:inline>
        </w:drawing>
      </w:r>
    </w:p>
    <w:p w14:paraId="6EB915DC"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10. </w:t>
      </w:r>
      <w:r w:rsidRPr="00BD500B">
        <w:rPr>
          <w:rFonts w:ascii="Arial" w:hAnsi="Arial" w:cs="Arial"/>
          <w:i/>
          <w:iCs/>
          <w:color w:val="404040"/>
          <w:sz w:val="19"/>
          <w:szCs w:val="19"/>
        </w:rPr>
        <w:t>Prototype page 3 – Book appointment (step 3 of 4)</w:t>
      </w:r>
    </w:p>
    <w:p w14:paraId="4D887D40"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lastRenderedPageBreak/>
        <w:drawing>
          <wp:inline distT="0" distB="0" distL="0" distR="0" wp14:anchorId="5B9CA68B" wp14:editId="23AE0BFF">
            <wp:extent cx="5669280" cy="4029075"/>
            <wp:effectExtent l="0" t="0" r="0" b="0"/>
            <wp:docPr id="1307027529" name="fig11" descr="Prototype page 4 – Telehealth (virtual consultation)" title="Prototype page 4 – Telehealth (virtual consul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669280" cy="4029075"/>
                    </a:xfrm>
                    <a:prstGeom prst="rect">
                      <a:avLst/>
                    </a:prstGeom>
                  </pic:spPr>
                </pic:pic>
              </a:graphicData>
            </a:graphic>
          </wp:inline>
        </w:drawing>
      </w:r>
    </w:p>
    <w:p w14:paraId="0839E27C"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11. </w:t>
      </w:r>
      <w:r w:rsidRPr="00BD500B">
        <w:rPr>
          <w:rFonts w:ascii="Arial" w:hAnsi="Arial" w:cs="Arial"/>
          <w:i/>
          <w:iCs/>
          <w:color w:val="404040"/>
          <w:sz w:val="19"/>
          <w:szCs w:val="19"/>
        </w:rPr>
        <w:t>Prototype page 4 – Telehealth (virtual consultation)</w:t>
      </w:r>
    </w:p>
    <w:p w14:paraId="2FB2678B" w14:textId="77777777" w:rsidR="00135F41" w:rsidRPr="00BD500B" w:rsidRDefault="00FB0CAC" w:rsidP="00BD500B">
      <w:pPr>
        <w:keepNext/>
        <w:spacing w:before="120" w:after="60" w:line="360" w:lineRule="auto"/>
        <w:jc w:val="center"/>
        <w:rPr>
          <w:rFonts w:ascii="Arial" w:hAnsi="Arial" w:cs="Arial"/>
        </w:rPr>
      </w:pPr>
      <w:r w:rsidRPr="00BD500B">
        <w:rPr>
          <w:rFonts w:ascii="Arial" w:hAnsi="Arial" w:cs="Arial"/>
          <w:noProof/>
        </w:rPr>
        <w:drawing>
          <wp:inline distT="0" distB="0" distL="0" distR="0" wp14:anchorId="670F05E2" wp14:editId="46619D8C">
            <wp:extent cx="5669280" cy="4029075"/>
            <wp:effectExtent l="0" t="0" r="0" b="0"/>
            <wp:docPr id="343863352" name="fig12" descr="Prototype page 5 – My Health patient dashboard" title="Prototype page 5 – My Health patient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669280" cy="4029075"/>
                    </a:xfrm>
                    <a:prstGeom prst="rect">
                      <a:avLst/>
                    </a:prstGeom>
                  </pic:spPr>
                </pic:pic>
              </a:graphicData>
            </a:graphic>
          </wp:inline>
        </w:drawing>
      </w:r>
    </w:p>
    <w:p w14:paraId="6A3B17AF" w14:textId="77777777" w:rsidR="00135F41" w:rsidRPr="00BD500B" w:rsidRDefault="00FB0CAC" w:rsidP="00BD500B">
      <w:pPr>
        <w:spacing w:after="240" w:line="360" w:lineRule="auto"/>
        <w:jc w:val="center"/>
        <w:rPr>
          <w:rFonts w:ascii="Arial" w:hAnsi="Arial" w:cs="Arial"/>
        </w:rPr>
      </w:pPr>
      <w:r w:rsidRPr="00BD500B">
        <w:rPr>
          <w:rFonts w:ascii="Arial" w:hAnsi="Arial" w:cs="Arial"/>
          <w:b/>
          <w:bCs/>
          <w:color w:val="1B2A49"/>
          <w:sz w:val="19"/>
          <w:szCs w:val="19"/>
        </w:rPr>
        <w:t xml:space="preserve">Fig. 12. </w:t>
      </w:r>
      <w:r w:rsidRPr="00BD500B">
        <w:rPr>
          <w:rFonts w:ascii="Arial" w:hAnsi="Arial" w:cs="Arial"/>
          <w:i/>
          <w:iCs/>
          <w:color w:val="404040"/>
          <w:sz w:val="19"/>
          <w:szCs w:val="19"/>
        </w:rPr>
        <w:t>Prototype page 5 – My Health patient dashboard</w:t>
      </w:r>
    </w:p>
    <w:p w14:paraId="78088CC2" w14:textId="5418B1DD" w:rsidR="00135F41" w:rsidRPr="00BD500B" w:rsidRDefault="00E50C41" w:rsidP="00BD500B">
      <w:pPr>
        <w:pStyle w:val="Heading1"/>
        <w:pageBreakBefore/>
        <w:spacing w:line="360" w:lineRule="auto"/>
        <w:rPr>
          <w:rFonts w:ascii="Arial" w:hAnsi="Arial" w:cs="Arial"/>
        </w:rPr>
      </w:pPr>
      <w:bookmarkStart w:id="13" w:name="_Toc243140102"/>
      <w:r w:rsidRPr="00BD500B">
        <w:rPr>
          <w:rFonts w:ascii="Arial" w:hAnsi="Arial" w:cs="Arial"/>
        </w:rPr>
        <w:lastRenderedPageBreak/>
        <w:t>5</w:t>
      </w:r>
      <w:r w:rsidR="00FB0CAC" w:rsidRPr="00BD500B">
        <w:rPr>
          <w:rFonts w:ascii="Arial" w:hAnsi="Arial" w:cs="Arial"/>
        </w:rPr>
        <w:t>. Conclusion</w:t>
      </w:r>
      <w:bookmarkEnd w:id="13"/>
    </w:p>
    <w:p w14:paraId="01FA8296" w14:textId="77777777" w:rsidR="00581294" w:rsidRPr="00BD500B" w:rsidRDefault="00581294" w:rsidP="00BD500B">
      <w:pPr>
        <w:spacing w:after="160" w:line="360" w:lineRule="auto"/>
        <w:jc w:val="both"/>
        <w:rPr>
          <w:rFonts w:ascii="Arial" w:hAnsi="Arial" w:cs="Arial"/>
        </w:rPr>
      </w:pPr>
      <w:r w:rsidRPr="00BD500B">
        <w:rPr>
          <w:rFonts w:ascii="Arial" w:hAnsi="Arial" w:cs="Arial"/>
        </w:rPr>
        <w:t>This is an example of a redesigned WellCare Connect web site using a well-documented design process of creating Annotated Wire Frames, a five-page interactive prototype and a Mood Board. The challenge was broken down into individual design responses, including alert bar, clear navigation language, booking flow, trust signals and customised dashboard.</w:t>
      </w:r>
    </w:p>
    <w:p w14:paraId="367305E5" w14:textId="69CE24F5" w:rsidR="00135F41" w:rsidRPr="00BD500B" w:rsidRDefault="00581294" w:rsidP="00BD500B">
      <w:pPr>
        <w:spacing w:after="160" w:line="360" w:lineRule="auto"/>
        <w:jc w:val="both"/>
        <w:rPr>
          <w:rFonts w:ascii="Arial" w:hAnsi="Arial" w:cs="Arial"/>
        </w:rPr>
      </w:pPr>
      <w:r w:rsidRPr="00BD500B">
        <w:rPr>
          <w:rFonts w:ascii="Arial" w:hAnsi="Arial" w:cs="Arial"/>
        </w:rPr>
        <w:t xml:space="preserve">The key learning was to work in stages. The structure was established with wireframes, enabling the prototype to work on the visual detail; the concept of colour roles was picked up from the mood board. The self-audit with WCAG 2.2 revealed the risk of using bold colours – some combinations of accent colours are not in contrast and need to be edited. Those improvements combined with user testing with actual patients bolster WellCare </w:t>
      </w:r>
      <w:r w:rsidR="00BD500B" w:rsidRPr="00BD500B">
        <w:rPr>
          <w:rFonts w:ascii="Arial" w:hAnsi="Arial" w:cs="Arial"/>
        </w:rPr>
        <w:t xml:space="preserve">Connect’s </w:t>
      </w:r>
      <w:r w:rsidRPr="00BD500B">
        <w:rPr>
          <w:rFonts w:ascii="Arial" w:hAnsi="Arial" w:cs="Arial"/>
        </w:rPr>
        <w:t>business objectives of increased engagement, increased bookings and subscriptions, and increased trust in the product</w:t>
      </w:r>
      <w:r w:rsidR="00FB0CAC" w:rsidRPr="00BD500B">
        <w:rPr>
          <w:rFonts w:ascii="Arial" w:hAnsi="Arial" w:cs="Arial"/>
        </w:rPr>
        <w:t>.</w:t>
      </w:r>
    </w:p>
    <w:p w14:paraId="75B5F5BC" w14:textId="20A73726" w:rsidR="00135F41" w:rsidRPr="00BD500B" w:rsidRDefault="00E50C41" w:rsidP="00BD500B">
      <w:pPr>
        <w:pStyle w:val="Heading1"/>
        <w:pageBreakBefore/>
        <w:spacing w:line="360" w:lineRule="auto"/>
        <w:rPr>
          <w:rFonts w:ascii="Arial" w:hAnsi="Arial" w:cs="Arial"/>
        </w:rPr>
      </w:pPr>
      <w:bookmarkStart w:id="14" w:name="_Toc243140103"/>
      <w:r w:rsidRPr="00BD500B">
        <w:rPr>
          <w:rFonts w:ascii="Arial" w:hAnsi="Arial" w:cs="Arial"/>
        </w:rPr>
        <w:lastRenderedPageBreak/>
        <w:t>6</w:t>
      </w:r>
      <w:r w:rsidR="00FB0CAC" w:rsidRPr="00BD500B">
        <w:rPr>
          <w:rFonts w:ascii="Arial" w:hAnsi="Arial" w:cs="Arial"/>
        </w:rPr>
        <w:t>. References</w:t>
      </w:r>
      <w:bookmarkEnd w:id="14"/>
    </w:p>
    <w:p w14:paraId="60A11B71" w14:textId="77777777"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[1]</w:t>
      </w:r>
      <w:r w:rsidRPr="00BD500B">
        <w:rPr>
          <w:rFonts w:ascii="Arial" w:hAnsi="Arial" w:cs="Arial"/>
          <w:sz w:val="21"/>
          <w:szCs w:val="21"/>
        </w:rPr>
        <w:tab/>
        <w:t>Y. Rogers, H. Sharp, and J. Preece, Interaction Design: Beyond Human-Computer Interaction, 6th ed. Hoboken, NJ, USA: Wiley, 2023.</w:t>
      </w:r>
    </w:p>
    <w:p w14:paraId="1FA6987E" w14:textId="4E2DBFD7"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[2]</w:t>
      </w:r>
      <w:r w:rsidRPr="00BD500B">
        <w:rPr>
          <w:rFonts w:ascii="Arial" w:hAnsi="Arial" w:cs="Arial"/>
          <w:sz w:val="21"/>
          <w:szCs w:val="21"/>
        </w:rPr>
        <w:tab/>
        <w:t xml:space="preserve">J. Nielsen, “10 usability heuristics for user interface design,” Nielsen Norman Group, Apr. 24, 1994. [Online]. Available: </w:t>
      </w:r>
      <w:hyperlink r:id="rId20" w:history="1">
        <w:r w:rsidR="00581294" w:rsidRPr="00BD500B">
          <w:rPr>
            <w:rStyle w:val="Hyperlink"/>
            <w:rFonts w:ascii="Arial" w:hAnsi="Arial" w:cs="Arial"/>
            <w:sz w:val="21"/>
            <w:szCs w:val="21"/>
          </w:rPr>
          <w:t>https://www.nngroup.com/articles/ten-usability-heuristics/</w:t>
        </w:r>
      </w:hyperlink>
      <w:r w:rsidR="00581294" w:rsidRPr="00BD500B">
        <w:rPr>
          <w:rFonts w:ascii="Arial" w:hAnsi="Arial" w:cs="Arial"/>
          <w:sz w:val="21"/>
          <w:szCs w:val="21"/>
        </w:rPr>
        <w:t xml:space="preserve"> </w:t>
      </w:r>
    </w:p>
    <w:p w14:paraId="5534D677" w14:textId="37FF85C1"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[3]</w:t>
      </w:r>
      <w:r w:rsidRPr="00BD500B">
        <w:rPr>
          <w:rFonts w:ascii="Arial" w:hAnsi="Arial" w:cs="Arial"/>
          <w:sz w:val="21"/>
          <w:szCs w:val="21"/>
        </w:rPr>
        <w:tab/>
        <w:t xml:space="preserve">C. Liu, J. Wang, R. Chen, and W. Zhou, “Exploring the influence of Chinese online patient trust on telemedicine </w:t>
      </w:r>
      <w:proofErr w:type="spellStart"/>
      <w:r w:rsidRPr="00BD500B">
        <w:rPr>
          <w:rFonts w:ascii="Arial" w:hAnsi="Arial" w:cs="Arial"/>
          <w:sz w:val="21"/>
          <w:szCs w:val="21"/>
        </w:rPr>
        <w:t>behavior</w:t>
      </w:r>
      <w:proofErr w:type="spellEnd"/>
      <w:r w:rsidRPr="00BD500B">
        <w:rPr>
          <w:rFonts w:ascii="Arial" w:hAnsi="Arial" w:cs="Arial"/>
          <w:sz w:val="21"/>
          <w:szCs w:val="21"/>
        </w:rPr>
        <w:t xml:space="preserve">: Insights into perceived risk and </w:t>
      </w:r>
      <w:proofErr w:type="spellStart"/>
      <w:r w:rsidRPr="00BD500B">
        <w:rPr>
          <w:rFonts w:ascii="Arial" w:hAnsi="Arial" w:cs="Arial"/>
          <w:sz w:val="21"/>
          <w:szCs w:val="21"/>
        </w:rPr>
        <w:t>behavior</w:t>
      </w:r>
      <w:proofErr w:type="spellEnd"/>
      <w:r w:rsidRPr="00BD500B">
        <w:rPr>
          <w:rFonts w:ascii="Arial" w:hAnsi="Arial" w:cs="Arial"/>
          <w:sz w:val="21"/>
          <w:szCs w:val="21"/>
        </w:rPr>
        <w:t xml:space="preserve"> intention,” Frontiers in Public Health, vol. 12, Art. no. 1415889, 2024, </w:t>
      </w:r>
    </w:p>
    <w:p w14:paraId="67147203" w14:textId="61715189"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[4]</w:t>
      </w:r>
      <w:r w:rsidRPr="00BD500B">
        <w:rPr>
          <w:rFonts w:ascii="Arial" w:hAnsi="Arial" w:cs="Arial"/>
          <w:sz w:val="21"/>
          <w:szCs w:val="21"/>
        </w:rPr>
        <w:tab/>
        <w:t>O. Saoula et al., “Building e-trust and e-retention in online shopping: The role of website design, reliability and perceived ease of use,” Spanish Journal of Marketing – ESIC, vol. 27, no. 2, pp. 178–201, 2023</w:t>
      </w:r>
      <w:r w:rsidR="00581294" w:rsidRPr="00BD500B">
        <w:rPr>
          <w:rFonts w:ascii="Arial" w:hAnsi="Arial" w:cs="Arial"/>
          <w:sz w:val="21"/>
          <w:szCs w:val="21"/>
        </w:rPr>
        <w:t>.</w:t>
      </w:r>
    </w:p>
    <w:p w14:paraId="1666D4AE" w14:textId="07263927"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[5]</w:t>
      </w:r>
      <w:r w:rsidRPr="00BD500B">
        <w:rPr>
          <w:rFonts w:ascii="Arial" w:hAnsi="Arial" w:cs="Arial"/>
          <w:sz w:val="21"/>
          <w:szCs w:val="21"/>
        </w:rPr>
        <w:tab/>
        <w:t>B. J. Fogg et al., “How do users evaluate the credibility of web sites? A study with over 2,500 participants,” in Proc. Conf. Designing for User Experiences (DUX ’03), San Francisco, CA, USA, 2003, pp. 1–15</w:t>
      </w:r>
      <w:r w:rsidR="00581294" w:rsidRPr="00BD500B">
        <w:rPr>
          <w:rFonts w:ascii="Arial" w:hAnsi="Arial" w:cs="Arial"/>
          <w:sz w:val="21"/>
          <w:szCs w:val="21"/>
        </w:rPr>
        <w:t>.</w:t>
      </w:r>
    </w:p>
    <w:p w14:paraId="01F9C6CB" w14:textId="77777777"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[6]</w:t>
      </w:r>
      <w:r w:rsidRPr="00BD500B">
        <w:rPr>
          <w:rFonts w:ascii="Arial" w:hAnsi="Arial" w:cs="Arial"/>
          <w:sz w:val="21"/>
          <w:szCs w:val="21"/>
        </w:rPr>
        <w:tab/>
        <w:t>World Wide Web Consortium (W3C), “Web Content Accessibility Guidelines (WCAG) 2.2,” W3C Recommendation, Oct. 5, 2023. [Online]. Available: https://www.w3.org/TR/WCAG22/</w:t>
      </w:r>
    </w:p>
    <w:p w14:paraId="664C1A55" w14:textId="097F34E3"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[7]</w:t>
      </w:r>
      <w:r w:rsidRPr="00BD500B">
        <w:rPr>
          <w:rFonts w:ascii="Arial" w:hAnsi="Arial" w:cs="Arial"/>
          <w:sz w:val="21"/>
          <w:szCs w:val="21"/>
        </w:rPr>
        <w:tab/>
        <w:t xml:space="preserve">A. E. Berset, M. C. Burkhardt, Y. Xu, A. Mescher, and W. B. Brinkman, “Effect of electronic outreach using patient portal messages on well </w:t>
      </w:r>
      <w:proofErr w:type="gramStart"/>
      <w:r w:rsidRPr="00BD500B">
        <w:rPr>
          <w:rFonts w:ascii="Arial" w:hAnsi="Arial" w:cs="Arial"/>
          <w:sz w:val="21"/>
          <w:szCs w:val="21"/>
        </w:rPr>
        <w:t>child care</w:t>
      </w:r>
      <w:proofErr w:type="gramEnd"/>
      <w:r w:rsidRPr="00BD500B">
        <w:rPr>
          <w:rFonts w:ascii="Arial" w:hAnsi="Arial" w:cs="Arial"/>
          <w:sz w:val="21"/>
          <w:szCs w:val="21"/>
        </w:rPr>
        <w:t xml:space="preserve"> visit completion: A randomized clinical trial,” JAMA Network Open, vol. 5, no. 11, Art. no. e2242853, 2022, </w:t>
      </w:r>
    </w:p>
    <w:p w14:paraId="109B1EC1" w14:textId="54154CB3"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[8]</w:t>
      </w:r>
      <w:r w:rsidRPr="00BD500B">
        <w:rPr>
          <w:rFonts w:ascii="Arial" w:hAnsi="Arial" w:cs="Arial"/>
          <w:sz w:val="21"/>
          <w:szCs w:val="21"/>
        </w:rPr>
        <w:tab/>
        <w:t>M. G. Antonio, O. Petrovskaya, and F. Lau, “The state of evidence in patient portals: Umbrella review,” Journal of Medical Internet Research, vol. 22, no. 11, Art. no. e23851, 2020</w:t>
      </w:r>
      <w:r w:rsidR="00E50C41" w:rsidRPr="00BD500B">
        <w:rPr>
          <w:rFonts w:ascii="Arial" w:hAnsi="Arial" w:cs="Arial"/>
          <w:sz w:val="21"/>
          <w:szCs w:val="21"/>
        </w:rPr>
        <w:t>.</w:t>
      </w:r>
    </w:p>
    <w:p w14:paraId="29F77D80" w14:textId="77777777"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[9]</w:t>
      </w:r>
      <w:r w:rsidRPr="00BD500B">
        <w:rPr>
          <w:rFonts w:ascii="Arial" w:hAnsi="Arial" w:cs="Arial"/>
          <w:sz w:val="21"/>
          <w:szCs w:val="21"/>
        </w:rPr>
        <w:tab/>
        <w:t>E. Marcotte, Responsive Web Design. New York, NY, USA: A Book Apart, 2011.</w:t>
      </w:r>
    </w:p>
    <w:p w14:paraId="1696517F" w14:textId="77777777"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[10]</w:t>
      </w:r>
      <w:r w:rsidRPr="00BD500B">
        <w:rPr>
          <w:rFonts w:ascii="Arial" w:hAnsi="Arial" w:cs="Arial"/>
          <w:sz w:val="21"/>
          <w:szCs w:val="21"/>
        </w:rPr>
        <w:tab/>
        <w:t>Ofcom, “Online Nation: 2022 report,” Ofcom, London, U.K., Jun. 2022. [Online]. Available: https://www.ofcom.org.uk</w:t>
      </w:r>
    </w:p>
    <w:p w14:paraId="1FC13F3E" w14:textId="517AD5B6"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[11]</w:t>
      </w:r>
      <w:r w:rsidRPr="00BD500B">
        <w:rPr>
          <w:rFonts w:ascii="Arial" w:hAnsi="Arial" w:cs="Arial"/>
          <w:sz w:val="21"/>
          <w:szCs w:val="21"/>
        </w:rPr>
        <w:tab/>
        <w:t>A. Parlakkiliç, “Evaluating the effects of responsive design on the usability of academic websites in the pandemic,” Education and Information Technologies, vol. 27, no. 1, pp. 1307–1322, 2022</w:t>
      </w:r>
      <w:r w:rsidR="00E50C41" w:rsidRPr="00BD500B">
        <w:rPr>
          <w:rFonts w:ascii="Arial" w:hAnsi="Arial" w:cs="Arial"/>
          <w:sz w:val="21"/>
          <w:szCs w:val="21"/>
        </w:rPr>
        <w:t>.</w:t>
      </w:r>
    </w:p>
    <w:p w14:paraId="53A3F9A6" w14:textId="028C779C"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[12]</w:t>
      </w:r>
      <w:r w:rsidRPr="00BD500B">
        <w:rPr>
          <w:rFonts w:ascii="Arial" w:hAnsi="Arial" w:cs="Arial"/>
          <w:sz w:val="21"/>
          <w:szCs w:val="21"/>
        </w:rPr>
        <w:tab/>
        <w:t>B. A. Kumar, “Mobile-first usability guideline for responsive e-commerce websites,” International Journal of Web Portals, vol. 14, no. 1, pp. 1–12, 2022</w:t>
      </w:r>
      <w:r w:rsidR="00E50C41" w:rsidRPr="00BD500B">
        <w:rPr>
          <w:rFonts w:ascii="Arial" w:hAnsi="Arial" w:cs="Arial"/>
          <w:sz w:val="21"/>
          <w:szCs w:val="21"/>
        </w:rPr>
        <w:t>.</w:t>
      </w:r>
    </w:p>
    <w:p w14:paraId="54AD441F" w14:textId="4E3642E5"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lastRenderedPageBreak/>
        <w:t>[13]</w:t>
      </w:r>
      <w:r w:rsidRPr="00BD500B">
        <w:rPr>
          <w:rFonts w:ascii="Arial" w:hAnsi="Arial" w:cs="Arial"/>
          <w:sz w:val="21"/>
          <w:szCs w:val="21"/>
        </w:rPr>
        <w:tab/>
        <w:t>R. L. Gonçalves et al., “Usability of telehealth systems for noncommunicable diseases in primary care from the COVID-19 pandemic onward: Systematic review,” Journal of Medical Internet Research, vol. 25, Art. no. e44209, 2023</w:t>
      </w:r>
      <w:r w:rsidR="00E50C41" w:rsidRPr="00BD500B">
        <w:rPr>
          <w:rFonts w:ascii="Arial" w:hAnsi="Arial" w:cs="Arial"/>
          <w:sz w:val="21"/>
          <w:szCs w:val="21"/>
        </w:rPr>
        <w:t>.</w:t>
      </w:r>
    </w:p>
    <w:p w14:paraId="161B4BE8" w14:textId="3053DC2D" w:rsidR="00135F41" w:rsidRPr="00BD500B" w:rsidRDefault="00FB0CAC" w:rsidP="00BD500B">
      <w:pPr>
        <w:tabs>
          <w:tab w:val="left" w:pos="560"/>
        </w:tabs>
        <w:spacing w:after="120" w:line="360" w:lineRule="auto"/>
        <w:ind w:left="560" w:hanging="560"/>
        <w:rPr>
          <w:rFonts w:ascii="Arial" w:hAnsi="Arial" w:cs="Arial"/>
        </w:rPr>
      </w:pPr>
      <w:r w:rsidRPr="00BD500B">
        <w:rPr>
          <w:rFonts w:ascii="Arial" w:hAnsi="Arial" w:cs="Arial"/>
          <w:sz w:val="21"/>
          <w:szCs w:val="21"/>
        </w:rPr>
        <w:t>[14]</w:t>
      </w:r>
      <w:r w:rsidRPr="00BD500B">
        <w:rPr>
          <w:rFonts w:ascii="Arial" w:hAnsi="Arial" w:cs="Arial"/>
          <w:sz w:val="21"/>
          <w:szCs w:val="21"/>
        </w:rPr>
        <w:tab/>
        <w:t xml:space="preserve">T. Cassidy, “The mood board process </w:t>
      </w:r>
      <w:proofErr w:type="spellStart"/>
      <w:r w:rsidRPr="00BD500B">
        <w:rPr>
          <w:rFonts w:ascii="Arial" w:hAnsi="Arial" w:cs="Arial"/>
          <w:sz w:val="21"/>
          <w:szCs w:val="21"/>
        </w:rPr>
        <w:t>modeled</w:t>
      </w:r>
      <w:proofErr w:type="spellEnd"/>
      <w:r w:rsidRPr="00BD500B">
        <w:rPr>
          <w:rFonts w:ascii="Arial" w:hAnsi="Arial" w:cs="Arial"/>
          <w:sz w:val="21"/>
          <w:szCs w:val="21"/>
        </w:rPr>
        <w:t xml:space="preserve"> and understood as a qualitative design research tool,” Fashion Practice, vol. 3, no. 2, pp. 225–251, 2011</w:t>
      </w:r>
      <w:r w:rsidR="00E50C41" w:rsidRPr="00BD500B">
        <w:rPr>
          <w:rFonts w:ascii="Arial" w:hAnsi="Arial" w:cs="Arial"/>
          <w:sz w:val="21"/>
          <w:szCs w:val="21"/>
        </w:rPr>
        <w:t>.</w:t>
      </w:r>
    </w:p>
    <w:sectPr w:rsidR="00135F41" w:rsidRPr="00BD500B">
      <w:headerReference w:type="default" r:id="rId21"/>
      <w:footerReference w:type="default" r:id="rId22"/>
      <w:footerReference w:type="first" r:id="rId23"/>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3E8643" w14:textId="77777777" w:rsidR="00E2391D" w:rsidRDefault="00E2391D">
      <w:r>
        <w:separator/>
      </w:r>
    </w:p>
  </w:endnote>
  <w:endnote w:type="continuationSeparator" w:id="0">
    <w:p w14:paraId="7EB6ED09" w14:textId="77777777" w:rsidR="00E2391D" w:rsidRDefault="00E239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89DAE" w14:textId="77777777" w:rsidR="00135F41" w:rsidRDefault="00FB0CAC">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581294">
      <w:rPr>
        <w:noProof/>
        <w:color w:val="888888"/>
        <w:sz w:val="18"/>
        <w:szCs w:val="18"/>
      </w:rPr>
      <w:t>2</w:t>
    </w:r>
    <w:r>
      <w:rPr>
        <w:color w:val="888888"/>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40B04E" w14:textId="77777777" w:rsidR="00135F41" w:rsidRDefault="00135F4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FF7DA" w14:textId="77777777" w:rsidR="00E2391D" w:rsidRDefault="00E2391D">
      <w:r>
        <w:separator/>
      </w:r>
    </w:p>
  </w:footnote>
  <w:footnote w:type="continuationSeparator" w:id="0">
    <w:p w14:paraId="0BB52ABE" w14:textId="77777777" w:rsidR="00E2391D" w:rsidRDefault="00E239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F97578" w14:textId="77777777" w:rsidR="00135F41" w:rsidRDefault="00FB0CAC">
    <w:pPr>
      <w:jc w:val="right"/>
    </w:pPr>
    <w:r>
      <w:rPr>
        <w:color w:val="888888"/>
        <w:sz w:val="18"/>
        <w:szCs w:val="18"/>
      </w:rPr>
      <w:t>WellCare Connect – Website Redesign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DE5583"/>
    <w:multiLevelType w:val="hybridMultilevel"/>
    <w:tmpl w:val="46769116"/>
    <w:lvl w:ilvl="0" w:tplc="612C55B0">
      <w:start w:val="1"/>
      <w:numFmt w:val="bullet"/>
      <w:lvlText w:val="●"/>
      <w:lvlJc w:val="left"/>
      <w:pPr>
        <w:ind w:left="720" w:hanging="360"/>
      </w:pPr>
    </w:lvl>
    <w:lvl w:ilvl="1" w:tplc="DB1EB3CA">
      <w:start w:val="1"/>
      <w:numFmt w:val="bullet"/>
      <w:lvlText w:val="○"/>
      <w:lvlJc w:val="left"/>
      <w:pPr>
        <w:ind w:left="1440" w:hanging="360"/>
      </w:pPr>
    </w:lvl>
    <w:lvl w:ilvl="2" w:tplc="C38A1BB2">
      <w:start w:val="1"/>
      <w:numFmt w:val="bullet"/>
      <w:lvlText w:val="■"/>
      <w:lvlJc w:val="left"/>
      <w:pPr>
        <w:ind w:left="2160" w:hanging="360"/>
      </w:pPr>
    </w:lvl>
    <w:lvl w:ilvl="3" w:tplc="DE40B650">
      <w:start w:val="1"/>
      <w:numFmt w:val="bullet"/>
      <w:lvlText w:val="●"/>
      <w:lvlJc w:val="left"/>
      <w:pPr>
        <w:ind w:left="2880" w:hanging="360"/>
      </w:pPr>
    </w:lvl>
    <w:lvl w:ilvl="4" w:tplc="C73CE49C">
      <w:start w:val="1"/>
      <w:numFmt w:val="bullet"/>
      <w:lvlText w:val="○"/>
      <w:lvlJc w:val="left"/>
      <w:pPr>
        <w:ind w:left="3600" w:hanging="360"/>
      </w:pPr>
    </w:lvl>
    <w:lvl w:ilvl="5" w:tplc="D2EAEA40">
      <w:start w:val="1"/>
      <w:numFmt w:val="bullet"/>
      <w:lvlText w:val="■"/>
      <w:lvlJc w:val="left"/>
      <w:pPr>
        <w:ind w:left="4320" w:hanging="360"/>
      </w:pPr>
    </w:lvl>
    <w:lvl w:ilvl="6" w:tplc="5C8609AC">
      <w:start w:val="1"/>
      <w:numFmt w:val="bullet"/>
      <w:lvlText w:val="●"/>
      <w:lvlJc w:val="left"/>
      <w:pPr>
        <w:ind w:left="5040" w:hanging="360"/>
      </w:pPr>
    </w:lvl>
    <w:lvl w:ilvl="7" w:tplc="85B04882">
      <w:start w:val="1"/>
      <w:numFmt w:val="bullet"/>
      <w:lvlText w:val="●"/>
      <w:lvlJc w:val="left"/>
      <w:pPr>
        <w:ind w:left="5760" w:hanging="360"/>
      </w:pPr>
    </w:lvl>
    <w:lvl w:ilvl="8" w:tplc="0310F872">
      <w:start w:val="1"/>
      <w:numFmt w:val="bullet"/>
      <w:lvlText w:val="●"/>
      <w:lvlJc w:val="left"/>
      <w:pPr>
        <w:ind w:left="6480" w:hanging="360"/>
      </w:pPr>
    </w:lvl>
  </w:abstractNum>
  <w:num w:numId="1" w16cid:durableId="199663905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5F41"/>
    <w:rsid w:val="000E79B5"/>
    <w:rsid w:val="00135F41"/>
    <w:rsid w:val="00414327"/>
    <w:rsid w:val="00581294"/>
    <w:rsid w:val="008A6EE9"/>
    <w:rsid w:val="009F29E8"/>
    <w:rsid w:val="00AC3D9E"/>
    <w:rsid w:val="00BD500B"/>
    <w:rsid w:val="00C22C9F"/>
    <w:rsid w:val="00E2391D"/>
    <w:rsid w:val="00E50C41"/>
    <w:rsid w:val="00FB0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AE3F9"/>
  <w15:docId w15:val="{C4DB30B7-0120-4513-A562-DD73A5919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3"/>
        <w:szCs w:val="23"/>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200"/>
      <w:outlineLvl w:val="0"/>
    </w:pPr>
    <w:rPr>
      <w:b/>
      <w:bCs/>
      <w:color w:val="0E7C86"/>
      <w:sz w:val="32"/>
      <w:szCs w:val="32"/>
    </w:rPr>
  </w:style>
  <w:style w:type="paragraph" w:styleId="Heading2">
    <w:name w:val="heading 2"/>
    <w:uiPriority w:val="9"/>
    <w:unhideWhenUsed/>
    <w:qFormat/>
    <w:pPr>
      <w:keepNext/>
      <w:spacing w:before="240" w:after="120"/>
      <w:outlineLvl w:val="1"/>
    </w:pPr>
    <w:rPr>
      <w:b/>
      <w:bCs/>
      <w:color w:val="1B2A49"/>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table" w:styleId="GridTable5Dark-Accent4">
    <w:name w:val="Grid Table 5 Dark Accent 4"/>
    <w:basedOn w:val="TableNormal"/>
    <w:uiPriority w:val="50"/>
    <w:rsid w:val="0058129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character" w:styleId="UnresolvedMention">
    <w:name w:val="Unresolved Mention"/>
    <w:basedOn w:val="DefaultParagraphFont"/>
    <w:uiPriority w:val="99"/>
    <w:semiHidden/>
    <w:unhideWhenUsed/>
    <w:rsid w:val="00581294"/>
    <w:rPr>
      <w:color w:val="605E5C"/>
      <w:shd w:val="clear" w:color="auto" w:fill="E1DFDD"/>
    </w:rPr>
  </w:style>
  <w:style w:type="paragraph" w:styleId="TOCHeading">
    <w:name w:val="TOC Heading"/>
    <w:basedOn w:val="Heading1"/>
    <w:next w:val="Normal"/>
    <w:uiPriority w:val="39"/>
    <w:unhideWhenUsed/>
    <w:qFormat/>
    <w:rsid w:val="00E50C41"/>
    <w:pPr>
      <w:keepNext/>
      <w:keepLines/>
      <w:spacing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E50C41"/>
    <w:pPr>
      <w:spacing w:after="100"/>
    </w:pPr>
  </w:style>
  <w:style w:type="paragraph" w:styleId="TOC2">
    <w:name w:val="toc 2"/>
    <w:basedOn w:val="Normal"/>
    <w:next w:val="Normal"/>
    <w:autoRedefine/>
    <w:uiPriority w:val="39"/>
    <w:unhideWhenUsed/>
    <w:rsid w:val="00E50C41"/>
    <w:pPr>
      <w:spacing w:after="100"/>
      <w:ind w:left="23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nngroup.com/articles/ten-usability-heur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5F431-27C9-46CF-8892-E0C81A197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2954</Words>
  <Characters>16839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Ionut Visan (2427859)</cp:lastModifiedBy>
  <cp:revision>2</cp:revision>
  <dcterms:created xsi:type="dcterms:W3CDTF">2026-10-22T14:30:00Z</dcterms:created>
  <dcterms:modified xsi:type="dcterms:W3CDTF">2026-10-22T14:30:00Z</dcterms:modified>
</cp:coreProperties>
</file>