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ED1049">
      <w:pPr>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ED1049">
      <w:pPr>
        <w:spacing w:line="360" w:lineRule="auto"/>
        <w:ind w:left="426"/>
        <w:rPr>
          <w:rFonts w:ascii="Arial" w:hAnsi="Arial" w:cs="Arial"/>
          <w:szCs w:val="24"/>
        </w:rPr>
      </w:pP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543861DF" w14:textId="77777777" w:rsidR="00ED1049" w:rsidRPr="00ED1049" w:rsidRDefault="00ED1049">
      <w:pPr>
        <w:rPr>
          <w:rFonts w:ascii="Arial" w:hAnsi="Arial" w:cs="Arial"/>
        </w:rPr>
      </w:pPr>
    </w:p>
    <w:p w14:paraId="1B9C9B98" w14:textId="77777777" w:rsidR="00C31D85" w:rsidRDefault="00C31D85" w:rsidP="00C31D85">
      <w:pPr>
        <w:jc w:val="center"/>
        <w:rPr>
          <w:rFonts w:ascii="Aptos" w:hAnsi="Aptos"/>
          <w:b/>
          <w:bCs/>
          <w:sz w:val="36"/>
          <w:szCs w:val="36"/>
        </w:rPr>
      </w:pPr>
    </w:p>
    <w:p w14:paraId="216E92B4" w14:textId="77777777" w:rsidR="00C31D85" w:rsidRDefault="00C31D85" w:rsidP="00C31D85">
      <w:pPr>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31D85">
      <w:pPr>
        <w:jc w:val="center"/>
        <w:rPr>
          <w:rFonts w:ascii="Aptos" w:hAnsi="Aptos"/>
          <w:b/>
          <w:bCs/>
          <w:sz w:val="36"/>
          <w:szCs w:val="36"/>
        </w:rPr>
      </w:pPr>
    </w:p>
    <w:p w14:paraId="630B5F3A" w14:textId="77777777" w:rsidR="00C31D85" w:rsidRDefault="00C31D85" w:rsidP="00C31D85">
      <w:pPr>
        <w:jc w:val="center"/>
        <w:rPr>
          <w:rFonts w:ascii="Aptos" w:hAnsi="Aptos"/>
          <w:b/>
          <w:bCs/>
          <w:sz w:val="36"/>
          <w:szCs w:val="36"/>
        </w:rPr>
      </w:pPr>
    </w:p>
    <w:p w14:paraId="3260C959" w14:textId="77777777" w:rsidR="00C31D85" w:rsidRDefault="00C31D85" w:rsidP="00C31D85">
      <w:pPr>
        <w:jc w:val="center"/>
        <w:rPr>
          <w:rFonts w:ascii="Aptos" w:hAnsi="Aptos"/>
          <w:b/>
          <w:bCs/>
          <w:sz w:val="36"/>
          <w:szCs w:val="36"/>
        </w:rPr>
      </w:pPr>
    </w:p>
    <w:p w14:paraId="461920A4" w14:textId="2BA9DD8B"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1E6D61">
        <w:rPr>
          <w:rFonts w:ascii="Aptos" w:hAnsi="Aptos" w:cs="Arial"/>
          <w:sz w:val="28"/>
          <w:szCs w:val="28"/>
          <w:lang w:val="nl-NL"/>
        </w:rPr>
        <w:t xml:space="preserve"> </w:t>
      </w:r>
      <w:r w:rsidR="006C622F">
        <w:rPr>
          <w:rFonts w:ascii="Aptos" w:hAnsi="Aptos" w:cs="Arial"/>
          <w:sz w:val="28"/>
          <w:szCs w:val="28"/>
          <w:lang w:val="nl-NL"/>
        </w:rPr>
        <w:t>Z</w:t>
      </w:r>
      <w:r w:rsidR="001E6D61">
        <w:rPr>
          <w:rFonts w:ascii="Aptos" w:hAnsi="Aptos" w:cs="Arial"/>
          <w:sz w:val="28"/>
          <w:szCs w:val="28"/>
          <w:lang w:val="nl-NL"/>
        </w:rPr>
        <w:t xml:space="preserve">obia </w:t>
      </w:r>
      <w:r w:rsidR="006C622F">
        <w:rPr>
          <w:rFonts w:ascii="Aptos" w:hAnsi="Aptos" w:cs="Arial"/>
          <w:sz w:val="28"/>
          <w:szCs w:val="28"/>
          <w:lang w:val="nl-NL"/>
        </w:rPr>
        <w:t>R</w:t>
      </w:r>
      <w:r w:rsidR="001E6D61">
        <w:rPr>
          <w:rFonts w:ascii="Aptos" w:hAnsi="Aptos" w:cs="Arial"/>
          <w:sz w:val="28"/>
          <w:szCs w:val="28"/>
          <w:lang w:val="nl-NL"/>
        </w:rPr>
        <w:t>iaz</w:t>
      </w:r>
    </w:p>
    <w:p w14:paraId="4D060E17" w14:textId="06431929"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1E6D61">
        <w:rPr>
          <w:rFonts w:ascii="Aptos" w:hAnsi="Aptos" w:cs="Arial"/>
          <w:sz w:val="28"/>
          <w:szCs w:val="28"/>
          <w:lang w:val="nl-NL"/>
        </w:rPr>
        <w:t xml:space="preserve"> 2226851</w:t>
      </w:r>
    </w:p>
    <w:p w14:paraId="7C577260" w14:textId="77777777" w:rsidR="00C31D85" w:rsidRPr="00C31D85" w:rsidRDefault="00C31D85" w:rsidP="00C31D85">
      <w:pPr>
        <w:tabs>
          <w:tab w:val="left" w:pos="6540"/>
        </w:tabs>
        <w:spacing w:line="360" w:lineRule="auto"/>
        <w:ind w:left="426"/>
        <w:rPr>
          <w:rFonts w:ascii="Aptos" w:hAnsi="Aptos" w:cs="Arial"/>
          <w:sz w:val="28"/>
          <w:szCs w:val="28"/>
          <w:lang w:val="nl-NL"/>
        </w:rPr>
      </w:pPr>
    </w:p>
    <w:p w14:paraId="41CBCDE7" w14:textId="6FA6024C" w:rsidR="00C31D85" w:rsidRPr="00C31D85" w:rsidRDefault="00C31D85" w:rsidP="00C31D85">
      <w:pPr>
        <w:tabs>
          <w:tab w:val="left" w:pos="6540"/>
        </w:tabs>
        <w:spacing w:line="360"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6C622F">
        <w:rPr>
          <w:rFonts w:ascii="Aptos" w:hAnsi="Aptos" w:cs="Arial"/>
          <w:sz w:val="28"/>
          <w:szCs w:val="28"/>
          <w:lang w:val="nl-NL"/>
        </w:rPr>
        <w:t>Indepentan</w:t>
      </w:r>
      <w:r w:rsidR="00191EDB">
        <w:rPr>
          <w:rFonts w:ascii="Aptos" w:hAnsi="Aptos" w:cs="Arial"/>
          <w:sz w:val="28"/>
          <w:szCs w:val="28"/>
          <w:lang w:val="nl-NL"/>
        </w:rPr>
        <w:t xml:space="preserve">t project - </w:t>
      </w:r>
      <w:r w:rsidR="000E0DE3" w:rsidRPr="000E0DE3">
        <w:rPr>
          <w:rFonts w:ascii="Aptos" w:hAnsi="Aptos" w:cs="Arial"/>
          <w:sz w:val="28"/>
          <w:szCs w:val="28"/>
          <w:lang w:val="nl-NL"/>
        </w:rPr>
        <w:t xml:space="preserve">METHODS POSTER </w:t>
      </w:r>
    </w:p>
    <w:p w14:paraId="42A6E8AA" w14:textId="6B53F738" w:rsidR="00C31D85" w:rsidRPr="00C31D85" w:rsidRDefault="00C31D85" w:rsidP="00C31D85">
      <w:pPr>
        <w:tabs>
          <w:tab w:val="left" w:pos="6540"/>
        </w:tabs>
        <w:spacing w:line="360" w:lineRule="auto"/>
        <w:ind w:left="426"/>
        <w:rPr>
          <w:rFonts w:ascii="Aptos" w:hAnsi="Aptos" w:cs="Arial"/>
          <w:sz w:val="28"/>
          <w:szCs w:val="28"/>
        </w:rPr>
      </w:pPr>
      <w:r w:rsidRPr="00C31D85">
        <w:rPr>
          <w:rFonts w:ascii="Aptos" w:hAnsi="Aptos" w:cs="Arial"/>
          <w:b/>
          <w:bCs/>
          <w:sz w:val="28"/>
          <w:szCs w:val="28"/>
        </w:rPr>
        <w:t>Module code</w:t>
      </w:r>
      <w:r w:rsidRPr="00C31D85">
        <w:rPr>
          <w:rFonts w:ascii="Aptos" w:hAnsi="Aptos" w:cs="Arial"/>
          <w:sz w:val="28"/>
          <w:szCs w:val="28"/>
        </w:rPr>
        <w:t>:</w:t>
      </w:r>
      <w:r w:rsidR="006C622F" w:rsidRPr="006C622F">
        <w:t xml:space="preserve"> </w:t>
      </w:r>
      <w:r w:rsidR="006C622F" w:rsidRPr="006C622F">
        <w:rPr>
          <w:rFonts w:ascii="Aptos" w:hAnsi="Aptos" w:cs="Arial"/>
          <w:sz w:val="28"/>
          <w:szCs w:val="28"/>
        </w:rPr>
        <w:t>BMHP6020</w:t>
      </w:r>
    </w:p>
    <w:p w14:paraId="41A4DC93" w14:textId="46512763" w:rsidR="00C31D85" w:rsidRPr="00C31D85" w:rsidRDefault="00CC0A8F" w:rsidP="00C31D85">
      <w:pPr>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4356C7">
        <w:trPr>
          <w:trHeight w:val="597"/>
        </w:trPr>
        <w:tc>
          <w:tcPr>
            <w:tcW w:w="14616" w:type="dxa"/>
            <w:gridSpan w:val="2"/>
            <w:shd w:val="clear" w:color="auto" w:fill="FFCCFF"/>
            <w:vAlign w:val="center"/>
          </w:tcPr>
          <w:p w14:paraId="080E7EB0" w14:textId="354858C3" w:rsidR="00802FF1" w:rsidRPr="004356C7" w:rsidRDefault="00D84E67" w:rsidP="004356C7">
            <w:pPr>
              <w:jc w:val="center"/>
              <w:rPr>
                <w:rFonts w:ascii="Aptos" w:hAnsi="Aptos"/>
                <w:b/>
                <w:bCs/>
                <w:color w:val="EC14BE"/>
                <w:sz w:val="28"/>
                <w:szCs w:val="28"/>
              </w:rPr>
            </w:pPr>
            <w:r w:rsidRPr="004356C7">
              <w:rPr>
                <w:rFonts w:ascii="Aptos" w:hAnsi="Aptos"/>
                <w:b/>
                <w:bCs/>
                <w:color w:val="EC14BE"/>
                <w:sz w:val="28"/>
                <w:szCs w:val="28"/>
              </w:rPr>
              <w:lastRenderedPageBreak/>
              <w:t>How does diabetes affect the quality of life in older adults receiving social care services?</w:t>
            </w:r>
          </w:p>
        </w:tc>
      </w:tr>
      <w:tr w:rsidR="00C31D85" w:rsidRPr="00C31D85" w14:paraId="51100EC3" w14:textId="77777777" w:rsidTr="001E1C6E">
        <w:trPr>
          <w:trHeight w:val="1856"/>
        </w:trPr>
        <w:tc>
          <w:tcPr>
            <w:tcW w:w="7225" w:type="dxa"/>
            <w:shd w:val="clear" w:color="auto" w:fill="00B0F0"/>
          </w:tcPr>
          <w:p w14:paraId="7D5ABB49" w14:textId="77777777" w:rsidR="00C31D85" w:rsidRPr="00502907" w:rsidRDefault="00C31D85" w:rsidP="00C46111">
            <w:pPr>
              <w:rPr>
                <w:rFonts w:ascii="Arial" w:hAnsi="Arial" w:cs="Arial"/>
                <w:b/>
                <w:bCs/>
                <w:color w:val="FFFF00"/>
                <w:sz w:val="24"/>
                <w:szCs w:val="24"/>
              </w:rPr>
            </w:pPr>
            <w:r w:rsidRPr="00502907">
              <w:rPr>
                <w:rFonts w:ascii="Arial" w:hAnsi="Arial" w:cs="Arial"/>
                <w:b/>
                <w:bCs/>
                <w:color w:val="FFFF00"/>
                <w:sz w:val="24"/>
                <w:szCs w:val="24"/>
              </w:rPr>
              <w:t>01</w:t>
            </w:r>
            <w:r w:rsidR="00890534" w:rsidRPr="00502907">
              <w:rPr>
                <w:rFonts w:ascii="Arial" w:hAnsi="Arial" w:cs="Arial"/>
                <w:color w:val="FFFF00"/>
                <w:sz w:val="24"/>
                <w:szCs w:val="24"/>
              </w:rPr>
              <w:t xml:space="preserve"> </w:t>
            </w:r>
            <w:r w:rsidR="00AB5409" w:rsidRPr="00502907">
              <w:rPr>
                <w:rFonts w:ascii="Arial" w:hAnsi="Arial" w:cs="Arial"/>
                <w:color w:val="FFFF00"/>
                <w:sz w:val="24"/>
                <w:szCs w:val="24"/>
              </w:rPr>
              <w:t xml:space="preserve"> </w:t>
            </w:r>
            <w:r w:rsidR="001A2DAB" w:rsidRPr="00502907">
              <w:rPr>
                <w:rFonts w:ascii="Arial" w:hAnsi="Arial" w:cs="Arial"/>
                <w:b/>
                <w:bCs/>
                <w:color w:val="FFFF00"/>
                <w:sz w:val="24"/>
                <w:szCs w:val="24"/>
              </w:rPr>
              <w:t xml:space="preserve">Introduction and </w:t>
            </w:r>
            <w:r w:rsidR="00AB5409" w:rsidRPr="00502907">
              <w:rPr>
                <w:rFonts w:ascii="Arial" w:hAnsi="Arial" w:cs="Arial"/>
                <w:b/>
                <w:bCs/>
                <w:color w:val="FFFF00"/>
                <w:sz w:val="24"/>
                <w:szCs w:val="24"/>
              </w:rPr>
              <w:t xml:space="preserve">Research </w:t>
            </w:r>
            <w:r w:rsidR="001A2DAB" w:rsidRPr="00502907">
              <w:rPr>
                <w:rFonts w:ascii="Arial" w:hAnsi="Arial" w:cs="Arial"/>
                <w:b/>
                <w:bCs/>
                <w:color w:val="FFFF00"/>
                <w:sz w:val="24"/>
                <w:szCs w:val="24"/>
              </w:rPr>
              <w:t xml:space="preserve">Aim </w:t>
            </w:r>
          </w:p>
          <w:p w14:paraId="4F873229" w14:textId="11209E3C" w:rsidR="000E56ED" w:rsidRPr="005F7D75" w:rsidRDefault="00FA10ED" w:rsidP="0015364A">
            <w:pPr>
              <w:spacing w:line="360" w:lineRule="auto"/>
              <w:jc w:val="both"/>
              <w:rPr>
                <w:rFonts w:ascii="Aptos" w:hAnsi="Aptos"/>
              </w:rPr>
            </w:pPr>
            <w:r w:rsidRPr="00502907">
              <w:rPr>
                <w:rFonts w:ascii="Arial" w:hAnsi="Arial" w:cs="Arial"/>
                <w:sz w:val="20"/>
                <w:szCs w:val="20"/>
              </w:rPr>
              <w:t>This methods chapter explains the literature-based approach used to explore how diabetes affects the quality of life in older adults receiving social care. Using systematic searches, Boolean operators, and thematic analysis, relevant evidence was identified and coded (Braun and Clarke, 2006; Booth, Sutton and Papaioannou, 2016). The research aim is to assess physical, psychological, and social impacts, supporting practice, policy, and education improvements (NICE, 2023; Public Health England, 2018).</w:t>
            </w:r>
          </w:p>
        </w:tc>
        <w:tc>
          <w:tcPr>
            <w:tcW w:w="7391" w:type="dxa"/>
            <w:shd w:val="clear" w:color="auto" w:fill="EE0000"/>
          </w:tcPr>
          <w:p w14:paraId="512F9F0B" w14:textId="77777777" w:rsidR="00C31D85" w:rsidRPr="00502907" w:rsidRDefault="00C31D85" w:rsidP="00C46111">
            <w:pPr>
              <w:rPr>
                <w:rFonts w:ascii="Arial" w:hAnsi="Arial" w:cs="Arial"/>
                <w:color w:val="FFC000"/>
                <w:sz w:val="24"/>
                <w:szCs w:val="24"/>
              </w:rPr>
            </w:pPr>
            <w:r w:rsidRPr="00502907">
              <w:rPr>
                <w:rFonts w:ascii="Arial" w:hAnsi="Arial" w:cs="Arial"/>
                <w:b/>
                <w:bCs/>
                <w:color w:val="FFC000"/>
                <w:sz w:val="24"/>
                <w:szCs w:val="24"/>
              </w:rPr>
              <w:t>02</w:t>
            </w:r>
            <w:r w:rsidR="00AB5409" w:rsidRPr="00502907">
              <w:rPr>
                <w:rFonts w:ascii="Arial" w:hAnsi="Arial" w:cs="Arial"/>
                <w:b/>
                <w:bCs/>
                <w:color w:val="FFC000"/>
                <w:sz w:val="24"/>
                <w:szCs w:val="24"/>
              </w:rPr>
              <w:t xml:space="preserve"> Search Strategy</w:t>
            </w:r>
            <w:r w:rsidR="00AB5409" w:rsidRPr="00502907">
              <w:rPr>
                <w:rFonts w:ascii="Arial" w:hAnsi="Arial" w:cs="Arial"/>
                <w:color w:val="FFC000"/>
                <w:sz w:val="24"/>
                <w:szCs w:val="24"/>
              </w:rPr>
              <w:t xml:space="preserve"> </w:t>
            </w:r>
          </w:p>
          <w:p w14:paraId="109C23A4" w14:textId="1CD6A428" w:rsidR="0029329C" w:rsidRPr="0035481C" w:rsidRDefault="000C2E01" w:rsidP="005F7D75">
            <w:pPr>
              <w:spacing w:line="360" w:lineRule="auto"/>
              <w:jc w:val="both"/>
              <w:rPr>
                <w:rFonts w:ascii="Arial" w:hAnsi="Arial" w:cs="Arial"/>
                <w:sz w:val="20"/>
                <w:szCs w:val="20"/>
                <w:lang w:val="en-GB"/>
              </w:rPr>
            </w:pPr>
            <w:r w:rsidRPr="00502907">
              <w:rPr>
                <w:rFonts w:ascii="Arial" w:hAnsi="Arial" w:cs="Arial"/>
                <w:sz w:val="20"/>
                <w:szCs w:val="20"/>
                <w:lang w:val="en-GB"/>
              </w:rPr>
              <w:t>A search strategy is a planned, systematic approach combining keywords, subject headings, Boolean operators and filters to retrieve relevant literature (Leeds University Library, 2025). I used this strategy to search databases (e.g. PubMed, CINAHL, UWTSD Library), refining terms like “diabetes AND older adults AND social care,” applying date and UK filters, and iteratively adjusting until key sources were captured reliably.</w:t>
            </w:r>
          </w:p>
        </w:tc>
      </w:tr>
      <w:tr w:rsidR="00C31D85" w:rsidRPr="00C31D85" w14:paraId="56FBFF17" w14:textId="77777777" w:rsidTr="00516520">
        <w:trPr>
          <w:trHeight w:val="1856"/>
        </w:trPr>
        <w:tc>
          <w:tcPr>
            <w:tcW w:w="7225" w:type="dxa"/>
            <w:shd w:val="clear" w:color="auto" w:fill="6CC22C"/>
          </w:tcPr>
          <w:p w14:paraId="3611ED69" w14:textId="68F95739" w:rsidR="0029329C" w:rsidRPr="00502907" w:rsidRDefault="00C31D85" w:rsidP="00F00F24">
            <w:pPr>
              <w:rPr>
                <w:rFonts w:ascii="Aptos" w:hAnsi="Aptos"/>
                <w:color w:val="EE0000"/>
                <w:sz w:val="24"/>
                <w:szCs w:val="24"/>
              </w:rPr>
            </w:pPr>
            <w:r w:rsidRPr="00502907">
              <w:rPr>
                <w:rFonts w:ascii="Aptos" w:hAnsi="Aptos"/>
                <w:b/>
                <w:bCs/>
                <w:color w:val="EE0000"/>
                <w:sz w:val="24"/>
                <w:szCs w:val="24"/>
              </w:rPr>
              <w:t>03</w:t>
            </w:r>
            <w:r w:rsidR="00AB5409" w:rsidRPr="00502907">
              <w:rPr>
                <w:rFonts w:ascii="Aptos" w:hAnsi="Aptos"/>
                <w:color w:val="EE0000"/>
                <w:sz w:val="24"/>
                <w:szCs w:val="24"/>
              </w:rPr>
              <w:t xml:space="preserve"> </w:t>
            </w:r>
            <w:r w:rsidR="00AB5409" w:rsidRPr="00502907">
              <w:rPr>
                <w:rFonts w:ascii="Aptos" w:hAnsi="Aptos"/>
                <w:b/>
                <w:bCs/>
                <w:color w:val="EE0000"/>
                <w:sz w:val="24"/>
                <w:szCs w:val="24"/>
              </w:rPr>
              <w:t>Searching for Information</w:t>
            </w:r>
            <w:r w:rsidR="00AB5409" w:rsidRPr="00502907">
              <w:rPr>
                <w:rFonts w:ascii="Aptos" w:hAnsi="Aptos"/>
                <w:color w:val="EE0000"/>
                <w:sz w:val="24"/>
                <w:szCs w:val="24"/>
              </w:rPr>
              <w:t xml:space="preserve"> </w:t>
            </w:r>
          </w:p>
          <w:p w14:paraId="54E41379" w14:textId="6127EE65" w:rsidR="0029329C" w:rsidRPr="00502907" w:rsidRDefault="00F00F24" w:rsidP="005F7D75">
            <w:pPr>
              <w:spacing w:line="360" w:lineRule="auto"/>
              <w:jc w:val="both"/>
              <w:rPr>
                <w:rFonts w:ascii="Arial" w:hAnsi="Arial" w:cs="Arial"/>
                <w:lang w:val="en-GB"/>
              </w:rPr>
            </w:pPr>
            <w:r w:rsidRPr="00502907">
              <w:rPr>
                <w:rFonts w:ascii="Arial" w:hAnsi="Arial" w:cs="Arial"/>
                <w:lang w:val="en-GB"/>
              </w:rPr>
              <w:t>In this section, the search strategy is explained, outlining how systematic steps were taken to identify relevant literature on diabetes and quality of life in older adults. Using Boolean operators, filters, and academic databases, only high-quality sources were selected. A search strategy is defined as a structured plan to locate evidence (Booth, Sutton and Papaioannou, 2016; Aveyard, 2019).</w:t>
            </w:r>
          </w:p>
          <w:p w14:paraId="701333EA" w14:textId="3ACB8979" w:rsidR="0029329C" w:rsidRPr="005F7D75" w:rsidRDefault="005F7D75" w:rsidP="00F52F83">
            <w:pPr>
              <w:spacing w:line="360" w:lineRule="auto"/>
              <w:jc w:val="both"/>
              <w:rPr>
                <w:rFonts w:ascii="Aptos" w:hAnsi="Aptos"/>
                <w:lang w:val="en-GB"/>
              </w:rPr>
            </w:pPr>
            <w:r w:rsidRPr="005F7D75">
              <w:rPr>
                <w:rFonts w:ascii="Aptos" w:hAnsi="Aptos"/>
                <w:lang w:val="en-GB"/>
              </w:rPr>
              <w:t xml:space="preserve"> </w:t>
            </w:r>
          </w:p>
        </w:tc>
        <w:tc>
          <w:tcPr>
            <w:tcW w:w="7391" w:type="dxa"/>
            <w:shd w:val="clear" w:color="auto" w:fill="FFC000"/>
          </w:tcPr>
          <w:p w14:paraId="54995ADA" w14:textId="77777777" w:rsidR="00C31D85" w:rsidRPr="0035481C" w:rsidRDefault="00C31D85" w:rsidP="00C46111">
            <w:pPr>
              <w:rPr>
                <w:rFonts w:ascii="Aptos" w:hAnsi="Aptos"/>
                <w:color w:val="00B050"/>
              </w:rPr>
            </w:pPr>
            <w:r w:rsidRPr="0035481C">
              <w:rPr>
                <w:rFonts w:ascii="Aptos" w:hAnsi="Aptos"/>
                <w:b/>
                <w:bCs/>
                <w:color w:val="00B050"/>
              </w:rPr>
              <w:t>04</w:t>
            </w:r>
            <w:r w:rsidR="00AB5409" w:rsidRPr="0035481C">
              <w:rPr>
                <w:rFonts w:ascii="Aptos" w:hAnsi="Aptos"/>
                <w:color w:val="00B050"/>
              </w:rPr>
              <w:t xml:space="preserve"> </w:t>
            </w:r>
            <w:r w:rsidR="00AB5409" w:rsidRPr="0035481C">
              <w:rPr>
                <w:rFonts w:ascii="Aptos" w:hAnsi="Aptos"/>
                <w:b/>
                <w:bCs/>
                <w:color w:val="00B050"/>
              </w:rPr>
              <w:t>Picture / Graph / Visual Aid / Statistics</w:t>
            </w:r>
            <w:r w:rsidR="00AB5409" w:rsidRPr="0035481C">
              <w:rPr>
                <w:rFonts w:ascii="Aptos" w:hAnsi="Aptos"/>
                <w:color w:val="00B050"/>
              </w:rPr>
              <w:t xml:space="preserve"> </w:t>
            </w:r>
          </w:p>
          <w:p w14:paraId="01BA9B5F" w14:textId="0B32F627" w:rsidR="0035481C" w:rsidRPr="0035481C" w:rsidRDefault="0035481C" w:rsidP="00C46111">
            <w:pPr>
              <w:rPr>
                <w:rFonts w:ascii="Aptos" w:hAnsi="Aptos"/>
                <w:sz w:val="20"/>
                <w:szCs w:val="20"/>
              </w:rPr>
            </w:pPr>
            <w:r w:rsidRPr="0035481C">
              <w:rPr>
                <w:rFonts w:ascii="Aptos" w:hAnsi="Aptos"/>
                <w:sz w:val="20"/>
                <w:szCs w:val="20"/>
              </w:rPr>
              <w:t>This graph shows how diabetes affects key areas of quality of life in older adults receiving social care in the UK. Physical health and daily functioning are most impacted due to complications and frailty. Over 4 million people in the UK live with diabetes, mainly those aged 65+, and they are more likely to experience depression and require support services. Diabetes also accounts for around 10% of NHS spending (Diabetes UK, 2023; NHS England, 2022; Public Health England, 2020).</w:t>
            </w:r>
          </w:p>
          <w:p w14:paraId="2BBB997C" w14:textId="4FA75995" w:rsidR="005F7D75" w:rsidRPr="0035481C" w:rsidRDefault="00C51DE4" w:rsidP="005F7D75">
            <w:pPr>
              <w:spacing w:line="360" w:lineRule="auto"/>
              <w:jc w:val="both"/>
              <w:rPr>
                <w:rFonts w:ascii="Aptos" w:hAnsi="Aptos"/>
              </w:rPr>
            </w:pPr>
            <w:r w:rsidRPr="0035481C">
              <w:rPr>
                <w:rFonts w:ascii="Aptos" w:hAnsi="Aptos"/>
                <w:noProof/>
              </w:rPr>
              <w:drawing>
                <wp:inline distT="0" distB="0" distL="0" distR="0" wp14:anchorId="6224799A" wp14:editId="15387857">
                  <wp:extent cx="2914650" cy="1473858"/>
                  <wp:effectExtent l="0" t="0" r="0" b="0"/>
                  <wp:docPr id="15660537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6053784" name=""/>
                          <pic:cNvPicPr/>
                        </pic:nvPicPr>
                        <pic:blipFill>
                          <a:blip r:embed="rId14"/>
                          <a:stretch>
                            <a:fillRect/>
                          </a:stretch>
                        </pic:blipFill>
                        <pic:spPr>
                          <a:xfrm>
                            <a:off x="0" y="0"/>
                            <a:ext cx="2970826" cy="1502264"/>
                          </a:xfrm>
                          <a:prstGeom prst="rect">
                            <a:avLst/>
                          </a:prstGeom>
                        </pic:spPr>
                      </pic:pic>
                    </a:graphicData>
                  </a:graphic>
                </wp:inline>
              </w:drawing>
            </w:r>
          </w:p>
        </w:tc>
      </w:tr>
      <w:tr w:rsidR="00C31D85" w:rsidRPr="00C31D85" w14:paraId="71279A0E" w14:textId="77777777" w:rsidTr="00516520">
        <w:trPr>
          <w:trHeight w:val="983"/>
        </w:trPr>
        <w:tc>
          <w:tcPr>
            <w:tcW w:w="14616" w:type="dxa"/>
            <w:gridSpan w:val="2"/>
            <w:shd w:val="clear" w:color="auto" w:fill="EC14BE"/>
          </w:tcPr>
          <w:p w14:paraId="559B5E23" w14:textId="7D811DE8" w:rsidR="00C31D85" w:rsidRPr="00502907" w:rsidRDefault="00C31D85" w:rsidP="00BC1AA6">
            <w:pPr>
              <w:jc w:val="center"/>
              <w:rPr>
                <w:rFonts w:ascii="Aptos" w:hAnsi="Aptos"/>
                <w:b/>
                <w:bCs/>
                <w:color w:val="FFC000"/>
                <w:sz w:val="24"/>
                <w:szCs w:val="24"/>
              </w:rPr>
            </w:pPr>
            <w:r w:rsidRPr="00502907">
              <w:rPr>
                <w:rFonts w:ascii="Aptos" w:hAnsi="Aptos"/>
                <w:b/>
                <w:bCs/>
                <w:color w:val="FFC000"/>
                <w:sz w:val="24"/>
                <w:szCs w:val="24"/>
              </w:rPr>
              <w:t>05</w:t>
            </w:r>
            <w:r w:rsidR="00AB5409" w:rsidRPr="00502907">
              <w:rPr>
                <w:rFonts w:ascii="Aptos" w:hAnsi="Aptos"/>
                <w:color w:val="FFC000"/>
                <w:sz w:val="24"/>
                <w:szCs w:val="24"/>
              </w:rPr>
              <w:t xml:space="preserve"> </w:t>
            </w:r>
            <w:r w:rsidR="00AB5409" w:rsidRPr="00502907">
              <w:rPr>
                <w:rFonts w:ascii="Aptos" w:hAnsi="Aptos"/>
                <w:b/>
                <w:bCs/>
                <w:color w:val="FFC000"/>
                <w:sz w:val="24"/>
                <w:szCs w:val="24"/>
              </w:rPr>
              <w:t>Research Validation and Analysis</w:t>
            </w:r>
          </w:p>
          <w:p w14:paraId="7AE5C6B5" w14:textId="381E122F" w:rsidR="00A463C6" w:rsidRPr="00502907" w:rsidRDefault="00516CC0" w:rsidP="00A463C6">
            <w:pPr>
              <w:spacing w:line="360" w:lineRule="auto"/>
              <w:jc w:val="both"/>
              <w:rPr>
                <w:rFonts w:ascii="Aptos" w:hAnsi="Aptos"/>
                <w:b/>
                <w:bCs/>
                <w:color w:val="FFFFFF" w:themeColor="background1"/>
                <w:sz w:val="18"/>
                <w:szCs w:val="18"/>
                <w:lang w:val="en-GB"/>
              </w:rPr>
            </w:pPr>
            <w:r w:rsidRPr="00516520">
              <w:rPr>
                <w:rFonts w:ascii="Aptos" w:hAnsi="Aptos"/>
                <w:color w:val="FFFFFF" w:themeColor="background1"/>
                <w:sz w:val="18"/>
                <w:szCs w:val="18"/>
                <w:lang w:val="en-GB"/>
              </w:rPr>
              <w:t xml:space="preserve"> </w:t>
            </w:r>
            <w:r w:rsidR="00A463C6" w:rsidRPr="00516520">
              <w:rPr>
                <w:rFonts w:ascii="Aptos" w:hAnsi="Aptos"/>
                <w:b/>
                <w:bCs/>
                <w:color w:val="FFFFFF" w:themeColor="background1"/>
                <w:sz w:val="18"/>
                <w:szCs w:val="18"/>
                <w:lang w:val="en-GB"/>
              </w:rPr>
              <w:t>Validation in Secondary Research</w:t>
            </w:r>
            <w:r w:rsidR="00502907">
              <w:rPr>
                <w:rFonts w:ascii="Aptos" w:hAnsi="Aptos"/>
                <w:b/>
                <w:bCs/>
                <w:color w:val="FFFFFF" w:themeColor="background1"/>
                <w:sz w:val="18"/>
                <w:szCs w:val="18"/>
                <w:lang w:val="en-GB"/>
              </w:rPr>
              <w:t xml:space="preserve"> - </w:t>
            </w:r>
            <w:r w:rsidR="00A463C6" w:rsidRPr="00502907">
              <w:rPr>
                <w:rFonts w:ascii="Aptos" w:hAnsi="Aptos"/>
                <w:color w:val="FFFFFF" w:themeColor="background1"/>
                <w:sz w:val="20"/>
                <w:szCs w:val="20"/>
                <w:lang w:val="en-GB"/>
              </w:rPr>
              <w:t>Validation refers to the process of ensuring sources are credible, accurate, and reliable (Aveyard, 2019). In this study, the CRAAP test (Currency, Relevance, Authority, Accuracy, Purpose) was applied to evaluate literature quality (Blakeslee, 2004). While this enhances reliability and academic integrity, a limitation is the potential exclusion of older, yet still valuable, research.</w:t>
            </w:r>
          </w:p>
          <w:p w14:paraId="7454B819" w14:textId="3859F086" w:rsidR="00330E06" w:rsidRPr="00502907" w:rsidRDefault="00A463C6" w:rsidP="00BC1AA6">
            <w:pPr>
              <w:spacing w:line="360" w:lineRule="auto"/>
              <w:jc w:val="both"/>
              <w:rPr>
                <w:rFonts w:ascii="Aptos" w:hAnsi="Aptos"/>
                <w:b/>
                <w:bCs/>
                <w:color w:val="FFFFFF" w:themeColor="background1"/>
                <w:sz w:val="20"/>
                <w:szCs w:val="20"/>
                <w:lang w:val="en-GB"/>
              </w:rPr>
            </w:pPr>
            <w:r w:rsidRPr="00502907">
              <w:rPr>
                <w:rFonts w:ascii="Aptos" w:hAnsi="Aptos"/>
                <w:b/>
                <w:bCs/>
                <w:color w:val="FFFFFF" w:themeColor="background1"/>
                <w:sz w:val="20"/>
                <w:szCs w:val="20"/>
                <w:lang w:val="en-GB"/>
              </w:rPr>
              <w:lastRenderedPageBreak/>
              <w:t>Secondary Research Analysis</w:t>
            </w:r>
            <w:r w:rsidR="00502907">
              <w:rPr>
                <w:rFonts w:ascii="Aptos" w:hAnsi="Aptos"/>
                <w:b/>
                <w:bCs/>
                <w:color w:val="FFFFFF" w:themeColor="background1"/>
                <w:sz w:val="20"/>
                <w:szCs w:val="20"/>
                <w:lang w:val="en-GB"/>
              </w:rPr>
              <w:t xml:space="preserve"> -</w:t>
            </w:r>
            <w:r w:rsidRPr="00502907">
              <w:rPr>
                <w:rFonts w:ascii="Aptos" w:hAnsi="Aptos"/>
                <w:color w:val="FFFFFF" w:themeColor="background1"/>
                <w:sz w:val="20"/>
                <w:szCs w:val="20"/>
                <w:lang w:val="en-GB"/>
              </w:rPr>
              <w:t>Secondary research analysis involves systematically reviewing existing studies to identify patterns and gaps (Booth, Sutton and Papaioannou, 2016). Thematic analysis was used to code recurring concepts and group them into broader themes, which underpin Chapter 4 findings. This approach ensures coherence and links directly to the research aim.</w:t>
            </w:r>
          </w:p>
        </w:tc>
      </w:tr>
      <w:tr w:rsidR="00AB5409" w:rsidRPr="00C31D85" w14:paraId="1159AF67" w14:textId="77777777" w:rsidTr="00516520">
        <w:trPr>
          <w:trHeight w:val="1856"/>
        </w:trPr>
        <w:tc>
          <w:tcPr>
            <w:tcW w:w="7225" w:type="dxa"/>
            <w:shd w:val="clear" w:color="auto" w:fill="FFFF00"/>
          </w:tcPr>
          <w:p w14:paraId="398EE9B0" w14:textId="77777777" w:rsidR="00AB5409" w:rsidRPr="00502907" w:rsidRDefault="00AB5409" w:rsidP="00C46111">
            <w:pPr>
              <w:rPr>
                <w:rFonts w:ascii="Aptos" w:hAnsi="Aptos"/>
                <w:color w:val="92D050"/>
                <w:sz w:val="24"/>
                <w:szCs w:val="24"/>
              </w:rPr>
            </w:pPr>
            <w:r w:rsidRPr="00502907">
              <w:rPr>
                <w:rFonts w:ascii="Aptos" w:hAnsi="Aptos"/>
                <w:b/>
                <w:bCs/>
                <w:color w:val="92D050"/>
                <w:sz w:val="24"/>
                <w:szCs w:val="24"/>
              </w:rPr>
              <w:lastRenderedPageBreak/>
              <w:t>06</w:t>
            </w:r>
            <w:r w:rsidRPr="00502907">
              <w:rPr>
                <w:rFonts w:ascii="Aptos" w:hAnsi="Aptos"/>
                <w:color w:val="92D050"/>
                <w:sz w:val="24"/>
                <w:szCs w:val="24"/>
              </w:rPr>
              <w:t xml:space="preserve"> </w:t>
            </w:r>
            <w:r w:rsidRPr="00502907">
              <w:rPr>
                <w:rFonts w:ascii="Aptos" w:hAnsi="Aptos"/>
                <w:b/>
                <w:bCs/>
                <w:color w:val="92D050"/>
                <w:sz w:val="24"/>
                <w:szCs w:val="24"/>
              </w:rPr>
              <w:t>Inclusion Criteria</w:t>
            </w:r>
            <w:r w:rsidRPr="00502907">
              <w:rPr>
                <w:rFonts w:ascii="Aptos" w:hAnsi="Aptos"/>
                <w:color w:val="92D050"/>
                <w:sz w:val="24"/>
                <w:szCs w:val="24"/>
              </w:rPr>
              <w:t xml:space="preserve"> </w:t>
            </w:r>
          </w:p>
          <w:p w14:paraId="503D6323" w14:textId="1DB27251" w:rsidR="00C613AD" w:rsidRPr="00C613AD" w:rsidRDefault="00C613AD" w:rsidP="00C613AD">
            <w:pPr>
              <w:spacing w:line="360" w:lineRule="auto"/>
              <w:contextualSpacing/>
              <w:jc w:val="both"/>
              <w:rPr>
                <w:rFonts w:ascii="Aptos" w:hAnsi="Aptos"/>
                <w:sz w:val="18"/>
                <w:szCs w:val="18"/>
              </w:rPr>
            </w:pPr>
            <w:r w:rsidRPr="00C613AD">
              <w:rPr>
                <w:rFonts w:ascii="Aptos" w:hAnsi="Aptos"/>
                <w:sz w:val="18"/>
                <w:szCs w:val="18"/>
              </w:rPr>
              <w:t>Peer-reviewed journal articles published within the last 10 years</w:t>
            </w:r>
            <w:r w:rsidR="00202A3A">
              <w:rPr>
                <w:rFonts w:ascii="Aptos" w:hAnsi="Aptos"/>
                <w:sz w:val="18"/>
                <w:szCs w:val="18"/>
              </w:rPr>
              <w:t>. Studies</w:t>
            </w:r>
            <w:r w:rsidRPr="00C613AD">
              <w:rPr>
                <w:rFonts w:ascii="Aptos" w:hAnsi="Aptos"/>
                <w:sz w:val="18"/>
                <w:szCs w:val="18"/>
              </w:rPr>
              <w:t xml:space="preserve"> conducted in the UK</w:t>
            </w:r>
            <w:r>
              <w:rPr>
                <w:rFonts w:ascii="Aptos" w:hAnsi="Aptos"/>
                <w:sz w:val="18"/>
                <w:szCs w:val="18"/>
              </w:rPr>
              <w:t xml:space="preserve"> </w:t>
            </w:r>
            <w:r w:rsidRPr="00C613AD">
              <w:rPr>
                <w:rFonts w:ascii="Aptos" w:hAnsi="Aptos"/>
                <w:sz w:val="18"/>
                <w:szCs w:val="18"/>
              </w:rPr>
              <w:t>Sources focused on older adults with diabetes receiving social care</w:t>
            </w:r>
            <w:r>
              <w:rPr>
                <w:rFonts w:ascii="Aptos" w:hAnsi="Aptos"/>
                <w:sz w:val="18"/>
                <w:szCs w:val="18"/>
              </w:rPr>
              <w:t xml:space="preserve"> </w:t>
            </w:r>
            <w:r w:rsidRPr="00C613AD">
              <w:rPr>
                <w:rFonts w:ascii="Aptos" w:hAnsi="Aptos"/>
                <w:sz w:val="18"/>
                <w:szCs w:val="18"/>
              </w:rPr>
              <w:t>Articles fully accessible online for verification and transparency</w:t>
            </w:r>
          </w:p>
          <w:p w14:paraId="00628477" w14:textId="5206EFCE" w:rsidR="00516CC0" w:rsidRPr="00C31D85" w:rsidRDefault="00C613AD" w:rsidP="00C613AD">
            <w:pPr>
              <w:spacing w:line="360" w:lineRule="auto"/>
              <w:contextualSpacing/>
              <w:jc w:val="both"/>
              <w:rPr>
                <w:rFonts w:ascii="Aptos" w:hAnsi="Aptos"/>
              </w:rPr>
            </w:pPr>
            <w:r w:rsidRPr="00C613AD">
              <w:rPr>
                <w:rFonts w:ascii="Aptos" w:hAnsi="Aptos"/>
                <w:sz w:val="18"/>
                <w:szCs w:val="18"/>
              </w:rPr>
              <w:t>These criteria ensured the research remained current, relevant, and focused on the target population (Aveyard, 2019; Booth, Sutton and Papaioannou, 2016).</w:t>
            </w:r>
          </w:p>
        </w:tc>
        <w:tc>
          <w:tcPr>
            <w:tcW w:w="7391" w:type="dxa"/>
            <w:shd w:val="clear" w:color="auto" w:fill="99CCFF"/>
          </w:tcPr>
          <w:p w14:paraId="51867809" w14:textId="77777777" w:rsidR="00AB5409" w:rsidRPr="00502907" w:rsidRDefault="00AB5409" w:rsidP="00C46111">
            <w:pPr>
              <w:rPr>
                <w:rFonts w:ascii="Aptos" w:hAnsi="Aptos"/>
                <w:color w:val="EE0000"/>
                <w:sz w:val="24"/>
                <w:szCs w:val="24"/>
              </w:rPr>
            </w:pPr>
            <w:r w:rsidRPr="00502907">
              <w:rPr>
                <w:rFonts w:ascii="Aptos" w:hAnsi="Aptos"/>
                <w:b/>
                <w:bCs/>
                <w:color w:val="EE0000"/>
                <w:sz w:val="24"/>
                <w:szCs w:val="24"/>
              </w:rPr>
              <w:t>07</w:t>
            </w:r>
            <w:r w:rsidRPr="00502907">
              <w:rPr>
                <w:rFonts w:ascii="Aptos" w:hAnsi="Aptos"/>
                <w:color w:val="EE0000"/>
                <w:sz w:val="24"/>
                <w:szCs w:val="24"/>
              </w:rPr>
              <w:t xml:space="preserve"> </w:t>
            </w:r>
            <w:r w:rsidRPr="00502907">
              <w:rPr>
                <w:rFonts w:ascii="Aptos" w:hAnsi="Aptos"/>
                <w:b/>
                <w:bCs/>
                <w:color w:val="EE0000"/>
                <w:sz w:val="24"/>
                <w:szCs w:val="24"/>
              </w:rPr>
              <w:t>Exclusion Criteria</w:t>
            </w:r>
            <w:r w:rsidRPr="00502907">
              <w:rPr>
                <w:rFonts w:ascii="Aptos" w:hAnsi="Aptos"/>
                <w:color w:val="EE0000"/>
                <w:sz w:val="24"/>
                <w:szCs w:val="24"/>
              </w:rPr>
              <w:t xml:space="preserve"> </w:t>
            </w:r>
          </w:p>
          <w:p w14:paraId="253F8839" w14:textId="78C7B5C4" w:rsidR="00516CC0" w:rsidRPr="00DF2F81" w:rsidRDefault="00202A3A" w:rsidP="00202A3A">
            <w:pPr>
              <w:spacing w:line="360" w:lineRule="auto"/>
              <w:contextualSpacing/>
              <w:jc w:val="both"/>
              <w:rPr>
                <w:rFonts w:ascii="Aptos" w:hAnsi="Aptos"/>
                <w:sz w:val="18"/>
                <w:szCs w:val="18"/>
              </w:rPr>
            </w:pPr>
            <w:r w:rsidRPr="00DF2F81">
              <w:rPr>
                <w:rFonts w:ascii="Aptos" w:hAnsi="Aptos"/>
                <w:sz w:val="18"/>
                <w:szCs w:val="18"/>
              </w:rPr>
              <w:t>Sources published over 10 years ago</w:t>
            </w:r>
            <w:r w:rsidR="00DF2F81" w:rsidRPr="00DF2F81">
              <w:rPr>
                <w:rFonts w:ascii="Aptos" w:hAnsi="Aptos"/>
                <w:sz w:val="18"/>
                <w:szCs w:val="18"/>
              </w:rPr>
              <w:t xml:space="preserve">. </w:t>
            </w:r>
            <w:r w:rsidRPr="00DF2F81">
              <w:rPr>
                <w:rFonts w:ascii="Aptos" w:hAnsi="Aptos"/>
                <w:sz w:val="18"/>
                <w:szCs w:val="18"/>
              </w:rPr>
              <w:t>Studies conducted outside the UK</w:t>
            </w:r>
            <w:r w:rsidR="00DF2F81" w:rsidRPr="00DF2F81">
              <w:rPr>
                <w:rFonts w:ascii="Aptos" w:hAnsi="Aptos"/>
                <w:sz w:val="18"/>
                <w:szCs w:val="18"/>
              </w:rPr>
              <w:t xml:space="preserve">. </w:t>
            </w:r>
            <w:r w:rsidRPr="00DF2F81">
              <w:rPr>
                <w:rFonts w:ascii="Aptos" w:hAnsi="Aptos"/>
                <w:sz w:val="18"/>
                <w:szCs w:val="18"/>
              </w:rPr>
              <w:t>Articles not fully accessible online</w:t>
            </w:r>
            <w:r w:rsidR="00DF2F81" w:rsidRPr="00DF2F81">
              <w:rPr>
                <w:rFonts w:ascii="Aptos" w:hAnsi="Aptos"/>
                <w:sz w:val="18"/>
                <w:szCs w:val="18"/>
              </w:rPr>
              <w:t xml:space="preserve">. </w:t>
            </w:r>
            <w:r w:rsidRPr="00DF2F81">
              <w:rPr>
                <w:rFonts w:ascii="Aptos" w:hAnsi="Aptos"/>
                <w:sz w:val="18"/>
                <w:szCs w:val="18"/>
              </w:rPr>
              <w:t>Opinion pieces, blogs, or non-peer-reviewed sources</w:t>
            </w:r>
            <w:r w:rsidR="00DF2F81" w:rsidRPr="00DF2F81">
              <w:rPr>
                <w:rFonts w:ascii="Aptos" w:hAnsi="Aptos"/>
                <w:sz w:val="18"/>
                <w:szCs w:val="18"/>
              </w:rPr>
              <w:t xml:space="preserve">. </w:t>
            </w:r>
            <w:r w:rsidRPr="00DF2F81">
              <w:rPr>
                <w:rFonts w:ascii="Aptos" w:hAnsi="Aptos"/>
                <w:sz w:val="18"/>
                <w:szCs w:val="18"/>
              </w:rPr>
              <w:t>These criteria helped maintain relevance, credibility, and focus on the target population for this research (Aveyard, 2019; Booth, Sutton and Papaioannou, 2016).</w:t>
            </w:r>
          </w:p>
        </w:tc>
      </w:tr>
      <w:tr w:rsidR="00C31D85" w:rsidRPr="00C31D85" w14:paraId="583C9C87" w14:textId="77777777" w:rsidTr="00F52F83">
        <w:trPr>
          <w:trHeight w:val="1798"/>
        </w:trPr>
        <w:tc>
          <w:tcPr>
            <w:tcW w:w="14616" w:type="dxa"/>
            <w:gridSpan w:val="2"/>
          </w:tcPr>
          <w:p w14:paraId="28D04039" w14:textId="2A81FCEC" w:rsidR="00F52F83" w:rsidRPr="00B9151B" w:rsidRDefault="00502907" w:rsidP="00EE7E36">
            <w:pPr>
              <w:jc w:val="center"/>
              <w:rPr>
                <w:rFonts w:ascii="Aptos" w:hAnsi="Aptos"/>
                <w:b/>
                <w:bCs/>
                <w:color w:val="3366FF"/>
              </w:rPr>
            </w:pPr>
            <w:r w:rsidRPr="00F52F83">
              <w:rPr>
                <w:rFonts w:ascii="Aptos" w:hAnsi="Aptos"/>
                <w:noProof/>
              </w:rPr>
              <w:drawing>
                <wp:anchor distT="0" distB="0" distL="114300" distR="114300" simplePos="0" relativeHeight="251661312" behindDoc="1" locked="0" layoutInCell="1" allowOverlap="1" wp14:anchorId="208D47B1" wp14:editId="6F91DBF8">
                  <wp:simplePos x="0" y="0"/>
                  <wp:positionH relativeFrom="column">
                    <wp:posOffset>42545</wp:posOffset>
                  </wp:positionH>
                  <wp:positionV relativeFrom="paragraph">
                    <wp:posOffset>257175</wp:posOffset>
                  </wp:positionV>
                  <wp:extent cx="8913495" cy="4200525"/>
                  <wp:effectExtent l="19050" t="0" r="20955" b="9525"/>
                  <wp:wrapTight wrapText="bothSides">
                    <wp:wrapPolygon edited="0">
                      <wp:start x="17635" y="294"/>
                      <wp:lineTo x="-46" y="784"/>
                      <wp:lineTo x="-46" y="20767"/>
                      <wp:lineTo x="13157" y="21159"/>
                      <wp:lineTo x="16019" y="21551"/>
                      <wp:lineTo x="17681" y="21551"/>
                      <wp:lineTo x="21605" y="21551"/>
                      <wp:lineTo x="21605" y="294"/>
                      <wp:lineTo x="17635" y="294"/>
                    </wp:wrapPolygon>
                  </wp:wrapTight>
                  <wp:docPr id="623136086" name="Diagram 1">
                    <a:extLst xmlns:a="http://schemas.openxmlformats.org/drawingml/2006/main">
                      <a:ext uri="{FF2B5EF4-FFF2-40B4-BE49-F238E27FC236}">
                        <a16:creationId xmlns:a16="http://schemas.microsoft.com/office/drawing/2014/main" id="{B484D78E-E6A4-3161-5AD7-28F81C814DA5}"/>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14:sizeRelH relativeFrom="margin">
                    <wp14:pctWidth>0</wp14:pctWidth>
                  </wp14:sizeRelH>
                  <wp14:sizeRelV relativeFrom="margin">
                    <wp14:pctHeight>0</wp14:pctHeight>
                  </wp14:sizeRelV>
                </wp:anchor>
              </w:drawing>
            </w:r>
            <w:r w:rsidRPr="00502907">
              <w:rPr>
                <w:rFonts w:ascii="Aptos" w:hAnsi="Aptos"/>
                <w:b/>
                <w:bCs/>
                <w:color w:val="3366FF"/>
              </w:rPr>
              <w:t>08 Ethical Considerations</w:t>
            </w:r>
          </w:p>
        </w:tc>
      </w:tr>
    </w:tbl>
    <w:p w14:paraId="53F82A21" w14:textId="77777777" w:rsidR="00C31D85" w:rsidRDefault="00C31D85" w:rsidP="00C46111">
      <w:pPr>
        <w:sectPr w:rsidR="00C31D85" w:rsidSect="00C31D85">
          <w:pgSz w:w="15840" w:h="12240" w:orient="landscape" w:code="1"/>
          <w:pgMar w:top="720" w:right="720" w:bottom="576" w:left="720" w:header="432" w:footer="288" w:gutter="0"/>
          <w:cols w:space="720"/>
          <w:titlePg/>
          <w:docGrid w:linePitch="360"/>
        </w:sectPr>
      </w:pPr>
    </w:p>
    <w:p w14:paraId="489BBCE1" w14:textId="366BC4C7" w:rsidR="00ED1049" w:rsidRDefault="00ED1049" w:rsidP="00C31D85">
      <w:pPr>
        <w:rPr>
          <w:rFonts w:ascii="Arial" w:hAnsi="Arial" w:cs="Arial"/>
          <w:b/>
          <w:bCs/>
          <w:sz w:val="28"/>
          <w:szCs w:val="28"/>
        </w:rPr>
      </w:pPr>
      <w:r w:rsidRPr="00ED1049">
        <w:rPr>
          <w:rFonts w:ascii="Arial" w:hAnsi="Arial" w:cs="Arial"/>
          <w:b/>
          <w:bCs/>
          <w:sz w:val="28"/>
          <w:szCs w:val="28"/>
        </w:rPr>
        <w:lastRenderedPageBreak/>
        <w:t>References</w:t>
      </w:r>
      <w:r w:rsidR="00AF645D">
        <w:rPr>
          <w:rFonts w:ascii="Arial" w:hAnsi="Arial" w:cs="Arial"/>
          <w:b/>
          <w:bCs/>
          <w:sz w:val="28"/>
          <w:szCs w:val="28"/>
        </w:rPr>
        <w:t xml:space="preserve"> (5 refs)</w:t>
      </w:r>
    </w:p>
    <w:p w14:paraId="0600DB93" w14:textId="68DCE526" w:rsidR="00FE7F55" w:rsidRPr="007E03AC" w:rsidRDefault="00FE7F55" w:rsidP="00FE7F55">
      <w:pPr>
        <w:rPr>
          <w:rFonts w:ascii="Arial" w:hAnsi="Arial" w:cs="Arial"/>
        </w:rPr>
      </w:pPr>
      <w:r w:rsidRPr="007E03AC">
        <w:rPr>
          <w:rFonts w:ascii="Arial" w:hAnsi="Arial" w:cs="Arial"/>
        </w:rPr>
        <w:t xml:space="preserve">Aveyard, H. (2019) Doing a literature review in health and social care: a practical guide. 4th </w:t>
      </w:r>
      <w:proofErr w:type="spellStart"/>
      <w:r w:rsidRPr="007E03AC">
        <w:rPr>
          <w:rFonts w:ascii="Arial" w:hAnsi="Arial" w:cs="Arial"/>
        </w:rPr>
        <w:t>edn</w:t>
      </w:r>
      <w:proofErr w:type="spellEnd"/>
      <w:r w:rsidRPr="007E03AC">
        <w:rPr>
          <w:rFonts w:ascii="Arial" w:hAnsi="Arial" w:cs="Arial"/>
        </w:rPr>
        <w:t>. Maidenhead: Open University Press.</w:t>
      </w:r>
    </w:p>
    <w:p w14:paraId="59E02423" w14:textId="6B5FDF60" w:rsidR="00FE7F55" w:rsidRPr="007E03AC" w:rsidRDefault="00FE7F55" w:rsidP="00FE7F55">
      <w:pPr>
        <w:rPr>
          <w:rFonts w:ascii="Arial" w:hAnsi="Arial" w:cs="Arial"/>
        </w:rPr>
      </w:pPr>
      <w:r w:rsidRPr="007E03AC">
        <w:rPr>
          <w:rFonts w:ascii="Arial" w:hAnsi="Arial" w:cs="Arial"/>
        </w:rPr>
        <w:t>Blakeslee, S. (2004) ‘The CRAAP Test’, LOEX Quarterly, 31(3), pp. 6–7.</w:t>
      </w:r>
    </w:p>
    <w:p w14:paraId="535E936F" w14:textId="01FD3E21" w:rsidR="00FE7F55" w:rsidRPr="007E03AC" w:rsidRDefault="00FE7F55" w:rsidP="00C31D85">
      <w:pPr>
        <w:rPr>
          <w:rFonts w:ascii="Arial" w:hAnsi="Arial" w:cs="Arial"/>
        </w:rPr>
      </w:pPr>
      <w:r w:rsidRPr="007E03AC">
        <w:rPr>
          <w:rFonts w:ascii="Arial" w:hAnsi="Arial" w:cs="Arial"/>
        </w:rPr>
        <w:t xml:space="preserve">Booth, A., Sutton, A. and Papaioannou, D. (2016) Systematic approaches to a successful literature review. 2nd </w:t>
      </w:r>
      <w:proofErr w:type="spellStart"/>
      <w:r w:rsidRPr="007E03AC">
        <w:rPr>
          <w:rFonts w:ascii="Arial" w:hAnsi="Arial" w:cs="Arial"/>
        </w:rPr>
        <w:t>edn</w:t>
      </w:r>
      <w:proofErr w:type="spellEnd"/>
      <w:r w:rsidRPr="007E03AC">
        <w:rPr>
          <w:rFonts w:ascii="Arial" w:hAnsi="Arial" w:cs="Arial"/>
        </w:rPr>
        <w:t>. London: SAGE.</w:t>
      </w:r>
    </w:p>
    <w:p w14:paraId="2D9BBB42" w14:textId="4A371C08" w:rsidR="00305C62" w:rsidRPr="007E03AC" w:rsidRDefault="00305C62" w:rsidP="00305C62">
      <w:pPr>
        <w:rPr>
          <w:rFonts w:ascii="Arial" w:hAnsi="Arial" w:cs="Arial"/>
        </w:rPr>
      </w:pPr>
      <w:r w:rsidRPr="007E03AC">
        <w:rPr>
          <w:rFonts w:ascii="Arial" w:hAnsi="Arial" w:cs="Arial"/>
        </w:rPr>
        <w:t xml:space="preserve">Aveyard, H. (2019) Doing a literature review in health and social care: a practical guide. 4th </w:t>
      </w:r>
      <w:proofErr w:type="spellStart"/>
      <w:r w:rsidRPr="007E03AC">
        <w:rPr>
          <w:rFonts w:ascii="Arial" w:hAnsi="Arial" w:cs="Arial"/>
        </w:rPr>
        <w:t>edn</w:t>
      </w:r>
      <w:proofErr w:type="spellEnd"/>
      <w:r w:rsidRPr="007E03AC">
        <w:rPr>
          <w:rFonts w:ascii="Arial" w:hAnsi="Arial" w:cs="Arial"/>
        </w:rPr>
        <w:t>. Maidenhead: Open University Press.</w:t>
      </w:r>
    </w:p>
    <w:p w14:paraId="48A445AA" w14:textId="4A6B8C12" w:rsidR="00305C62" w:rsidRPr="007E03AC" w:rsidRDefault="00305C62" w:rsidP="00305C62">
      <w:r w:rsidRPr="007E03AC">
        <w:rPr>
          <w:rFonts w:ascii="Arial" w:hAnsi="Arial" w:cs="Arial"/>
        </w:rPr>
        <w:t xml:space="preserve">Booth, A., Sutton, A. and Papaioannou, D. (2016) Systematic approaches to a successful literature review. 2nd </w:t>
      </w:r>
      <w:proofErr w:type="spellStart"/>
      <w:r w:rsidRPr="007E03AC">
        <w:rPr>
          <w:rFonts w:ascii="Arial" w:hAnsi="Arial" w:cs="Arial"/>
        </w:rPr>
        <w:t>edn</w:t>
      </w:r>
      <w:proofErr w:type="spellEnd"/>
      <w:r w:rsidRPr="007E03AC">
        <w:rPr>
          <w:rFonts w:ascii="Arial" w:hAnsi="Arial" w:cs="Arial"/>
        </w:rPr>
        <w:t>. London: SAGE.</w:t>
      </w:r>
    </w:p>
    <w:p w14:paraId="6275B215" w14:textId="386FBBE4" w:rsidR="00305C62" w:rsidRPr="007E03AC" w:rsidRDefault="00305C62" w:rsidP="00305C62">
      <w:pPr>
        <w:rPr>
          <w:rFonts w:ascii="Arial" w:hAnsi="Arial" w:cs="Arial"/>
        </w:rPr>
      </w:pPr>
      <w:r w:rsidRPr="007E03AC">
        <w:rPr>
          <w:rFonts w:ascii="Arial" w:hAnsi="Arial" w:cs="Arial"/>
        </w:rPr>
        <w:t xml:space="preserve">Aveyard, H. (2019) Doing a literature review in health and social care: a practical guide. 4th </w:t>
      </w:r>
      <w:proofErr w:type="spellStart"/>
      <w:r w:rsidRPr="007E03AC">
        <w:rPr>
          <w:rFonts w:ascii="Arial" w:hAnsi="Arial" w:cs="Arial"/>
        </w:rPr>
        <w:t>edn</w:t>
      </w:r>
      <w:proofErr w:type="spellEnd"/>
      <w:r w:rsidRPr="007E03AC">
        <w:rPr>
          <w:rFonts w:ascii="Arial" w:hAnsi="Arial" w:cs="Arial"/>
        </w:rPr>
        <w:t>. Maidenhead: Open University Press.</w:t>
      </w:r>
    </w:p>
    <w:p w14:paraId="364E780A" w14:textId="583DACD7" w:rsidR="00EB6F36" w:rsidRPr="007E03AC" w:rsidRDefault="00305C62" w:rsidP="00305C62">
      <w:pPr>
        <w:rPr>
          <w:rFonts w:ascii="Arial" w:hAnsi="Arial" w:cs="Arial"/>
        </w:rPr>
      </w:pPr>
      <w:r w:rsidRPr="007E03AC">
        <w:rPr>
          <w:rFonts w:ascii="Arial" w:hAnsi="Arial" w:cs="Arial"/>
        </w:rPr>
        <w:t xml:space="preserve">Booth, A., Sutton, A. and Papaioannou, D. (2016) Systematic approaches to a successful literature review. 2nd </w:t>
      </w:r>
      <w:proofErr w:type="spellStart"/>
      <w:r w:rsidRPr="007E03AC">
        <w:rPr>
          <w:rFonts w:ascii="Arial" w:hAnsi="Arial" w:cs="Arial"/>
        </w:rPr>
        <w:t>edn</w:t>
      </w:r>
      <w:proofErr w:type="spellEnd"/>
      <w:r w:rsidRPr="007E03AC">
        <w:rPr>
          <w:rFonts w:ascii="Arial" w:hAnsi="Arial" w:cs="Arial"/>
        </w:rPr>
        <w:t>. London: SAGE.</w:t>
      </w:r>
      <w:r w:rsidR="00EB6F36" w:rsidRPr="007E03AC">
        <w:rPr>
          <w:rFonts w:ascii="Arial" w:hAnsi="Arial" w:cs="Arial"/>
        </w:rPr>
        <w:t xml:space="preserve">    </w:t>
      </w:r>
    </w:p>
    <w:p w14:paraId="4E5A649D" w14:textId="2096E1FC" w:rsidR="0058350D" w:rsidRPr="007E03AC" w:rsidRDefault="0058350D" w:rsidP="0058350D">
      <w:pPr>
        <w:rPr>
          <w:rFonts w:ascii="Arial" w:hAnsi="Arial" w:cs="Arial"/>
        </w:rPr>
      </w:pPr>
      <w:r w:rsidRPr="007E03AC">
        <w:rPr>
          <w:rFonts w:ascii="Arial" w:hAnsi="Arial" w:cs="Arial"/>
        </w:rPr>
        <w:t xml:space="preserve">Aveyard, H. (2019) Doing a literature review in health and social care: a practical guide. 4th </w:t>
      </w:r>
      <w:proofErr w:type="spellStart"/>
      <w:r w:rsidRPr="007E03AC">
        <w:rPr>
          <w:rFonts w:ascii="Arial" w:hAnsi="Arial" w:cs="Arial"/>
        </w:rPr>
        <w:t>edn</w:t>
      </w:r>
      <w:proofErr w:type="spellEnd"/>
      <w:r w:rsidRPr="007E03AC">
        <w:rPr>
          <w:rFonts w:ascii="Arial" w:hAnsi="Arial" w:cs="Arial"/>
        </w:rPr>
        <w:t>. Maidenhead: Open University Press.</w:t>
      </w:r>
    </w:p>
    <w:p w14:paraId="787444DC" w14:textId="7CD2C535" w:rsidR="00EB6F36" w:rsidRPr="007E03AC" w:rsidRDefault="0058350D" w:rsidP="0058350D">
      <w:pPr>
        <w:rPr>
          <w:rFonts w:ascii="Arial" w:hAnsi="Arial" w:cs="Arial"/>
        </w:rPr>
      </w:pPr>
      <w:r w:rsidRPr="007E03AC">
        <w:rPr>
          <w:rFonts w:ascii="Arial" w:hAnsi="Arial" w:cs="Arial"/>
        </w:rPr>
        <w:t xml:space="preserve">Pears, R. and Shields, G. (2019) Cite them right: the essential referencing guide. 11th </w:t>
      </w:r>
      <w:proofErr w:type="spellStart"/>
      <w:r w:rsidRPr="007E03AC">
        <w:rPr>
          <w:rFonts w:ascii="Arial" w:hAnsi="Arial" w:cs="Arial"/>
        </w:rPr>
        <w:t>edn</w:t>
      </w:r>
      <w:proofErr w:type="spellEnd"/>
      <w:r w:rsidRPr="007E03AC">
        <w:rPr>
          <w:rFonts w:ascii="Arial" w:hAnsi="Arial" w:cs="Arial"/>
        </w:rPr>
        <w:t>. London: Red Globe Press.</w:t>
      </w:r>
    </w:p>
    <w:p w14:paraId="233C2005" w14:textId="7A325DAF" w:rsidR="00FA4608" w:rsidRPr="007E03AC" w:rsidRDefault="00846694" w:rsidP="00FA4608">
      <w:pPr>
        <w:rPr>
          <w:noProof/>
        </w:rPr>
      </w:pPr>
      <w:r w:rsidRPr="007E03AC">
        <w:rPr>
          <w:noProof/>
        </w:rPr>
        <w:t xml:space="preserve"> </w:t>
      </w:r>
      <w:r w:rsidR="00FA4608" w:rsidRPr="007E03AC">
        <w:rPr>
          <w:noProof/>
        </w:rPr>
        <w:t>British Sociological Association (BSA) (2018) Statement of ethical practice. London: BSA.</w:t>
      </w:r>
    </w:p>
    <w:p w14:paraId="725FE163" w14:textId="13B3525F" w:rsidR="00EB6F36" w:rsidRPr="007E03AC" w:rsidRDefault="00FA4608" w:rsidP="00FA4608">
      <w:pPr>
        <w:rPr>
          <w:noProof/>
        </w:rPr>
      </w:pPr>
      <w:r w:rsidRPr="007E03AC">
        <w:rPr>
          <w:noProof/>
        </w:rPr>
        <w:t>NHS Health Research Authority (2020) Consent and participant information guidance. Available at: https://www.hra.nhs.uk [Accessed 6 Oct. 2025].</w:t>
      </w:r>
    </w:p>
    <w:p w14:paraId="6403EE10" w14:textId="4D426E0F" w:rsidR="0088245C" w:rsidRPr="007E03AC" w:rsidRDefault="0088245C" w:rsidP="0088245C">
      <w:pPr>
        <w:rPr>
          <w:noProof/>
        </w:rPr>
      </w:pPr>
      <w:r w:rsidRPr="007E03AC">
        <w:rPr>
          <w:noProof/>
        </w:rPr>
        <w:t>British Sociological Association (BSA) (2018) Statement of ethical practice. London: BSA.</w:t>
      </w:r>
    </w:p>
    <w:p w14:paraId="1117C621" w14:textId="10707797" w:rsidR="005F7D75" w:rsidRPr="007E03AC" w:rsidRDefault="0088245C" w:rsidP="00C46111">
      <w:pPr>
        <w:rPr>
          <w:noProof/>
        </w:rPr>
      </w:pPr>
      <w:r w:rsidRPr="007E03AC">
        <w:rPr>
          <w:noProof/>
        </w:rPr>
        <w:t xml:space="preserve">Information Commissioner’s Office (ICO) (2021) Guide to the General Data Protection Regulation (GDPR). Available at: </w:t>
      </w:r>
      <w:hyperlink r:id="rId20" w:history="1">
        <w:r w:rsidR="00FE7F55" w:rsidRPr="007E03AC">
          <w:rPr>
            <w:rStyle w:val="Hyperlink"/>
            <w:noProof/>
          </w:rPr>
          <w:t>https://ico.org.uk/for-organisations/guide-to-data-protection</w:t>
        </w:r>
      </w:hyperlink>
      <w:r w:rsidR="00FE7F55" w:rsidRPr="007E03AC">
        <w:rPr>
          <w:noProof/>
        </w:rPr>
        <w:t xml:space="preserve"> </w:t>
      </w:r>
      <w:r w:rsidRPr="007E03AC">
        <w:rPr>
          <w:noProof/>
        </w:rPr>
        <w:t xml:space="preserve"> [Accessed </w:t>
      </w:r>
      <w:r w:rsidR="00D72FC3">
        <w:rPr>
          <w:noProof/>
        </w:rPr>
        <w:t>9</w:t>
      </w:r>
      <w:r w:rsidRPr="007E03AC">
        <w:rPr>
          <w:noProof/>
        </w:rPr>
        <w:t xml:space="preserve"> Oct. 2025].</w:t>
      </w:r>
    </w:p>
    <w:p w14:paraId="0EF6F856" w14:textId="36105170" w:rsidR="00A67845" w:rsidRPr="007E03AC" w:rsidRDefault="00A67845" w:rsidP="00A67845">
      <w:pPr>
        <w:rPr>
          <w:noProof/>
        </w:rPr>
      </w:pPr>
      <w:r w:rsidRPr="007E03AC">
        <w:rPr>
          <w:noProof/>
        </w:rPr>
        <w:t>Aveyard, H. (2019) Doing a literature review in health and social care: a practical guide. 4th edn. Maidenhead: Open University Press.</w:t>
      </w:r>
    </w:p>
    <w:p w14:paraId="403780EA" w14:textId="33A1C379" w:rsidR="005F7D75" w:rsidRPr="007E03AC" w:rsidRDefault="00A67845" w:rsidP="00A67845">
      <w:pPr>
        <w:rPr>
          <w:noProof/>
        </w:rPr>
      </w:pPr>
      <w:r w:rsidRPr="007E03AC">
        <w:rPr>
          <w:noProof/>
        </w:rPr>
        <w:t>Booth, A., Sutton, A. and Papaioannou, D. (2016) Systematic approaches to a successful literature review. 2nd edn. London: SAGE.</w:t>
      </w:r>
    </w:p>
    <w:p w14:paraId="22AA3333" w14:textId="517273E4" w:rsidR="00A67845" w:rsidRPr="007E03AC" w:rsidRDefault="00A67845" w:rsidP="00A67845">
      <w:pPr>
        <w:rPr>
          <w:noProof/>
        </w:rPr>
      </w:pPr>
      <w:r w:rsidRPr="007E03AC">
        <w:rPr>
          <w:noProof/>
        </w:rPr>
        <w:t>British Sociological Association (BSA) (2018) Statement of ethical practice. London: BSA.</w:t>
      </w:r>
    </w:p>
    <w:p w14:paraId="579172ED" w14:textId="6EA3A0A5" w:rsidR="005F7D75" w:rsidRPr="007E03AC" w:rsidRDefault="00A67845" w:rsidP="00C46111">
      <w:pPr>
        <w:rPr>
          <w:noProof/>
        </w:rPr>
      </w:pPr>
      <w:r w:rsidRPr="007E03AC">
        <w:rPr>
          <w:noProof/>
        </w:rPr>
        <w:t xml:space="preserve">NHS Health Research Authority (2020) Confidentiality and data protection. Available at: https://www.hra.nhs.uk [Accessed </w:t>
      </w:r>
      <w:r w:rsidR="00D72FC3">
        <w:rPr>
          <w:noProof/>
        </w:rPr>
        <w:t>8</w:t>
      </w:r>
      <w:r w:rsidRPr="007E03AC">
        <w:rPr>
          <w:noProof/>
        </w:rPr>
        <w:t xml:space="preserve"> Oct. 2025].</w:t>
      </w:r>
    </w:p>
    <w:p w14:paraId="2F75F0FA" w14:textId="33B7FADA" w:rsidR="006125F5" w:rsidRPr="007E03AC" w:rsidRDefault="006125F5" w:rsidP="006125F5">
      <w:pPr>
        <w:rPr>
          <w:noProof/>
        </w:rPr>
      </w:pPr>
      <w:r w:rsidRPr="007E03AC">
        <w:rPr>
          <w:noProof/>
        </w:rPr>
        <w:t>Aveyard, H. (2019) Doing a literature review in health and social care: a practical guide. 4th edn. Maidenhead: Open University Press.</w:t>
      </w:r>
    </w:p>
    <w:p w14:paraId="5567FAFF" w14:textId="605A6531" w:rsidR="006125F5" w:rsidRPr="007E03AC" w:rsidRDefault="006125F5" w:rsidP="006125F5">
      <w:pPr>
        <w:rPr>
          <w:noProof/>
        </w:rPr>
      </w:pPr>
      <w:r w:rsidRPr="007E03AC">
        <w:rPr>
          <w:noProof/>
        </w:rPr>
        <w:t>Blakeslee, S. (2004) ‘The CRAAP Test’, LOEX Quarterly, 31(3), pp. 6–7.</w:t>
      </w:r>
    </w:p>
    <w:p w14:paraId="59F89357" w14:textId="1114DA29" w:rsidR="005F7D75" w:rsidRPr="007E03AC" w:rsidRDefault="006125F5" w:rsidP="006125F5">
      <w:pPr>
        <w:rPr>
          <w:noProof/>
        </w:rPr>
      </w:pPr>
      <w:r w:rsidRPr="007E03AC">
        <w:rPr>
          <w:noProof/>
        </w:rPr>
        <w:t>Booth, A., Sutton, A. and Papaioannou, D. (2016) Systematic approaches to a successful literature review. 2nd edn. London: SAGE.</w:t>
      </w:r>
    </w:p>
    <w:p w14:paraId="2D979AD5" w14:textId="77777777" w:rsidR="00441EC9" w:rsidRPr="007E03AC" w:rsidRDefault="00441EC9" w:rsidP="00441EC9">
      <w:pPr>
        <w:rPr>
          <w:noProof/>
        </w:rPr>
      </w:pPr>
      <w:r w:rsidRPr="007E03AC">
        <w:rPr>
          <w:noProof/>
        </w:rPr>
        <w:lastRenderedPageBreak/>
        <w:t>Leeds University Library (2025) Develop a search strategy. Leeds University Library. Available at: https://library.leeds.ac.uk/info/1404/literature_searching/14/literature_searching_explained/4</w:t>
      </w:r>
    </w:p>
    <w:p w14:paraId="241FFB1B" w14:textId="2C1BB2A6" w:rsidR="005F7D75" w:rsidRPr="007E03AC" w:rsidRDefault="00441EC9" w:rsidP="00441EC9">
      <w:pPr>
        <w:rPr>
          <w:noProof/>
        </w:rPr>
      </w:pPr>
      <w:r w:rsidRPr="007E03AC">
        <w:rPr>
          <w:noProof/>
        </w:rPr>
        <w:t xml:space="preserve"> [Accessed 6 Oct. 2025].</w:t>
      </w:r>
    </w:p>
    <w:p w14:paraId="6E6D7D1D" w14:textId="7B5C367A" w:rsidR="007E03AC" w:rsidRPr="007E03AC" w:rsidRDefault="007E03AC" w:rsidP="007E03AC">
      <w:pPr>
        <w:rPr>
          <w:noProof/>
        </w:rPr>
      </w:pPr>
      <w:r w:rsidRPr="007E03AC">
        <w:rPr>
          <w:noProof/>
        </w:rPr>
        <w:t>Booth, A., Sutton, A. and Papaioannou, D. (2016) Systematic approaches to a successful literature review. 2nd edn. London: SAGE.</w:t>
      </w:r>
    </w:p>
    <w:p w14:paraId="4AF7F8C2" w14:textId="64B2688C" w:rsidR="007E03AC" w:rsidRPr="007E03AC" w:rsidRDefault="007E03AC" w:rsidP="007E03AC">
      <w:pPr>
        <w:rPr>
          <w:noProof/>
        </w:rPr>
      </w:pPr>
      <w:r w:rsidRPr="007E03AC">
        <w:rPr>
          <w:noProof/>
        </w:rPr>
        <w:t>Braun, V. and Clarke, V. (2006) ‘Using thematic analysis in psychology’, Qualitative Research in Psychology, 3(2), pp. 77–101.</w:t>
      </w:r>
    </w:p>
    <w:p w14:paraId="260F0A03" w14:textId="77777777" w:rsidR="007E03AC" w:rsidRPr="007E03AC" w:rsidRDefault="007E03AC" w:rsidP="007E03AC">
      <w:pPr>
        <w:rPr>
          <w:noProof/>
        </w:rPr>
      </w:pPr>
      <w:r w:rsidRPr="007E03AC">
        <w:rPr>
          <w:noProof/>
        </w:rPr>
        <w:t>NICE (2023) Type 2 diabetes in adults: management. National Institute for Health and Care Excellence. Available at: https://www.nice.org.uk/guidance/ng28</w:t>
      </w:r>
    </w:p>
    <w:p w14:paraId="58252D29" w14:textId="00387F27" w:rsidR="007E03AC" w:rsidRPr="007E03AC" w:rsidRDefault="007E03AC" w:rsidP="007E03AC">
      <w:pPr>
        <w:rPr>
          <w:noProof/>
        </w:rPr>
      </w:pPr>
      <w:r w:rsidRPr="007E03AC">
        <w:rPr>
          <w:noProof/>
        </w:rPr>
        <w:t xml:space="preserve"> [Accessed 6 October 2025].</w:t>
      </w:r>
    </w:p>
    <w:p w14:paraId="2B1D5641" w14:textId="25426898" w:rsidR="005F7D75" w:rsidRPr="007E03AC" w:rsidRDefault="007E03AC" w:rsidP="007E03AC">
      <w:pPr>
        <w:rPr>
          <w:noProof/>
        </w:rPr>
      </w:pPr>
      <w:r w:rsidRPr="007E03AC">
        <w:rPr>
          <w:noProof/>
        </w:rPr>
        <w:t>Public Health England (2018) Health matters: combating high blood pressure. London: PHE.</w:t>
      </w:r>
    </w:p>
    <w:p w14:paraId="75B17DEF" w14:textId="77777777" w:rsidR="005F7D75" w:rsidRPr="007E03AC" w:rsidRDefault="005F7D75" w:rsidP="00C46111">
      <w:pPr>
        <w:rPr>
          <w:noProof/>
        </w:rPr>
      </w:pPr>
    </w:p>
    <w:p w14:paraId="704E6675" w14:textId="77777777" w:rsidR="005F7D75" w:rsidRDefault="005F7D75" w:rsidP="00C46111">
      <w:pPr>
        <w:rPr>
          <w:noProof/>
        </w:rPr>
      </w:pPr>
    </w:p>
    <w:p w14:paraId="26540F31" w14:textId="77777777" w:rsidR="005F7D75" w:rsidRDefault="005F7D75" w:rsidP="00C46111">
      <w:pPr>
        <w:rPr>
          <w:noProof/>
        </w:rPr>
      </w:pPr>
    </w:p>
    <w:p w14:paraId="433F5986" w14:textId="77777777" w:rsidR="005F7D75" w:rsidRDefault="005F7D75" w:rsidP="00C46111">
      <w:pPr>
        <w:rPr>
          <w:noProof/>
        </w:rPr>
      </w:pPr>
    </w:p>
    <w:p w14:paraId="5407F508" w14:textId="77777777" w:rsidR="005F7D75" w:rsidRDefault="005F7D75" w:rsidP="00C46111">
      <w:pPr>
        <w:rPr>
          <w:noProof/>
        </w:rPr>
      </w:pPr>
    </w:p>
    <w:p w14:paraId="2A4EA882" w14:textId="77777777" w:rsidR="005F7D75" w:rsidRDefault="005F7D75" w:rsidP="00C46111">
      <w:pPr>
        <w:rPr>
          <w:noProof/>
        </w:rPr>
      </w:pPr>
    </w:p>
    <w:p w14:paraId="627B7AC3" w14:textId="77777777" w:rsidR="005F7D75" w:rsidRDefault="005F7D75" w:rsidP="00C46111">
      <w:pPr>
        <w:rPr>
          <w:noProof/>
        </w:rPr>
      </w:pPr>
    </w:p>
    <w:p w14:paraId="3D2E15B5" w14:textId="77777777" w:rsidR="005F7D75" w:rsidRDefault="005F7D75" w:rsidP="00C46111">
      <w:pPr>
        <w:rPr>
          <w:noProof/>
        </w:rPr>
      </w:pPr>
    </w:p>
    <w:p w14:paraId="1FFB5A27" w14:textId="77777777" w:rsidR="005F7D75" w:rsidRDefault="005F7D75" w:rsidP="00C46111">
      <w:pPr>
        <w:rPr>
          <w:noProof/>
        </w:rPr>
      </w:pPr>
    </w:p>
    <w:p w14:paraId="092108A5" w14:textId="77777777" w:rsidR="005F7D75" w:rsidRDefault="005F7D75" w:rsidP="00C46111">
      <w:pPr>
        <w:rPr>
          <w:noProof/>
        </w:rPr>
      </w:pPr>
    </w:p>
    <w:p w14:paraId="0E66DCC4" w14:textId="77777777" w:rsidR="005F7D75" w:rsidRDefault="005F7D75" w:rsidP="00C46111">
      <w:pPr>
        <w:rPr>
          <w:noProof/>
        </w:rPr>
      </w:pPr>
    </w:p>
    <w:p w14:paraId="1DB70EF3" w14:textId="77777777" w:rsidR="005F7D75" w:rsidRDefault="005F7D75" w:rsidP="00C46111">
      <w:pPr>
        <w:rPr>
          <w:noProof/>
        </w:rPr>
      </w:pPr>
    </w:p>
    <w:p w14:paraId="36E2D0CC" w14:textId="77777777" w:rsidR="005F7D75" w:rsidRDefault="005F7D75" w:rsidP="00C46111">
      <w:pPr>
        <w:rPr>
          <w:noProof/>
        </w:rPr>
      </w:pPr>
    </w:p>
    <w:p w14:paraId="265EF7E2" w14:textId="77777777" w:rsidR="005F7D75" w:rsidRDefault="005F7D75" w:rsidP="00C46111">
      <w:pPr>
        <w:rPr>
          <w:noProof/>
        </w:rPr>
      </w:pPr>
    </w:p>
    <w:p w14:paraId="6EB1AB11" w14:textId="77777777" w:rsidR="005F7D75" w:rsidRDefault="005F7D75" w:rsidP="00C46111">
      <w:pPr>
        <w:rPr>
          <w:noProof/>
        </w:rPr>
      </w:pPr>
    </w:p>
    <w:p w14:paraId="67338666" w14:textId="77777777" w:rsidR="005F7D75" w:rsidRDefault="005F7D75" w:rsidP="00C46111">
      <w:pPr>
        <w:rPr>
          <w:noProof/>
        </w:rPr>
      </w:pPr>
    </w:p>
    <w:p w14:paraId="2F9BB2EC" w14:textId="77777777" w:rsidR="005F7D75" w:rsidRDefault="005F7D75" w:rsidP="00C46111">
      <w:pPr>
        <w:rPr>
          <w:noProof/>
        </w:rPr>
      </w:pPr>
    </w:p>
    <w:p w14:paraId="42579A28" w14:textId="77777777" w:rsidR="005F7D75" w:rsidRDefault="005F7D75" w:rsidP="00C46111">
      <w:pPr>
        <w:rPr>
          <w:noProof/>
        </w:rPr>
      </w:pPr>
    </w:p>
    <w:p w14:paraId="664129E6" w14:textId="77777777" w:rsidR="005F7D75" w:rsidRDefault="005F7D75" w:rsidP="00C46111">
      <w:pPr>
        <w:rPr>
          <w:noProof/>
        </w:rPr>
      </w:pPr>
    </w:p>
    <w:p w14:paraId="03F0D60E" w14:textId="09E1D8B5" w:rsidR="00582081" w:rsidRPr="00F52F83" w:rsidRDefault="00582081" w:rsidP="008C1616">
      <w:pPr>
        <w:pStyle w:val="ListParagraph"/>
        <w:spacing w:line="360" w:lineRule="auto"/>
        <w:rPr>
          <w:rFonts w:ascii="Aptos" w:hAnsi="Aptos" w:cs="Arial"/>
          <w:sz w:val="28"/>
          <w:szCs w:val="28"/>
        </w:rPr>
      </w:pPr>
    </w:p>
    <w:sectPr w:rsidR="00582081" w:rsidRPr="00F52F83"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4710E3" w14:textId="77777777" w:rsidR="00E51391" w:rsidRDefault="00E51391" w:rsidP="00D210FA">
      <w:pPr>
        <w:spacing w:after="0"/>
      </w:pPr>
      <w:r>
        <w:separator/>
      </w:r>
    </w:p>
  </w:endnote>
  <w:endnote w:type="continuationSeparator" w:id="0">
    <w:p w14:paraId="03C25494" w14:textId="77777777" w:rsidR="00E51391" w:rsidRDefault="00E51391"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7D4703" w14:textId="77777777" w:rsidR="00E51391" w:rsidRDefault="00E51391" w:rsidP="00D210FA">
      <w:pPr>
        <w:spacing w:after="0"/>
      </w:pPr>
      <w:r>
        <w:separator/>
      </w:r>
    </w:p>
  </w:footnote>
  <w:footnote w:type="continuationSeparator" w:id="0">
    <w:p w14:paraId="0FF5388F" w14:textId="77777777" w:rsidR="00E51391" w:rsidRDefault="00E51391"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4"/>
  </w:num>
  <w:num w:numId="2" w16cid:durableId="66732129">
    <w:abstractNumId w:val="3"/>
  </w:num>
  <w:num w:numId="3" w16cid:durableId="1791968620">
    <w:abstractNumId w:val="11"/>
  </w:num>
  <w:num w:numId="4" w16cid:durableId="67852329">
    <w:abstractNumId w:val="12"/>
  </w:num>
  <w:num w:numId="5" w16cid:durableId="825783799">
    <w:abstractNumId w:val="7"/>
  </w:num>
  <w:num w:numId="6" w16cid:durableId="1203637911">
    <w:abstractNumId w:val="6"/>
  </w:num>
  <w:num w:numId="7" w16cid:durableId="1393117886">
    <w:abstractNumId w:val="9"/>
  </w:num>
  <w:num w:numId="8" w16cid:durableId="546726307">
    <w:abstractNumId w:val="8"/>
  </w:num>
  <w:num w:numId="9" w16cid:durableId="1142770867">
    <w:abstractNumId w:val="2"/>
  </w:num>
  <w:num w:numId="10" w16cid:durableId="1077478685">
    <w:abstractNumId w:val="0"/>
  </w:num>
  <w:num w:numId="11" w16cid:durableId="366024991">
    <w:abstractNumId w:val="5"/>
  </w:num>
  <w:num w:numId="12" w16cid:durableId="212468278">
    <w:abstractNumId w:val="1"/>
  </w:num>
  <w:num w:numId="13" w16cid:durableId="5371336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displayBackgroundShape/>
  <w:proofState w:spelling="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326AB"/>
    <w:rsid w:val="00061977"/>
    <w:rsid w:val="00062191"/>
    <w:rsid w:val="00063B85"/>
    <w:rsid w:val="0008782A"/>
    <w:rsid w:val="000A065A"/>
    <w:rsid w:val="000C2E01"/>
    <w:rsid w:val="000E0DE3"/>
    <w:rsid w:val="000E56ED"/>
    <w:rsid w:val="00106FC5"/>
    <w:rsid w:val="00120DEC"/>
    <w:rsid w:val="00123C19"/>
    <w:rsid w:val="0015364A"/>
    <w:rsid w:val="00156B53"/>
    <w:rsid w:val="00160757"/>
    <w:rsid w:val="00161F09"/>
    <w:rsid w:val="00174D66"/>
    <w:rsid w:val="00191EDB"/>
    <w:rsid w:val="001A2DAB"/>
    <w:rsid w:val="001C55B6"/>
    <w:rsid w:val="001D6CC4"/>
    <w:rsid w:val="001E1C6E"/>
    <w:rsid w:val="001E6687"/>
    <w:rsid w:val="001E6D61"/>
    <w:rsid w:val="00202A3A"/>
    <w:rsid w:val="00206405"/>
    <w:rsid w:val="002341AD"/>
    <w:rsid w:val="00240F13"/>
    <w:rsid w:val="00253267"/>
    <w:rsid w:val="002823CD"/>
    <w:rsid w:val="00287787"/>
    <w:rsid w:val="00291685"/>
    <w:rsid w:val="0029329C"/>
    <w:rsid w:val="002B0A3D"/>
    <w:rsid w:val="002B1A9B"/>
    <w:rsid w:val="002D2A55"/>
    <w:rsid w:val="002F26AB"/>
    <w:rsid w:val="003007A7"/>
    <w:rsid w:val="00305C62"/>
    <w:rsid w:val="003257E1"/>
    <w:rsid w:val="00325DEC"/>
    <w:rsid w:val="00330E06"/>
    <w:rsid w:val="00346FFA"/>
    <w:rsid w:val="0035481C"/>
    <w:rsid w:val="00385494"/>
    <w:rsid w:val="003A3069"/>
    <w:rsid w:val="003C20B5"/>
    <w:rsid w:val="003E545F"/>
    <w:rsid w:val="003F03D2"/>
    <w:rsid w:val="003F1E1A"/>
    <w:rsid w:val="004045E5"/>
    <w:rsid w:val="00421496"/>
    <w:rsid w:val="00422C27"/>
    <w:rsid w:val="004356C7"/>
    <w:rsid w:val="00441EC9"/>
    <w:rsid w:val="0044367C"/>
    <w:rsid w:val="0044412C"/>
    <w:rsid w:val="004642F0"/>
    <w:rsid w:val="00474BE6"/>
    <w:rsid w:val="004A6655"/>
    <w:rsid w:val="004B1389"/>
    <w:rsid w:val="004D2673"/>
    <w:rsid w:val="00500564"/>
    <w:rsid w:val="00502907"/>
    <w:rsid w:val="00506D0D"/>
    <w:rsid w:val="0051102B"/>
    <w:rsid w:val="00516520"/>
    <w:rsid w:val="00516CC0"/>
    <w:rsid w:val="005475F0"/>
    <w:rsid w:val="00582081"/>
    <w:rsid w:val="0058350D"/>
    <w:rsid w:val="005838BC"/>
    <w:rsid w:val="005B57E1"/>
    <w:rsid w:val="005E61E0"/>
    <w:rsid w:val="005F0F31"/>
    <w:rsid w:val="005F7D75"/>
    <w:rsid w:val="006024ED"/>
    <w:rsid w:val="006125F5"/>
    <w:rsid w:val="0061793F"/>
    <w:rsid w:val="0062123A"/>
    <w:rsid w:val="006605F8"/>
    <w:rsid w:val="006676A1"/>
    <w:rsid w:val="006833BD"/>
    <w:rsid w:val="006C0874"/>
    <w:rsid w:val="006C622F"/>
    <w:rsid w:val="006D2642"/>
    <w:rsid w:val="006E2D42"/>
    <w:rsid w:val="00720FEE"/>
    <w:rsid w:val="00764B6F"/>
    <w:rsid w:val="007C7319"/>
    <w:rsid w:val="007D0AD3"/>
    <w:rsid w:val="007D43B3"/>
    <w:rsid w:val="007E03AC"/>
    <w:rsid w:val="007F20B4"/>
    <w:rsid w:val="007F525E"/>
    <w:rsid w:val="00802FF1"/>
    <w:rsid w:val="0082695D"/>
    <w:rsid w:val="0083044C"/>
    <w:rsid w:val="00846694"/>
    <w:rsid w:val="0085182D"/>
    <w:rsid w:val="00867E5F"/>
    <w:rsid w:val="008709F5"/>
    <w:rsid w:val="00877A91"/>
    <w:rsid w:val="0088245C"/>
    <w:rsid w:val="00884E86"/>
    <w:rsid w:val="00890534"/>
    <w:rsid w:val="00891124"/>
    <w:rsid w:val="008927FF"/>
    <w:rsid w:val="008A755B"/>
    <w:rsid w:val="008B0F18"/>
    <w:rsid w:val="008C1616"/>
    <w:rsid w:val="008E00CA"/>
    <w:rsid w:val="008E3921"/>
    <w:rsid w:val="0090027B"/>
    <w:rsid w:val="00905238"/>
    <w:rsid w:val="00913DD6"/>
    <w:rsid w:val="0094702A"/>
    <w:rsid w:val="00954A75"/>
    <w:rsid w:val="00961C24"/>
    <w:rsid w:val="00967DAB"/>
    <w:rsid w:val="00990E76"/>
    <w:rsid w:val="00991A53"/>
    <w:rsid w:val="00996F4E"/>
    <w:rsid w:val="009F71FE"/>
    <w:rsid w:val="00A27D8D"/>
    <w:rsid w:val="00A31F33"/>
    <w:rsid w:val="00A463C6"/>
    <w:rsid w:val="00A67845"/>
    <w:rsid w:val="00A70A62"/>
    <w:rsid w:val="00A71DA8"/>
    <w:rsid w:val="00A90A7A"/>
    <w:rsid w:val="00AB1210"/>
    <w:rsid w:val="00AB5409"/>
    <w:rsid w:val="00AB770D"/>
    <w:rsid w:val="00AF2088"/>
    <w:rsid w:val="00AF5FB0"/>
    <w:rsid w:val="00AF645D"/>
    <w:rsid w:val="00B0080A"/>
    <w:rsid w:val="00B0538C"/>
    <w:rsid w:val="00B376E4"/>
    <w:rsid w:val="00B37AB8"/>
    <w:rsid w:val="00B418DE"/>
    <w:rsid w:val="00B47FE7"/>
    <w:rsid w:val="00B67824"/>
    <w:rsid w:val="00B9151B"/>
    <w:rsid w:val="00BB1F33"/>
    <w:rsid w:val="00BC1AA6"/>
    <w:rsid w:val="00BE15BA"/>
    <w:rsid w:val="00C20ED0"/>
    <w:rsid w:val="00C31D85"/>
    <w:rsid w:val="00C348A8"/>
    <w:rsid w:val="00C34FA0"/>
    <w:rsid w:val="00C46111"/>
    <w:rsid w:val="00C47DCC"/>
    <w:rsid w:val="00C51DE4"/>
    <w:rsid w:val="00C613AD"/>
    <w:rsid w:val="00C83332"/>
    <w:rsid w:val="00C95E04"/>
    <w:rsid w:val="00CC0A8F"/>
    <w:rsid w:val="00CC24B6"/>
    <w:rsid w:val="00CC5E2A"/>
    <w:rsid w:val="00CD3A64"/>
    <w:rsid w:val="00CE08CD"/>
    <w:rsid w:val="00D0664A"/>
    <w:rsid w:val="00D210FA"/>
    <w:rsid w:val="00D30F1D"/>
    <w:rsid w:val="00D53114"/>
    <w:rsid w:val="00D57231"/>
    <w:rsid w:val="00D72FC3"/>
    <w:rsid w:val="00D84E67"/>
    <w:rsid w:val="00D87B48"/>
    <w:rsid w:val="00D91203"/>
    <w:rsid w:val="00D94FD1"/>
    <w:rsid w:val="00DF2F81"/>
    <w:rsid w:val="00DF4F10"/>
    <w:rsid w:val="00E17A23"/>
    <w:rsid w:val="00E41692"/>
    <w:rsid w:val="00E51391"/>
    <w:rsid w:val="00E55D74"/>
    <w:rsid w:val="00E75D4E"/>
    <w:rsid w:val="00E81234"/>
    <w:rsid w:val="00E9037E"/>
    <w:rsid w:val="00E90380"/>
    <w:rsid w:val="00EA120D"/>
    <w:rsid w:val="00EA49C3"/>
    <w:rsid w:val="00EB5E14"/>
    <w:rsid w:val="00EB6F36"/>
    <w:rsid w:val="00ED1049"/>
    <w:rsid w:val="00EE19D9"/>
    <w:rsid w:val="00EE7E36"/>
    <w:rsid w:val="00EF1B22"/>
    <w:rsid w:val="00EF26FC"/>
    <w:rsid w:val="00F00F24"/>
    <w:rsid w:val="00F37517"/>
    <w:rsid w:val="00F37523"/>
    <w:rsid w:val="00F50168"/>
    <w:rsid w:val="00F50D34"/>
    <w:rsid w:val="00F52F83"/>
    <w:rsid w:val="00F61360"/>
    <w:rsid w:val="00F62663"/>
    <w:rsid w:val="00FA10ED"/>
    <w:rsid w:val="00FA4608"/>
    <w:rsid w:val="00FC538A"/>
    <w:rsid w:val="00FE2B9F"/>
    <w:rsid w:val="00FE7F55"/>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5:docId w15:val="{86EC3DC2-70EA-42D2-9B30-FBD37B5C09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character" w:styleId="Hyperlink">
    <w:name w:val="Hyperlink"/>
    <w:basedOn w:val="DefaultParagraphFont"/>
    <w:uiPriority w:val="99"/>
    <w:unhideWhenUsed/>
    <w:rsid w:val="00FE7F5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diagramColors" Target="diagrams/colors1.xm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diagramQuickStyle" Target="diagrams/quickStyle1.xml"/><Relationship Id="rId2" Type="http://schemas.openxmlformats.org/officeDocument/2006/relationships/customXml" Target="../customXml/item2.xml"/><Relationship Id="rId16" Type="http://schemas.openxmlformats.org/officeDocument/2006/relationships/diagramLayout" Target="diagrams/layout1.xml"/><Relationship Id="rId20" Type="http://schemas.openxmlformats.org/officeDocument/2006/relationships/hyperlink" Target="https://ico.org.uk/for-organisations/guide-to-data-protection"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diagramData" Target="diagrams/data1.xml"/><Relationship Id="rId10" Type="http://schemas.openxmlformats.org/officeDocument/2006/relationships/endnotes" Target="endnotes.xml"/><Relationship Id="rId19" Type="http://schemas.microsoft.com/office/2007/relationships/diagramDrawing" Target="diagrams/drawing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7634D104-7D93-4DC9-AA78-CFDC22EB2B7D}" type="doc">
      <dgm:prSet loTypeId="urn:microsoft.com/office/officeart/2005/8/layout/hList1" loCatId="list" qsTypeId="urn:microsoft.com/office/officeart/2005/8/quickstyle/simple1" qsCatId="simple" csTypeId="urn:microsoft.com/office/officeart/2005/8/colors/accent1_2" csCatId="accent1" phldr="1"/>
      <dgm:spPr/>
      <dgm:t>
        <a:bodyPr/>
        <a:lstStyle/>
        <a:p>
          <a:endParaRPr lang="en-GB"/>
        </a:p>
      </dgm:t>
    </dgm:pt>
    <dgm:pt modelId="{D895BCAF-11FD-4161-9460-71155FF594D5}">
      <dgm:prSet/>
      <dgm:spPr>
        <a:solidFill>
          <a:srgbClr val="FFC000"/>
        </a:solidFill>
      </dgm:spPr>
      <dgm:t>
        <a:bodyPr/>
        <a:lstStyle/>
        <a:p>
          <a:pPr>
            <a:lnSpc>
              <a:spcPct val="150000"/>
            </a:lnSpc>
          </a:pPr>
          <a:r>
            <a:rPr lang="en-GB" b="1" i="0">
              <a:latin typeface="Aptos" panose="020B0004020202020204" pitchFamily="34" charset="0"/>
            </a:rPr>
            <a:t>Respect for Intellectual Property:</a:t>
          </a:r>
          <a:endParaRPr lang="en-GB">
            <a:latin typeface="Aptos" panose="020B0004020202020204" pitchFamily="34" charset="0"/>
          </a:endParaRPr>
        </a:p>
      </dgm:t>
    </dgm:pt>
    <dgm:pt modelId="{55C24B6C-44F8-45FA-AE8C-D7852F8F756E}" type="parTrans" cxnId="{56DD223B-87BE-41AD-A123-502044CB6C82}">
      <dgm:prSet/>
      <dgm:spPr/>
      <dgm:t>
        <a:bodyPr/>
        <a:lstStyle/>
        <a:p>
          <a:pPr>
            <a:lnSpc>
              <a:spcPct val="150000"/>
            </a:lnSpc>
          </a:pPr>
          <a:endParaRPr lang="en-GB">
            <a:latin typeface="Aptos" panose="020B0004020202020204" pitchFamily="34" charset="0"/>
          </a:endParaRPr>
        </a:p>
      </dgm:t>
    </dgm:pt>
    <dgm:pt modelId="{1D8F6D8C-F89F-400C-A451-06369F630D13}" type="sibTrans" cxnId="{56DD223B-87BE-41AD-A123-502044CB6C82}">
      <dgm:prSet/>
      <dgm:spPr/>
      <dgm:t>
        <a:bodyPr/>
        <a:lstStyle/>
        <a:p>
          <a:pPr>
            <a:lnSpc>
              <a:spcPct val="150000"/>
            </a:lnSpc>
          </a:pPr>
          <a:endParaRPr lang="en-GB">
            <a:latin typeface="Aptos" panose="020B0004020202020204" pitchFamily="34" charset="0"/>
          </a:endParaRPr>
        </a:p>
      </dgm:t>
    </dgm:pt>
    <dgm:pt modelId="{DD8DD7F7-557F-4529-952E-996BE575A6CC}">
      <dgm:prSet/>
      <dgm:spPr/>
      <dgm:t>
        <a:bodyPr/>
        <a:lstStyle/>
        <a:p>
          <a:pPr>
            <a:lnSpc>
              <a:spcPct val="150000"/>
            </a:lnSpc>
          </a:pPr>
          <a:endParaRPr lang="en-GB" dirty="0">
            <a:latin typeface="Aptos" panose="020B0004020202020204" pitchFamily="34" charset="0"/>
          </a:endParaRPr>
        </a:p>
      </dgm:t>
    </dgm:pt>
    <dgm:pt modelId="{898A7FBF-8854-4FCD-8F75-6D0A10D342BF}" type="parTrans" cxnId="{DA224816-7824-4FE5-9CD1-3E0ECE27E8A0}">
      <dgm:prSet/>
      <dgm:spPr/>
      <dgm:t>
        <a:bodyPr/>
        <a:lstStyle/>
        <a:p>
          <a:pPr>
            <a:lnSpc>
              <a:spcPct val="150000"/>
            </a:lnSpc>
          </a:pPr>
          <a:endParaRPr lang="en-GB">
            <a:latin typeface="Aptos" panose="020B0004020202020204" pitchFamily="34" charset="0"/>
          </a:endParaRPr>
        </a:p>
      </dgm:t>
    </dgm:pt>
    <dgm:pt modelId="{069345D4-AF17-4BE2-BEFD-16AAD453ED22}" type="sibTrans" cxnId="{DA224816-7824-4FE5-9CD1-3E0ECE27E8A0}">
      <dgm:prSet/>
      <dgm:spPr/>
      <dgm:t>
        <a:bodyPr/>
        <a:lstStyle/>
        <a:p>
          <a:pPr>
            <a:lnSpc>
              <a:spcPct val="150000"/>
            </a:lnSpc>
          </a:pPr>
          <a:endParaRPr lang="en-GB">
            <a:latin typeface="Aptos" panose="020B0004020202020204" pitchFamily="34" charset="0"/>
          </a:endParaRPr>
        </a:p>
      </dgm:t>
    </dgm:pt>
    <dgm:pt modelId="{D2F35989-0D76-4707-8851-E95507DAC780}">
      <dgm:prSet/>
      <dgm:spPr>
        <a:solidFill>
          <a:srgbClr val="92D050"/>
        </a:solidFill>
      </dgm:spPr>
      <dgm:t>
        <a:bodyPr/>
        <a:lstStyle/>
        <a:p>
          <a:pPr>
            <a:lnSpc>
              <a:spcPct val="150000"/>
            </a:lnSpc>
          </a:pPr>
          <a:r>
            <a:rPr lang="en-GB" b="1" i="0">
              <a:latin typeface="Aptos" panose="020B0004020202020204" pitchFamily="34" charset="0"/>
            </a:rPr>
            <a:t>Privacy and Confidentiality:</a:t>
          </a:r>
          <a:endParaRPr lang="en-GB">
            <a:latin typeface="Aptos" panose="020B0004020202020204" pitchFamily="34" charset="0"/>
          </a:endParaRPr>
        </a:p>
      </dgm:t>
    </dgm:pt>
    <dgm:pt modelId="{95A47F62-7CA1-4144-B825-A44483178729}" type="parTrans" cxnId="{CB93FF67-74EB-4163-A9EC-6469F10734D1}">
      <dgm:prSet/>
      <dgm:spPr/>
      <dgm:t>
        <a:bodyPr/>
        <a:lstStyle/>
        <a:p>
          <a:pPr>
            <a:lnSpc>
              <a:spcPct val="150000"/>
            </a:lnSpc>
          </a:pPr>
          <a:endParaRPr lang="en-GB">
            <a:latin typeface="Aptos" panose="020B0004020202020204" pitchFamily="34" charset="0"/>
          </a:endParaRPr>
        </a:p>
      </dgm:t>
    </dgm:pt>
    <dgm:pt modelId="{B96B68E4-E5AE-4BB2-A658-AF9FA9406E6C}" type="sibTrans" cxnId="{CB93FF67-74EB-4163-A9EC-6469F10734D1}">
      <dgm:prSet/>
      <dgm:spPr/>
      <dgm:t>
        <a:bodyPr/>
        <a:lstStyle/>
        <a:p>
          <a:pPr>
            <a:lnSpc>
              <a:spcPct val="150000"/>
            </a:lnSpc>
          </a:pPr>
          <a:endParaRPr lang="en-GB">
            <a:latin typeface="Aptos" panose="020B0004020202020204" pitchFamily="34" charset="0"/>
          </a:endParaRPr>
        </a:p>
      </dgm:t>
    </dgm:pt>
    <dgm:pt modelId="{B8AA4B07-C565-4CCF-9950-02D7DCC3515C}">
      <dgm:prSet/>
      <dgm:spPr/>
      <dgm:t>
        <a:bodyPr/>
        <a:lstStyle/>
        <a:p>
          <a:pPr>
            <a:lnSpc>
              <a:spcPct val="150000"/>
            </a:lnSpc>
          </a:pPr>
          <a:endParaRPr lang="en-GB">
            <a:latin typeface="Aptos" panose="020B0004020202020204" pitchFamily="34" charset="0"/>
          </a:endParaRPr>
        </a:p>
      </dgm:t>
    </dgm:pt>
    <dgm:pt modelId="{7CE0ECD8-FF60-40FC-834A-69289342858B}" type="parTrans" cxnId="{54E1D1F9-2D03-4A36-ADEB-7EC8EB0F85F9}">
      <dgm:prSet/>
      <dgm:spPr/>
      <dgm:t>
        <a:bodyPr/>
        <a:lstStyle/>
        <a:p>
          <a:pPr>
            <a:lnSpc>
              <a:spcPct val="150000"/>
            </a:lnSpc>
          </a:pPr>
          <a:endParaRPr lang="en-GB">
            <a:latin typeface="Aptos" panose="020B0004020202020204" pitchFamily="34" charset="0"/>
          </a:endParaRPr>
        </a:p>
      </dgm:t>
    </dgm:pt>
    <dgm:pt modelId="{BA44317E-0141-443D-B3B3-5D8A23F7257D}" type="sibTrans" cxnId="{54E1D1F9-2D03-4A36-ADEB-7EC8EB0F85F9}">
      <dgm:prSet/>
      <dgm:spPr/>
      <dgm:t>
        <a:bodyPr/>
        <a:lstStyle/>
        <a:p>
          <a:pPr>
            <a:lnSpc>
              <a:spcPct val="150000"/>
            </a:lnSpc>
          </a:pPr>
          <a:endParaRPr lang="en-GB">
            <a:latin typeface="Aptos" panose="020B0004020202020204" pitchFamily="34" charset="0"/>
          </a:endParaRPr>
        </a:p>
      </dgm:t>
    </dgm:pt>
    <dgm:pt modelId="{5674B894-A55E-4559-8EA7-028C3F32E4B2}">
      <dgm:prSet/>
      <dgm:spPr>
        <a:solidFill>
          <a:srgbClr val="EE0000"/>
        </a:solidFill>
      </dgm:spPr>
      <dgm:t>
        <a:bodyPr/>
        <a:lstStyle/>
        <a:p>
          <a:pPr>
            <a:lnSpc>
              <a:spcPct val="150000"/>
            </a:lnSpc>
          </a:pPr>
          <a:r>
            <a:rPr lang="en-GB" b="1" i="0">
              <a:latin typeface="Aptos" panose="020B0004020202020204" pitchFamily="34" charset="0"/>
            </a:rPr>
            <a:t>Data Integrity and Reliability:</a:t>
          </a:r>
          <a:r>
            <a:rPr lang="en-GB">
              <a:latin typeface="Aptos" panose="020B0004020202020204" pitchFamily="34" charset="0"/>
            </a:rPr>
            <a:t> </a:t>
          </a:r>
        </a:p>
      </dgm:t>
    </dgm:pt>
    <dgm:pt modelId="{CF4D6B60-7FC7-4A9C-B7E1-C22EA10EB381}" type="parTrans" cxnId="{8A48955A-FF8F-4776-99D4-D2F9A35739B0}">
      <dgm:prSet/>
      <dgm:spPr/>
      <dgm:t>
        <a:bodyPr/>
        <a:lstStyle/>
        <a:p>
          <a:pPr>
            <a:lnSpc>
              <a:spcPct val="150000"/>
            </a:lnSpc>
          </a:pPr>
          <a:endParaRPr lang="en-GB">
            <a:latin typeface="Aptos" panose="020B0004020202020204" pitchFamily="34" charset="0"/>
          </a:endParaRPr>
        </a:p>
      </dgm:t>
    </dgm:pt>
    <dgm:pt modelId="{94E754A5-C7C4-42B9-A350-BD17338F58B9}" type="sibTrans" cxnId="{8A48955A-FF8F-4776-99D4-D2F9A35739B0}">
      <dgm:prSet/>
      <dgm:spPr/>
      <dgm:t>
        <a:bodyPr/>
        <a:lstStyle/>
        <a:p>
          <a:pPr>
            <a:lnSpc>
              <a:spcPct val="150000"/>
            </a:lnSpc>
          </a:pPr>
          <a:endParaRPr lang="en-GB">
            <a:latin typeface="Aptos" panose="020B0004020202020204" pitchFamily="34" charset="0"/>
          </a:endParaRPr>
        </a:p>
      </dgm:t>
    </dgm:pt>
    <dgm:pt modelId="{DED7677A-A811-4E99-A359-AF267F66CB3B}">
      <dgm:prSet/>
      <dgm:spPr>
        <a:solidFill>
          <a:srgbClr val="99CCFF"/>
        </a:solidFill>
      </dgm:spPr>
      <dgm:t>
        <a:bodyPr/>
        <a:lstStyle/>
        <a:p>
          <a:pPr>
            <a:lnSpc>
              <a:spcPct val="150000"/>
            </a:lnSpc>
          </a:pPr>
          <a:r>
            <a:rPr lang="en-GB" b="1" i="0" dirty="0">
              <a:latin typeface="Aptos" panose="020B0004020202020204" pitchFamily="34" charset="0"/>
            </a:rPr>
            <a:t>Compliance with Laws and Regulations:</a:t>
          </a:r>
          <a:endParaRPr lang="en-GB" dirty="0">
            <a:latin typeface="Aptos" panose="020B0004020202020204" pitchFamily="34" charset="0"/>
          </a:endParaRPr>
        </a:p>
      </dgm:t>
    </dgm:pt>
    <dgm:pt modelId="{F38EF5EE-50CB-434C-B7C2-9D5B46BCDA7A}" type="parTrans" cxnId="{81E8ED4A-9C61-4261-A97E-A8FB2B721822}">
      <dgm:prSet/>
      <dgm:spPr/>
      <dgm:t>
        <a:bodyPr/>
        <a:lstStyle/>
        <a:p>
          <a:pPr>
            <a:lnSpc>
              <a:spcPct val="150000"/>
            </a:lnSpc>
          </a:pPr>
          <a:endParaRPr lang="en-GB">
            <a:latin typeface="Aptos" panose="020B0004020202020204" pitchFamily="34" charset="0"/>
          </a:endParaRPr>
        </a:p>
      </dgm:t>
    </dgm:pt>
    <dgm:pt modelId="{9F4A521B-0AB9-4C49-8D3E-A4522CDAC745}" type="sibTrans" cxnId="{81E8ED4A-9C61-4261-A97E-A8FB2B721822}">
      <dgm:prSet/>
      <dgm:spPr/>
      <dgm:t>
        <a:bodyPr/>
        <a:lstStyle/>
        <a:p>
          <a:pPr>
            <a:lnSpc>
              <a:spcPct val="150000"/>
            </a:lnSpc>
          </a:pPr>
          <a:endParaRPr lang="en-GB">
            <a:latin typeface="Aptos" panose="020B0004020202020204" pitchFamily="34" charset="0"/>
          </a:endParaRPr>
        </a:p>
      </dgm:t>
    </dgm:pt>
    <dgm:pt modelId="{F5AC5549-675B-444B-905D-2F1D9FDC1779}">
      <dgm:prSet/>
      <dgm:spPr>
        <a:solidFill>
          <a:srgbClr val="EC14BE"/>
        </a:solidFill>
      </dgm:spPr>
      <dgm:t>
        <a:bodyPr/>
        <a:lstStyle/>
        <a:p>
          <a:pPr>
            <a:lnSpc>
              <a:spcPct val="150000"/>
            </a:lnSpc>
          </a:pPr>
          <a:r>
            <a:rPr lang="en-GB" b="1" i="0" dirty="0">
              <a:latin typeface="Aptos" panose="020B0004020202020204" pitchFamily="34" charset="0"/>
            </a:rPr>
            <a:t>Informed Consent</a:t>
          </a:r>
          <a:endParaRPr lang="en-GB" dirty="0">
            <a:latin typeface="Aptos" panose="020B0004020202020204" pitchFamily="34" charset="0"/>
          </a:endParaRPr>
        </a:p>
      </dgm:t>
    </dgm:pt>
    <dgm:pt modelId="{AC81EE79-FF8C-4405-963A-7F74BE293A69}" type="parTrans" cxnId="{F047993C-E79F-4DF4-8E68-009CE95435BF}">
      <dgm:prSet/>
      <dgm:spPr/>
      <dgm:t>
        <a:bodyPr/>
        <a:lstStyle/>
        <a:p>
          <a:pPr>
            <a:lnSpc>
              <a:spcPct val="150000"/>
            </a:lnSpc>
          </a:pPr>
          <a:endParaRPr lang="en-GB">
            <a:latin typeface="Aptos" panose="020B0004020202020204" pitchFamily="34" charset="0"/>
          </a:endParaRPr>
        </a:p>
      </dgm:t>
    </dgm:pt>
    <dgm:pt modelId="{B7249222-7390-4801-8772-10BB94E221D0}" type="sibTrans" cxnId="{F047993C-E79F-4DF4-8E68-009CE95435BF}">
      <dgm:prSet/>
      <dgm:spPr/>
      <dgm:t>
        <a:bodyPr/>
        <a:lstStyle/>
        <a:p>
          <a:pPr>
            <a:lnSpc>
              <a:spcPct val="150000"/>
            </a:lnSpc>
          </a:pPr>
          <a:endParaRPr lang="en-GB">
            <a:latin typeface="Aptos" panose="020B0004020202020204" pitchFamily="34" charset="0"/>
          </a:endParaRPr>
        </a:p>
      </dgm:t>
    </dgm:pt>
    <dgm:pt modelId="{31ECEDD7-80EF-414B-BE50-B610D566367B}">
      <dgm:prSet/>
      <dgm:spPr/>
      <dgm:t>
        <a:bodyPr/>
        <a:lstStyle/>
        <a:p>
          <a:pPr>
            <a:lnSpc>
              <a:spcPct val="150000"/>
            </a:lnSpc>
          </a:pPr>
          <a:endParaRPr lang="en-GB">
            <a:latin typeface="Aptos" panose="020B0004020202020204" pitchFamily="34" charset="0"/>
          </a:endParaRPr>
        </a:p>
      </dgm:t>
    </dgm:pt>
    <dgm:pt modelId="{20439AF7-F994-4596-8154-7958604637F8}" type="parTrans" cxnId="{7B9CB682-0DC9-4815-951A-E787AB7CD2FE}">
      <dgm:prSet/>
      <dgm:spPr/>
      <dgm:t>
        <a:bodyPr/>
        <a:lstStyle/>
        <a:p>
          <a:pPr>
            <a:lnSpc>
              <a:spcPct val="150000"/>
            </a:lnSpc>
          </a:pPr>
          <a:endParaRPr lang="en-GB">
            <a:latin typeface="Aptos" panose="020B0004020202020204" pitchFamily="34" charset="0"/>
          </a:endParaRPr>
        </a:p>
      </dgm:t>
    </dgm:pt>
    <dgm:pt modelId="{BAE7B1D5-018D-43C6-93C5-0E28100285E0}" type="sibTrans" cxnId="{7B9CB682-0DC9-4815-951A-E787AB7CD2FE}">
      <dgm:prSet/>
      <dgm:spPr/>
      <dgm:t>
        <a:bodyPr/>
        <a:lstStyle/>
        <a:p>
          <a:pPr>
            <a:lnSpc>
              <a:spcPct val="150000"/>
            </a:lnSpc>
          </a:pPr>
          <a:endParaRPr lang="en-GB">
            <a:latin typeface="Aptos" panose="020B0004020202020204" pitchFamily="34" charset="0"/>
          </a:endParaRPr>
        </a:p>
      </dgm:t>
    </dgm:pt>
    <dgm:pt modelId="{7D9AB477-3831-4B66-903C-51888FAB2EF1}">
      <dgm:prSet/>
      <dgm:spPr/>
      <dgm:t>
        <a:bodyPr/>
        <a:lstStyle/>
        <a:p>
          <a:pPr>
            <a:lnSpc>
              <a:spcPct val="150000"/>
            </a:lnSpc>
          </a:pPr>
          <a:endParaRPr lang="en-GB">
            <a:latin typeface="Aptos" panose="020B0004020202020204" pitchFamily="34" charset="0"/>
          </a:endParaRPr>
        </a:p>
      </dgm:t>
    </dgm:pt>
    <dgm:pt modelId="{1C5BF6D7-9EA3-4496-9259-CCFB570AB9BC}" type="parTrans" cxnId="{62CB3FEB-664D-43E7-89EF-51AA5774E707}">
      <dgm:prSet/>
      <dgm:spPr/>
      <dgm:t>
        <a:bodyPr/>
        <a:lstStyle/>
        <a:p>
          <a:pPr>
            <a:lnSpc>
              <a:spcPct val="150000"/>
            </a:lnSpc>
          </a:pPr>
          <a:endParaRPr lang="en-GB">
            <a:latin typeface="Aptos" panose="020B0004020202020204" pitchFamily="34" charset="0"/>
          </a:endParaRPr>
        </a:p>
      </dgm:t>
    </dgm:pt>
    <dgm:pt modelId="{13866862-3E71-49D6-8E54-5828906B8520}" type="sibTrans" cxnId="{62CB3FEB-664D-43E7-89EF-51AA5774E707}">
      <dgm:prSet/>
      <dgm:spPr/>
      <dgm:t>
        <a:bodyPr/>
        <a:lstStyle/>
        <a:p>
          <a:pPr>
            <a:lnSpc>
              <a:spcPct val="150000"/>
            </a:lnSpc>
          </a:pPr>
          <a:endParaRPr lang="en-GB">
            <a:latin typeface="Aptos" panose="020B0004020202020204" pitchFamily="34" charset="0"/>
          </a:endParaRPr>
        </a:p>
      </dgm:t>
    </dgm:pt>
    <dgm:pt modelId="{D0F2A51A-8617-4842-9A50-755676DCD3DD}">
      <dgm:prSet/>
      <dgm:spPr/>
      <dgm:t>
        <a:bodyPr/>
        <a:lstStyle/>
        <a:p>
          <a:pPr>
            <a:lnSpc>
              <a:spcPct val="150000"/>
            </a:lnSpc>
          </a:pPr>
          <a:endParaRPr lang="en-GB">
            <a:latin typeface="Aptos" panose="020B0004020202020204" pitchFamily="34" charset="0"/>
          </a:endParaRPr>
        </a:p>
      </dgm:t>
    </dgm:pt>
    <dgm:pt modelId="{DD30637A-3765-4C05-B6F7-B47484906C94}" type="parTrans" cxnId="{19EBC273-BE40-4DF3-AD90-42CF3D009016}">
      <dgm:prSet/>
      <dgm:spPr/>
      <dgm:t>
        <a:bodyPr/>
        <a:lstStyle/>
        <a:p>
          <a:pPr>
            <a:lnSpc>
              <a:spcPct val="150000"/>
            </a:lnSpc>
          </a:pPr>
          <a:endParaRPr lang="en-GB">
            <a:latin typeface="Aptos" panose="020B0004020202020204" pitchFamily="34" charset="0"/>
          </a:endParaRPr>
        </a:p>
      </dgm:t>
    </dgm:pt>
    <dgm:pt modelId="{6BC62B7F-2BE1-4735-BEF1-C93E581063AE}" type="sibTrans" cxnId="{19EBC273-BE40-4DF3-AD90-42CF3D009016}">
      <dgm:prSet/>
      <dgm:spPr/>
      <dgm:t>
        <a:bodyPr/>
        <a:lstStyle/>
        <a:p>
          <a:pPr>
            <a:lnSpc>
              <a:spcPct val="150000"/>
            </a:lnSpc>
          </a:pPr>
          <a:endParaRPr lang="en-GB">
            <a:latin typeface="Aptos" panose="020B0004020202020204" pitchFamily="34" charset="0"/>
          </a:endParaRPr>
        </a:p>
      </dgm:t>
    </dgm:pt>
    <dgm:pt modelId="{10336268-4BAE-4FD6-852D-4C7F9F271BC3}">
      <dgm:prSet/>
      <dgm:spPr/>
      <dgm:t>
        <a:bodyPr/>
        <a:lstStyle/>
        <a:p>
          <a:pPr>
            <a:lnSpc>
              <a:spcPct val="150000"/>
            </a:lnSpc>
          </a:pPr>
          <a:r>
            <a:rPr lang="en-GB" dirty="0">
              <a:latin typeface="Aptos" panose="020B0004020202020204" pitchFamily="34" charset="0"/>
            </a:rPr>
            <a:t>Properly cite and reference all original sources to acknowledge authorship.
Use a consistent Harvard referencing style throughout your work.
Avoid plagiarism by paraphrasing carefully and not copying text directly.
Ensures academic integrity, credibility, and transparency in research (Aveyard, 2019; Pears and Shields, 2019).</a:t>
          </a:r>
        </a:p>
      </dgm:t>
    </dgm:pt>
    <dgm:pt modelId="{78B6C91A-E10D-48AD-B859-6396BB214099}" type="parTrans" cxnId="{A967537C-9A0E-40FA-B8E3-A9047F06DAE4}">
      <dgm:prSet/>
      <dgm:spPr/>
      <dgm:t>
        <a:bodyPr/>
        <a:lstStyle/>
        <a:p>
          <a:endParaRPr lang="en-GB"/>
        </a:p>
      </dgm:t>
    </dgm:pt>
    <dgm:pt modelId="{E3914CFF-7B0C-4032-A299-9C8956580434}" type="sibTrans" cxnId="{A967537C-9A0E-40FA-B8E3-A9047F06DAE4}">
      <dgm:prSet/>
      <dgm:spPr/>
      <dgm:t>
        <a:bodyPr/>
        <a:lstStyle/>
        <a:p>
          <a:endParaRPr lang="en-GB"/>
        </a:p>
      </dgm:t>
    </dgm:pt>
    <dgm:pt modelId="{902443A5-DCC2-4D8C-A627-01DFEFAFCE26}">
      <dgm:prSet/>
      <dgm:spPr/>
      <dgm:t>
        <a:bodyPr/>
        <a:lstStyle/>
        <a:p>
          <a:pPr>
            <a:lnSpc>
              <a:spcPct val="150000"/>
            </a:lnSpc>
          </a:pPr>
          <a:r>
            <a:rPr lang="en-GB">
              <a:latin typeface="Aptos" panose="020B0004020202020204" pitchFamily="34" charset="0"/>
            </a:rPr>
            <a:t>Protect the privacy of individuals when using sensitive or identifiable data.
Ensure all information is anonymised where necessary.
Follow ethical guidelines to maintain confidentiality and trust in research.</a:t>
          </a:r>
        </a:p>
      </dgm:t>
    </dgm:pt>
    <dgm:pt modelId="{FCFF7B61-468E-443D-8BC6-CBA212F6D335}" type="parTrans" cxnId="{B416FCB1-AE4F-4226-8AB4-A155E144B4DA}">
      <dgm:prSet/>
      <dgm:spPr/>
      <dgm:t>
        <a:bodyPr/>
        <a:lstStyle/>
        <a:p>
          <a:endParaRPr lang="en-GB"/>
        </a:p>
      </dgm:t>
    </dgm:pt>
    <dgm:pt modelId="{276392A0-1998-4FEF-9515-794081870AD7}" type="sibTrans" cxnId="{B416FCB1-AE4F-4226-8AB4-A155E144B4DA}">
      <dgm:prSet/>
      <dgm:spPr/>
      <dgm:t>
        <a:bodyPr/>
        <a:lstStyle/>
        <a:p>
          <a:endParaRPr lang="en-GB"/>
        </a:p>
      </dgm:t>
    </dgm:pt>
    <dgm:pt modelId="{44FF012A-FE18-4E36-8356-61FA9F38B98A}">
      <dgm:prSet/>
      <dgm:spPr/>
      <dgm:t>
        <a:bodyPr/>
        <a:lstStyle/>
        <a:p>
          <a:pPr>
            <a:lnSpc>
              <a:spcPct val="150000"/>
            </a:lnSpc>
          </a:pPr>
          <a:r>
            <a:rPr lang="en-GB">
              <a:latin typeface="Aptos" panose="020B0004020202020204" pitchFamily="34" charset="0"/>
            </a:rPr>
            <a:t>
Essential for ethical integrity and compliance with data protection laws (BSA, 2018; NHS Health Research Authority, 2020).</a:t>
          </a:r>
        </a:p>
      </dgm:t>
    </dgm:pt>
    <dgm:pt modelId="{1C87E14F-4A64-44C5-8AC1-6A765BC1F82E}" type="parTrans" cxnId="{B332C14C-D7BE-4B7E-8689-1DC31BE3BF46}">
      <dgm:prSet/>
      <dgm:spPr/>
      <dgm:t>
        <a:bodyPr/>
        <a:lstStyle/>
        <a:p>
          <a:endParaRPr lang="en-GB"/>
        </a:p>
      </dgm:t>
    </dgm:pt>
    <dgm:pt modelId="{B171A2E1-39FC-43D3-992C-83A23A1F058A}" type="sibTrans" cxnId="{B332C14C-D7BE-4B7E-8689-1DC31BE3BF46}">
      <dgm:prSet/>
      <dgm:spPr/>
      <dgm:t>
        <a:bodyPr/>
        <a:lstStyle/>
        <a:p>
          <a:endParaRPr lang="en-GB"/>
        </a:p>
      </dgm:t>
    </dgm:pt>
    <dgm:pt modelId="{512DEDF2-0176-4A8E-9AA0-757D9C4827CA}">
      <dgm:prSet/>
      <dgm:spPr/>
      <dgm:t>
        <a:bodyPr/>
        <a:lstStyle/>
        <a:p>
          <a:pPr>
            <a:lnSpc>
              <a:spcPct val="150000"/>
            </a:lnSpc>
          </a:pPr>
          <a:r>
            <a:rPr lang="en-GB">
              <a:latin typeface="Aptos" panose="020B0004020202020204" pitchFamily="34" charset="0"/>
            </a:rPr>
            <a:t>Use reliable and valid data sources to ensure accuracy.
Critically assess the quality and trustworthiness of all information.
Apply tools such as the CRAAP test to maintain credibility.
Ensures research findings are robust, reproducible, and evidence-based (Aveyard, 2019; Booth, Sutton and Papaioannou, 2016).</a:t>
          </a:r>
        </a:p>
      </dgm:t>
    </dgm:pt>
    <dgm:pt modelId="{F2EAECC5-E1BE-4E56-AD67-DE66901967D6}" type="parTrans" cxnId="{BFAD74B2-34C9-4B48-9B98-9AB060729D66}">
      <dgm:prSet/>
      <dgm:spPr/>
      <dgm:t>
        <a:bodyPr/>
        <a:lstStyle/>
        <a:p>
          <a:endParaRPr lang="en-GB"/>
        </a:p>
      </dgm:t>
    </dgm:pt>
    <dgm:pt modelId="{4275B6E7-257D-4968-B5F3-4FBA4719A51C}" type="sibTrans" cxnId="{BFAD74B2-34C9-4B48-9B98-9AB060729D66}">
      <dgm:prSet/>
      <dgm:spPr/>
      <dgm:t>
        <a:bodyPr/>
        <a:lstStyle/>
        <a:p>
          <a:endParaRPr lang="en-GB"/>
        </a:p>
      </dgm:t>
    </dgm:pt>
    <dgm:pt modelId="{DC9AF998-DE07-431F-AADE-38B7C350565F}">
      <dgm:prSet/>
      <dgm:spPr/>
      <dgm:t>
        <a:bodyPr/>
        <a:lstStyle/>
        <a:p>
          <a:pPr>
            <a:lnSpc>
              <a:spcPct val="150000"/>
            </a:lnSpc>
          </a:pPr>
          <a:r>
            <a:rPr lang="en-GB">
              <a:latin typeface="Aptos" panose="020B0004020202020204" pitchFamily="34" charset="0"/>
            </a:rPr>
            <a:t>Adhere to relevant laws and regulations governing data use and research.</a:t>
          </a:r>
        </a:p>
      </dgm:t>
    </dgm:pt>
    <dgm:pt modelId="{A3FDC175-10D2-4B6D-A1A4-B9D49EF06385}" type="parTrans" cxnId="{96B809D6-F2EE-4938-925F-AA1CAF6ADE62}">
      <dgm:prSet/>
      <dgm:spPr/>
      <dgm:t>
        <a:bodyPr/>
        <a:lstStyle/>
        <a:p>
          <a:endParaRPr lang="en-GB"/>
        </a:p>
      </dgm:t>
    </dgm:pt>
    <dgm:pt modelId="{DD1E7232-3D0B-42E2-8D83-6B48B2C1C86D}" type="sibTrans" cxnId="{96B809D6-F2EE-4938-925F-AA1CAF6ADE62}">
      <dgm:prSet/>
      <dgm:spPr/>
      <dgm:t>
        <a:bodyPr/>
        <a:lstStyle/>
        <a:p>
          <a:endParaRPr lang="en-GB"/>
        </a:p>
      </dgm:t>
    </dgm:pt>
    <dgm:pt modelId="{412CF7DC-C8F7-4179-BF3D-D331BEC7221C}">
      <dgm:prSet/>
      <dgm:spPr/>
      <dgm:t>
        <a:bodyPr/>
        <a:lstStyle/>
        <a:p>
          <a:pPr>
            <a:lnSpc>
              <a:spcPct val="150000"/>
            </a:lnSpc>
          </a:pPr>
          <a:r>
            <a:rPr lang="en-GB">
              <a:latin typeface="Aptos" panose="020B0004020202020204" pitchFamily="34" charset="0"/>
            </a:rPr>
            <a:t>Ensure participants have provided consent before using their data.
Comply with all informed consent agreements when accessing primary or sensitive data.
Guarantees that research is ethical, transparent, and respects participants’ autonomy (BSA, 2018; NHS Health Research Authority, 2020).</a:t>
          </a:r>
        </a:p>
      </dgm:t>
    </dgm:pt>
    <dgm:pt modelId="{E77E7DF0-08AB-4D96-9374-0D874336CB79}" type="parTrans" cxnId="{E95D2000-9B7E-4ACE-A248-26D5E7FEA766}">
      <dgm:prSet/>
      <dgm:spPr/>
      <dgm:t>
        <a:bodyPr/>
        <a:lstStyle/>
        <a:p>
          <a:endParaRPr lang="en-GB"/>
        </a:p>
      </dgm:t>
    </dgm:pt>
    <dgm:pt modelId="{D6E1477F-C959-4BAC-9AA3-69F3AB3C6A6D}" type="sibTrans" cxnId="{E95D2000-9B7E-4ACE-A248-26D5E7FEA766}">
      <dgm:prSet/>
      <dgm:spPr/>
      <dgm:t>
        <a:bodyPr/>
        <a:lstStyle/>
        <a:p>
          <a:endParaRPr lang="en-GB"/>
        </a:p>
      </dgm:t>
    </dgm:pt>
    <dgm:pt modelId="{A7493A39-9269-4D0C-9F34-0C7415EF38FE}">
      <dgm:prSet/>
      <dgm:spPr/>
      <dgm:t>
        <a:bodyPr/>
        <a:lstStyle/>
        <a:p>
          <a:pPr>
            <a:lnSpc>
              <a:spcPct val="150000"/>
            </a:lnSpc>
          </a:pPr>
          <a:r>
            <a:rPr lang="en-GB">
              <a:latin typeface="Aptos" panose="020B0004020202020204" pitchFamily="34" charset="0"/>
            </a:rPr>
            <a:t>
Ensure compliance with GDPR and other national/international data protection policies.
Maintains legal and ethical integrity of the research process (Information Commissioner’s Office, 2021; BSA, 2018).</a:t>
          </a:r>
        </a:p>
      </dgm:t>
    </dgm:pt>
    <dgm:pt modelId="{B00FBFC2-B65F-497B-822F-4DC59D58346C}" type="parTrans" cxnId="{D62ED3B2-E2CF-4FC3-864C-71F7A6A916BE}">
      <dgm:prSet/>
      <dgm:spPr/>
    </dgm:pt>
    <dgm:pt modelId="{3E9A2524-A4B2-40E6-8376-09F08C5EACBC}" type="sibTrans" cxnId="{D62ED3B2-E2CF-4FC3-864C-71F7A6A916BE}">
      <dgm:prSet/>
      <dgm:spPr/>
    </dgm:pt>
    <dgm:pt modelId="{15D7D02F-9806-4A7F-A42D-FE7E83343FED}" type="pres">
      <dgm:prSet presAssocID="{7634D104-7D93-4DC9-AA78-CFDC22EB2B7D}" presName="Name0" presStyleCnt="0">
        <dgm:presLayoutVars>
          <dgm:dir/>
          <dgm:animLvl val="lvl"/>
          <dgm:resizeHandles val="exact"/>
        </dgm:presLayoutVars>
      </dgm:prSet>
      <dgm:spPr/>
    </dgm:pt>
    <dgm:pt modelId="{060EE54F-9EBC-4508-90E0-A71D8106BA41}" type="pres">
      <dgm:prSet presAssocID="{D895BCAF-11FD-4161-9460-71155FF594D5}" presName="composite" presStyleCnt="0"/>
      <dgm:spPr/>
    </dgm:pt>
    <dgm:pt modelId="{5E4A68E9-45A9-433C-B39E-FA98BC5055EA}" type="pres">
      <dgm:prSet presAssocID="{D895BCAF-11FD-4161-9460-71155FF594D5}" presName="parTx" presStyleLbl="alignNode1" presStyleIdx="0" presStyleCnt="5">
        <dgm:presLayoutVars>
          <dgm:chMax val="0"/>
          <dgm:chPref val="0"/>
          <dgm:bulletEnabled val="1"/>
        </dgm:presLayoutVars>
      </dgm:prSet>
      <dgm:spPr/>
    </dgm:pt>
    <dgm:pt modelId="{0916EB88-9427-4C81-A0D0-B1BC4D25BFB9}" type="pres">
      <dgm:prSet presAssocID="{D895BCAF-11FD-4161-9460-71155FF594D5}" presName="desTx" presStyleLbl="alignAccFollowNode1" presStyleIdx="0" presStyleCnt="5">
        <dgm:presLayoutVars>
          <dgm:bulletEnabled val="1"/>
        </dgm:presLayoutVars>
      </dgm:prSet>
      <dgm:spPr/>
    </dgm:pt>
    <dgm:pt modelId="{5A8A88A5-B4F4-47DC-BABC-220E75C6B14E}" type="pres">
      <dgm:prSet presAssocID="{1D8F6D8C-F89F-400C-A451-06369F630D13}" presName="space" presStyleCnt="0"/>
      <dgm:spPr/>
    </dgm:pt>
    <dgm:pt modelId="{ABE7DA82-7937-4173-A683-867FD7F4045F}" type="pres">
      <dgm:prSet presAssocID="{D2F35989-0D76-4707-8851-E95507DAC780}" presName="composite" presStyleCnt="0"/>
      <dgm:spPr/>
    </dgm:pt>
    <dgm:pt modelId="{0F07604D-46A6-4ADA-B996-B9E43A897BA8}" type="pres">
      <dgm:prSet presAssocID="{D2F35989-0D76-4707-8851-E95507DAC780}" presName="parTx" presStyleLbl="alignNode1" presStyleIdx="1" presStyleCnt="5">
        <dgm:presLayoutVars>
          <dgm:chMax val="0"/>
          <dgm:chPref val="0"/>
          <dgm:bulletEnabled val="1"/>
        </dgm:presLayoutVars>
      </dgm:prSet>
      <dgm:spPr/>
    </dgm:pt>
    <dgm:pt modelId="{D9C43641-36D4-43D5-A2FD-0F9F6D2C43BC}" type="pres">
      <dgm:prSet presAssocID="{D2F35989-0D76-4707-8851-E95507DAC780}" presName="desTx" presStyleLbl="alignAccFollowNode1" presStyleIdx="1" presStyleCnt="5">
        <dgm:presLayoutVars>
          <dgm:bulletEnabled val="1"/>
        </dgm:presLayoutVars>
      </dgm:prSet>
      <dgm:spPr/>
    </dgm:pt>
    <dgm:pt modelId="{8D77E0EF-A152-4EF7-A7FC-CC6FAF7F6B43}" type="pres">
      <dgm:prSet presAssocID="{B96B68E4-E5AE-4BB2-A658-AF9FA9406E6C}" presName="space" presStyleCnt="0"/>
      <dgm:spPr/>
    </dgm:pt>
    <dgm:pt modelId="{D3157F63-FA9E-47B4-8FF4-EE6DAC4A8479}" type="pres">
      <dgm:prSet presAssocID="{5674B894-A55E-4559-8EA7-028C3F32E4B2}" presName="composite" presStyleCnt="0"/>
      <dgm:spPr/>
    </dgm:pt>
    <dgm:pt modelId="{594F44BC-596E-4978-9BF4-2F7DCCF10A7F}" type="pres">
      <dgm:prSet presAssocID="{5674B894-A55E-4559-8EA7-028C3F32E4B2}" presName="parTx" presStyleLbl="alignNode1" presStyleIdx="2" presStyleCnt="5">
        <dgm:presLayoutVars>
          <dgm:chMax val="0"/>
          <dgm:chPref val="0"/>
          <dgm:bulletEnabled val="1"/>
        </dgm:presLayoutVars>
      </dgm:prSet>
      <dgm:spPr/>
    </dgm:pt>
    <dgm:pt modelId="{B4F89DDA-DC7D-4C4E-967D-E22B07A05DB1}" type="pres">
      <dgm:prSet presAssocID="{5674B894-A55E-4559-8EA7-028C3F32E4B2}" presName="desTx" presStyleLbl="alignAccFollowNode1" presStyleIdx="2" presStyleCnt="5">
        <dgm:presLayoutVars>
          <dgm:bulletEnabled val="1"/>
        </dgm:presLayoutVars>
      </dgm:prSet>
      <dgm:spPr/>
    </dgm:pt>
    <dgm:pt modelId="{3A60D635-F235-4B71-8993-A550528BFBFB}" type="pres">
      <dgm:prSet presAssocID="{94E754A5-C7C4-42B9-A350-BD17338F58B9}" presName="space" presStyleCnt="0"/>
      <dgm:spPr/>
    </dgm:pt>
    <dgm:pt modelId="{F2A85F99-7F33-46A4-9E84-7525455EC96E}" type="pres">
      <dgm:prSet presAssocID="{DED7677A-A811-4E99-A359-AF267F66CB3B}" presName="composite" presStyleCnt="0"/>
      <dgm:spPr/>
    </dgm:pt>
    <dgm:pt modelId="{4B0BA49E-53FB-4A48-8A53-1DCC68267D3A}" type="pres">
      <dgm:prSet presAssocID="{DED7677A-A811-4E99-A359-AF267F66CB3B}" presName="parTx" presStyleLbl="alignNode1" presStyleIdx="3" presStyleCnt="5" custScaleX="106427" custScaleY="141206" custLinFactNeighborX="5274" custLinFactNeighborY="-3624">
        <dgm:presLayoutVars>
          <dgm:chMax val="0"/>
          <dgm:chPref val="0"/>
          <dgm:bulletEnabled val="1"/>
        </dgm:presLayoutVars>
      </dgm:prSet>
      <dgm:spPr/>
    </dgm:pt>
    <dgm:pt modelId="{0426731F-8A3C-42F1-804E-8F6D7BF28D02}" type="pres">
      <dgm:prSet presAssocID="{DED7677A-A811-4E99-A359-AF267F66CB3B}" presName="desTx" presStyleLbl="alignAccFollowNode1" presStyleIdx="3" presStyleCnt="5" custScaleX="107805" custScaleY="98097" custLinFactNeighborX="4173" custLinFactNeighborY="1238">
        <dgm:presLayoutVars>
          <dgm:bulletEnabled val="1"/>
        </dgm:presLayoutVars>
      </dgm:prSet>
      <dgm:spPr/>
    </dgm:pt>
    <dgm:pt modelId="{D9831088-02B0-4486-B332-594DEF4AFDB7}" type="pres">
      <dgm:prSet presAssocID="{9F4A521B-0AB9-4C49-8D3E-A4522CDAC745}" presName="space" presStyleCnt="0"/>
      <dgm:spPr/>
    </dgm:pt>
    <dgm:pt modelId="{25E0243E-9C63-48E2-BDA9-959F204AC029}" type="pres">
      <dgm:prSet presAssocID="{F5AC5549-675B-444B-905D-2F1D9FDC1779}" presName="composite" presStyleCnt="0"/>
      <dgm:spPr/>
    </dgm:pt>
    <dgm:pt modelId="{527B8B4B-D6E7-4EB7-86F6-6A7D2579D756}" type="pres">
      <dgm:prSet presAssocID="{F5AC5549-675B-444B-905D-2F1D9FDC1779}" presName="parTx" presStyleLbl="alignNode1" presStyleIdx="4" presStyleCnt="5" custLinFactNeighborX="-603" custLinFactNeighborY="-7429">
        <dgm:presLayoutVars>
          <dgm:chMax val="0"/>
          <dgm:chPref val="0"/>
          <dgm:bulletEnabled val="1"/>
        </dgm:presLayoutVars>
      </dgm:prSet>
      <dgm:spPr/>
    </dgm:pt>
    <dgm:pt modelId="{3FAC58C7-563C-4DE2-B8E2-03C2F5DF4A75}" type="pres">
      <dgm:prSet presAssocID="{F5AC5549-675B-444B-905D-2F1D9FDC1779}" presName="desTx" presStyleLbl="alignAccFollowNode1" presStyleIdx="4" presStyleCnt="5" custScaleY="106430" custLinFactNeighborX="2526" custLinFactNeighborY="8267">
        <dgm:presLayoutVars>
          <dgm:bulletEnabled val="1"/>
        </dgm:presLayoutVars>
      </dgm:prSet>
      <dgm:spPr/>
    </dgm:pt>
  </dgm:ptLst>
  <dgm:cxnLst>
    <dgm:cxn modelId="{E95D2000-9B7E-4ACE-A248-26D5E7FEA766}" srcId="{F5AC5549-675B-444B-905D-2F1D9FDC1779}" destId="{412CF7DC-C8F7-4179-BF3D-D331BEC7221C}" srcOrd="1" destOrd="0" parTransId="{E77E7DF0-08AB-4D96-9374-0D874336CB79}" sibTransId="{D6E1477F-C959-4BAC-9AA3-69F3AB3C6A6D}"/>
    <dgm:cxn modelId="{1D40D500-2967-46E3-817F-582348E97C84}" type="presOf" srcId="{D0F2A51A-8617-4842-9A50-755676DCD3DD}" destId="{3FAC58C7-563C-4DE2-B8E2-03C2F5DF4A75}" srcOrd="0" destOrd="0" presId="urn:microsoft.com/office/officeart/2005/8/layout/hList1"/>
    <dgm:cxn modelId="{796EDB14-86A4-4C3B-B275-450A388CFC3F}" type="presOf" srcId="{412CF7DC-C8F7-4179-BF3D-D331BEC7221C}" destId="{3FAC58C7-563C-4DE2-B8E2-03C2F5DF4A75}" srcOrd="0" destOrd="1" presId="urn:microsoft.com/office/officeart/2005/8/layout/hList1"/>
    <dgm:cxn modelId="{DA224816-7824-4FE5-9CD1-3E0ECE27E8A0}" srcId="{D895BCAF-11FD-4161-9460-71155FF594D5}" destId="{DD8DD7F7-557F-4529-952E-996BE575A6CC}" srcOrd="0" destOrd="0" parTransId="{898A7FBF-8854-4FCD-8F75-6D0A10D342BF}" sibTransId="{069345D4-AF17-4BE2-BEFD-16AAD453ED22}"/>
    <dgm:cxn modelId="{56DD223B-87BE-41AD-A123-502044CB6C82}" srcId="{7634D104-7D93-4DC9-AA78-CFDC22EB2B7D}" destId="{D895BCAF-11FD-4161-9460-71155FF594D5}" srcOrd="0" destOrd="0" parTransId="{55C24B6C-44F8-45FA-AE8C-D7852F8F756E}" sibTransId="{1D8F6D8C-F89F-400C-A451-06369F630D13}"/>
    <dgm:cxn modelId="{F047993C-E79F-4DF4-8E68-009CE95435BF}" srcId="{7634D104-7D93-4DC9-AA78-CFDC22EB2B7D}" destId="{F5AC5549-675B-444B-905D-2F1D9FDC1779}" srcOrd="4" destOrd="0" parTransId="{AC81EE79-FF8C-4405-963A-7F74BE293A69}" sibTransId="{B7249222-7390-4801-8772-10BB94E221D0}"/>
    <dgm:cxn modelId="{399E6863-0942-4C7F-888F-D5A856FD2535}" type="presOf" srcId="{D2F35989-0D76-4707-8851-E95507DAC780}" destId="{0F07604D-46A6-4ADA-B996-B9E43A897BA8}" srcOrd="0" destOrd="0" presId="urn:microsoft.com/office/officeart/2005/8/layout/hList1"/>
    <dgm:cxn modelId="{9ED65C65-1C1E-49DC-8FFE-527A52BDA4CB}" type="presOf" srcId="{902443A5-DCC2-4D8C-A627-01DFEFAFCE26}" destId="{D9C43641-36D4-43D5-A2FD-0F9F6D2C43BC}" srcOrd="0" destOrd="1" presId="urn:microsoft.com/office/officeart/2005/8/layout/hList1"/>
    <dgm:cxn modelId="{CB93FF67-74EB-4163-A9EC-6469F10734D1}" srcId="{7634D104-7D93-4DC9-AA78-CFDC22EB2B7D}" destId="{D2F35989-0D76-4707-8851-E95507DAC780}" srcOrd="1" destOrd="0" parTransId="{95A47F62-7CA1-4144-B825-A44483178729}" sibTransId="{B96B68E4-E5AE-4BB2-A658-AF9FA9406E6C}"/>
    <dgm:cxn modelId="{81E8ED4A-9C61-4261-A97E-A8FB2B721822}" srcId="{7634D104-7D93-4DC9-AA78-CFDC22EB2B7D}" destId="{DED7677A-A811-4E99-A359-AF267F66CB3B}" srcOrd="3" destOrd="0" parTransId="{F38EF5EE-50CB-434C-B7C2-9D5B46BCDA7A}" sibTransId="{9F4A521B-0AB9-4C49-8D3E-A4522CDAC745}"/>
    <dgm:cxn modelId="{B332C14C-D7BE-4B7E-8689-1DC31BE3BF46}" srcId="{D2F35989-0D76-4707-8851-E95507DAC780}" destId="{44FF012A-FE18-4E36-8356-61FA9F38B98A}" srcOrd="2" destOrd="0" parTransId="{1C87E14F-4A64-44C5-8AC1-6A765BC1F82E}" sibTransId="{B171A2E1-39FC-43D3-992C-83A23A1F058A}"/>
    <dgm:cxn modelId="{6D02BE70-8BF6-45CD-ABFA-06108FDCC6B4}" type="presOf" srcId="{B8AA4B07-C565-4CCF-9950-02D7DCC3515C}" destId="{D9C43641-36D4-43D5-A2FD-0F9F6D2C43BC}" srcOrd="0" destOrd="0" presId="urn:microsoft.com/office/officeart/2005/8/layout/hList1"/>
    <dgm:cxn modelId="{19EBC273-BE40-4DF3-AD90-42CF3D009016}" srcId="{F5AC5549-675B-444B-905D-2F1D9FDC1779}" destId="{D0F2A51A-8617-4842-9A50-755676DCD3DD}" srcOrd="0" destOrd="0" parTransId="{DD30637A-3765-4C05-B6F7-B47484906C94}" sibTransId="{6BC62B7F-2BE1-4735-BEF1-C93E581063AE}"/>
    <dgm:cxn modelId="{F0545359-5F04-43E8-A631-131816166571}" type="presOf" srcId="{7D9AB477-3831-4B66-903C-51888FAB2EF1}" destId="{0426731F-8A3C-42F1-804E-8F6D7BF28D02}" srcOrd="0" destOrd="0" presId="urn:microsoft.com/office/officeart/2005/8/layout/hList1"/>
    <dgm:cxn modelId="{61287B7A-A00C-416B-AB99-C221F03F3769}" type="presOf" srcId="{A7493A39-9269-4D0C-9F34-0C7415EF38FE}" destId="{0426731F-8A3C-42F1-804E-8F6D7BF28D02}" srcOrd="0" destOrd="2" presId="urn:microsoft.com/office/officeart/2005/8/layout/hList1"/>
    <dgm:cxn modelId="{8A48955A-FF8F-4776-99D4-D2F9A35739B0}" srcId="{7634D104-7D93-4DC9-AA78-CFDC22EB2B7D}" destId="{5674B894-A55E-4559-8EA7-028C3F32E4B2}" srcOrd="2" destOrd="0" parTransId="{CF4D6B60-7FC7-4A9C-B7E1-C22EA10EB381}" sibTransId="{94E754A5-C7C4-42B9-A350-BD17338F58B9}"/>
    <dgm:cxn modelId="{A967537C-9A0E-40FA-B8E3-A9047F06DAE4}" srcId="{D895BCAF-11FD-4161-9460-71155FF594D5}" destId="{10336268-4BAE-4FD6-852D-4C7F9F271BC3}" srcOrd="1" destOrd="0" parTransId="{78B6C91A-E10D-48AD-B859-6396BB214099}" sibTransId="{E3914CFF-7B0C-4032-A299-9C8956580434}"/>
    <dgm:cxn modelId="{374EA17D-23EF-4EF0-8C36-47191AFCD87E}" type="presOf" srcId="{DC9AF998-DE07-431F-AADE-38B7C350565F}" destId="{0426731F-8A3C-42F1-804E-8F6D7BF28D02}" srcOrd="0" destOrd="1" presId="urn:microsoft.com/office/officeart/2005/8/layout/hList1"/>
    <dgm:cxn modelId="{7B9CB682-0DC9-4815-951A-E787AB7CD2FE}" srcId="{5674B894-A55E-4559-8EA7-028C3F32E4B2}" destId="{31ECEDD7-80EF-414B-BE50-B610D566367B}" srcOrd="0" destOrd="0" parTransId="{20439AF7-F994-4596-8154-7958604637F8}" sibTransId="{BAE7B1D5-018D-43C6-93C5-0E28100285E0}"/>
    <dgm:cxn modelId="{9835A583-CD6D-42A3-B319-63D857434C2F}" type="presOf" srcId="{5674B894-A55E-4559-8EA7-028C3F32E4B2}" destId="{594F44BC-596E-4978-9BF4-2F7DCCF10A7F}" srcOrd="0" destOrd="0" presId="urn:microsoft.com/office/officeart/2005/8/layout/hList1"/>
    <dgm:cxn modelId="{1D3A818B-E763-4951-947E-9999C877CA8F}" type="presOf" srcId="{512DEDF2-0176-4A8E-9AA0-757D9C4827CA}" destId="{B4F89DDA-DC7D-4C4E-967D-E22B07A05DB1}" srcOrd="0" destOrd="1" presId="urn:microsoft.com/office/officeart/2005/8/layout/hList1"/>
    <dgm:cxn modelId="{E184228C-34B7-4DE5-A1F8-16A52B0ADA2D}" type="presOf" srcId="{7634D104-7D93-4DC9-AA78-CFDC22EB2B7D}" destId="{15D7D02F-9806-4A7F-A42D-FE7E83343FED}" srcOrd="0" destOrd="0" presId="urn:microsoft.com/office/officeart/2005/8/layout/hList1"/>
    <dgm:cxn modelId="{CE871C95-E134-44C2-8E53-82D42DAB4A6A}" type="presOf" srcId="{10336268-4BAE-4FD6-852D-4C7F9F271BC3}" destId="{0916EB88-9427-4C81-A0D0-B1BC4D25BFB9}" srcOrd="0" destOrd="1" presId="urn:microsoft.com/office/officeart/2005/8/layout/hList1"/>
    <dgm:cxn modelId="{BE8BA2AF-7358-466A-818A-8E689518B231}" type="presOf" srcId="{DED7677A-A811-4E99-A359-AF267F66CB3B}" destId="{4B0BA49E-53FB-4A48-8A53-1DCC68267D3A}" srcOrd="0" destOrd="0" presId="urn:microsoft.com/office/officeart/2005/8/layout/hList1"/>
    <dgm:cxn modelId="{B416FCB1-AE4F-4226-8AB4-A155E144B4DA}" srcId="{D2F35989-0D76-4707-8851-E95507DAC780}" destId="{902443A5-DCC2-4D8C-A627-01DFEFAFCE26}" srcOrd="1" destOrd="0" parTransId="{FCFF7B61-468E-443D-8BC6-CBA212F6D335}" sibTransId="{276392A0-1998-4FEF-9515-794081870AD7}"/>
    <dgm:cxn modelId="{BFAD74B2-34C9-4B48-9B98-9AB060729D66}" srcId="{5674B894-A55E-4559-8EA7-028C3F32E4B2}" destId="{512DEDF2-0176-4A8E-9AA0-757D9C4827CA}" srcOrd="1" destOrd="0" parTransId="{F2EAECC5-E1BE-4E56-AD67-DE66901967D6}" sibTransId="{4275B6E7-257D-4968-B5F3-4FBA4719A51C}"/>
    <dgm:cxn modelId="{D62ED3B2-E2CF-4FC3-864C-71F7A6A916BE}" srcId="{DED7677A-A811-4E99-A359-AF267F66CB3B}" destId="{A7493A39-9269-4D0C-9F34-0C7415EF38FE}" srcOrd="2" destOrd="0" parTransId="{B00FBFC2-B65F-497B-822F-4DC59D58346C}" sibTransId="{3E9A2524-A4B2-40E6-8376-09F08C5EACBC}"/>
    <dgm:cxn modelId="{4A6AD1C3-5816-4962-BB6E-DFFD66292B92}" type="presOf" srcId="{F5AC5549-675B-444B-905D-2F1D9FDC1779}" destId="{527B8B4B-D6E7-4EB7-86F6-6A7D2579D756}" srcOrd="0" destOrd="0" presId="urn:microsoft.com/office/officeart/2005/8/layout/hList1"/>
    <dgm:cxn modelId="{0347E8C6-F21E-4852-9890-A625EBCAFF9A}" type="presOf" srcId="{D895BCAF-11FD-4161-9460-71155FF594D5}" destId="{5E4A68E9-45A9-433C-B39E-FA98BC5055EA}" srcOrd="0" destOrd="0" presId="urn:microsoft.com/office/officeart/2005/8/layout/hList1"/>
    <dgm:cxn modelId="{96B809D6-F2EE-4938-925F-AA1CAF6ADE62}" srcId="{DED7677A-A811-4E99-A359-AF267F66CB3B}" destId="{DC9AF998-DE07-431F-AADE-38B7C350565F}" srcOrd="1" destOrd="0" parTransId="{A3FDC175-10D2-4B6D-A1A4-B9D49EF06385}" sibTransId="{DD1E7232-3D0B-42E2-8D83-6B48B2C1C86D}"/>
    <dgm:cxn modelId="{69B898E8-8AC1-49BC-ACDC-C481A18F83F5}" type="presOf" srcId="{DD8DD7F7-557F-4529-952E-996BE575A6CC}" destId="{0916EB88-9427-4C81-A0D0-B1BC4D25BFB9}" srcOrd="0" destOrd="0" presId="urn:microsoft.com/office/officeart/2005/8/layout/hList1"/>
    <dgm:cxn modelId="{62CB3FEB-664D-43E7-89EF-51AA5774E707}" srcId="{DED7677A-A811-4E99-A359-AF267F66CB3B}" destId="{7D9AB477-3831-4B66-903C-51888FAB2EF1}" srcOrd="0" destOrd="0" parTransId="{1C5BF6D7-9EA3-4496-9259-CCFB570AB9BC}" sibTransId="{13866862-3E71-49D6-8E54-5828906B8520}"/>
    <dgm:cxn modelId="{0A2534EC-6610-4E0A-958E-705918D5715B}" type="presOf" srcId="{44FF012A-FE18-4E36-8356-61FA9F38B98A}" destId="{D9C43641-36D4-43D5-A2FD-0F9F6D2C43BC}" srcOrd="0" destOrd="2" presId="urn:microsoft.com/office/officeart/2005/8/layout/hList1"/>
    <dgm:cxn modelId="{6BE8E3EC-C2A7-498E-A235-A16E4F8BFFEE}" type="presOf" srcId="{31ECEDD7-80EF-414B-BE50-B610D566367B}" destId="{B4F89DDA-DC7D-4C4E-967D-E22B07A05DB1}" srcOrd="0" destOrd="0" presId="urn:microsoft.com/office/officeart/2005/8/layout/hList1"/>
    <dgm:cxn modelId="{54E1D1F9-2D03-4A36-ADEB-7EC8EB0F85F9}" srcId="{D2F35989-0D76-4707-8851-E95507DAC780}" destId="{B8AA4B07-C565-4CCF-9950-02D7DCC3515C}" srcOrd="0" destOrd="0" parTransId="{7CE0ECD8-FF60-40FC-834A-69289342858B}" sibTransId="{BA44317E-0141-443D-B3B3-5D8A23F7257D}"/>
    <dgm:cxn modelId="{D2721AD5-678A-4F64-B8C6-E3935F754701}" type="presParOf" srcId="{15D7D02F-9806-4A7F-A42D-FE7E83343FED}" destId="{060EE54F-9EBC-4508-90E0-A71D8106BA41}" srcOrd="0" destOrd="0" presId="urn:microsoft.com/office/officeart/2005/8/layout/hList1"/>
    <dgm:cxn modelId="{EEF4B7C3-F2D6-42E9-91ED-4BC363CA8724}" type="presParOf" srcId="{060EE54F-9EBC-4508-90E0-A71D8106BA41}" destId="{5E4A68E9-45A9-433C-B39E-FA98BC5055EA}" srcOrd="0" destOrd="0" presId="urn:microsoft.com/office/officeart/2005/8/layout/hList1"/>
    <dgm:cxn modelId="{7C7A81B5-FB86-439D-BAB5-BF9CACFD41A4}" type="presParOf" srcId="{060EE54F-9EBC-4508-90E0-A71D8106BA41}" destId="{0916EB88-9427-4C81-A0D0-B1BC4D25BFB9}" srcOrd="1" destOrd="0" presId="urn:microsoft.com/office/officeart/2005/8/layout/hList1"/>
    <dgm:cxn modelId="{AE1E55F4-BCBA-4F89-BEEC-DC69CC502B51}" type="presParOf" srcId="{15D7D02F-9806-4A7F-A42D-FE7E83343FED}" destId="{5A8A88A5-B4F4-47DC-BABC-220E75C6B14E}" srcOrd="1" destOrd="0" presId="urn:microsoft.com/office/officeart/2005/8/layout/hList1"/>
    <dgm:cxn modelId="{8CD2570A-1DB5-4713-8ECD-C3D1706E5888}" type="presParOf" srcId="{15D7D02F-9806-4A7F-A42D-FE7E83343FED}" destId="{ABE7DA82-7937-4173-A683-867FD7F4045F}" srcOrd="2" destOrd="0" presId="urn:microsoft.com/office/officeart/2005/8/layout/hList1"/>
    <dgm:cxn modelId="{1ED1A475-0814-4B15-8A8C-467C10F19746}" type="presParOf" srcId="{ABE7DA82-7937-4173-A683-867FD7F4045F}" destId="{0F07604D-46A6-4ADA-B996-B9E43A897BA8}" srcOrd="0" destOrd="0" presId="urn:microsoft.com/office/officeart/2005/8/layout/hList1"/>
    <dgm:cxn modelId="{00619DFD-61E0-4F5F-BDA6-AAFE0C663138}" type="presParOf" srcId="{ABE7DA82-7937-4173-A683-867FD7F4045F}" destId="{D9C43641-36D4-43D5-A2FD-0F9F6D2C43BC}" srcOrd="1" destOrd="0" presId="urn:microsoft.com/office/officeart/2005/8/layout/hList1"/>
    <dgm:cxn modelId="{9EC54B59-14EE-4AAC-BEB8-245DACFF5D57}" type="presParOf" srcId="{15D7D02F-9806-4A7F-A42D-FE7E83343FED}" destId="{8D77E0EF-A152-4EF7-A7FC-CC6FAF7F6B43}" srcOrd="3" destOrd="0" presId="urn:microsoft.com/office/officeart/2005/8/layout/hList1"/>
    <dgm:cxn modelId="{C415C117-14BC-4407-B987-447450AB1CBE}" type="presParOf" srcId="{15D7D02F-9806-4A7F-A42D-FE7E83343FED}" destId="{D3157F63-FA9E-47B4-8FF4-EE6DAC4A8479}" srcOrd="4" destOrd="0" presId="urn:microsoft.com/office/officeart/2005/8/layout/hList1"/>
    <dgm:cxn modelId="{19B97481-E48F-43F3-A077-97AA9B37C348}" type="presParOf" srcId="{D3157F63-FA9E-47B4-8FF4-EE6DAC4A8479}" destId="{594F44BC-596E-4978-9BF4-2F7DCCF10A7F}" srcOrd="0" destOrd="0" presId="urn:microsoft.com/office/officeart/2005/8/layout/hList1"/>
    <dgm:cxn modelId="{B1886AD7-B1E8-4153-BF70-4C17CC2F5B8C}" type="presParOf" srcId="{D3157F63-FA9E-47B4-8FF4-EE6DAC4A8479}" destId="{B4F89DDA-DC7D-4C4E-967D-E22B07A05DB1}" srcOrd="1" destOrd="0" presId="urn:microsoft.com/office/officeart/2005/8/layout/hList1"/>
    <dgm:cxn modelId="{34069BD4-39E5-46B5-812D-488EA03F16BC}" type="presParOf" srcId="{15D7D02F-9806-4A7F-A42D-FE7E83343FED}" destId="{3A60D635-F235-4B71-8993-A550528BFBFB}" srcOrd="5" destOrd="0" presId="urn:microsoft.com/office/officeart/2005/8/layout/hList1"/>
    <dgm:cxn modelId="{F67628F1-777E-458A-ABC5-61A0314751DF}" type="presParOf" srcId="{15D7D02F-9806-4A7F-A42D-FE7E83343FED}" destId="{F2A85F99-7F33-46A4-9E84-7525455EC96E}" srcOrd="6" destOrd="0" presId="urn:microsoft.com/office/officeart/2005/8/layout/hList1"/>
    <dgm:cxn modelId="{3170DE25-156A-4863-BC4C-8C91C9A5D814}" type="presParOf" srcId="{F2A85F99-7F33-46A4-9E84-7525455EC96E}" destId="{4B0BA49E-53FB-4A48-8A53-1DCC68267D3A}" srcOrd="0" destOrd="0" presId="urn:microsoft.com/office/officeart/2005/8/layout/hList1"/>
    <dgm:cxn modelId="{70DC27C0-6B04-49DC-9116-F0D087BAE3E5}" type="presParOf" srcId="{F2A85F99-7F33-46A4-9E84-7525455EC96E}" destId="{0426731F-8A3C-42F1-804E-8F6D7BF28D02}" srcOrd="1" destOrd="0" presId="urn:microsoft.com/office/officeart/2005/8/layout/hList1"/>
    <dgm:cxn modelId="{0A3D3E68-E253-4BBB-93FE-D0529826BEE8}" type="presParOf" srcId="{15D7D02F-9806-4A7F-A42D-FE7E83343FED}" destId="{D9831088-02B0-4486-B332-594DEF4AFDB7}" srcOrd="7" destOrd="0" presId="urn:microsoft.com/office/officeart/2005/8/layout/hList1"/>
    <dgm:cxn modelId="{59A3EAA2-7F04-462A-B61D-E06E4901F47A}" type="presParOf" srcId="{15D7D02F-9806-4A7F-A42D-FE7E83343FED}" destId="{25E0243E-9C63-48E2-BDA9-959F204AC029}" srcOrd="8" destOrd="0" presId="urn:microsoft.com/office/officeart/2005/8/layout/hList1"/>
    <dgm:cxn modelId="{18B45B99-086B-4028-98E6-CEEE9E130CCE}" type="presParOf" srcId="{25E0243E-9C63-48E2-BDA9-959F204AC029}" destId="{527B8B4B-D6E7-4EB7-86F6-6A7D2579D756}" srcOrd="0" destOrd="0" presId="urn:microsoft.com/office/officeart/2005/8/layout/hList1"/>
    <dgm:cxn modelId="{BCF933E7-95C5-4DB2-AAEE-46F81520A954}" type="presParOf" srcId="{25E0243E-9C63-48E2-BDA9-959F204AC029}" destId="{3FAC58C7-563C-4DE2-B8E2-03C2F5DF4A75}" srcOrd="1" destOrd="0" presId="urn:microsoft.com/office/officeart/2005/8/layout/hList1"/>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E4A68E9-45A9-433C-B39E-FA98BC5055EA}">
      <dsp:nvSpPr>
        <dsp:cNvPr id="0" name=""/>
        <dsp:cNvSpPr/>
      </dsp:nvSpPr>
      <dsp:spPr>
        <a:xfrm>
          <a:off x="3020" y="177183"/>
          <a:ext cx="1579882" cy="420397"/>
        </a:xfrm>
        <a:prstGeom prst="rect">
          <a:avLst/>
        </a:prstGeom>
        <a:solidFill>
          <a:srgbClr val="FFC00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Respect for Intellectual Property:</a:t>
          </a:r>
          <a:endParaRPr lang="en-GB" sz="800" kern="1200">
            <a:latin typeface="Aptos" panose="020B0004020202020204" pitchFamily="34" charset="0"/>
          </a:endParaRPr>
        </a:p>
      </dsp:txBody>
      <dsp:txXfrm>
        <a:off x="3020" y="177183"/>
        <a:ext cx="1579882" cy="420397"/>
      </dsp:txXfrm>
    </dsp:sp>
    <dsp:sp modelId="{0916EB88-9427-4C81-A0D0-B1BC4D25BFB9}">
      <dsp:nvSpPr>
        <dsp:cNvPr id="0" name=""/>
        <dsp:cNvSpPr/>
      </dsp:nvSpPr>
      <dsp:spPr>
        <a:xfrm>
          <a:off x="3020" y="597581"/>
          <a:ext cx="1579882" cy="34257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endParaRPr lang="en-GB" sz="800" kern="1200" dirty="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dirty="0">
              <a:latin typeface="Aptos" panose="020B0004020202020204" pitchFamily="34" charset="0"/>
            </a:rPr>
            <a:t>Properly cite and reference all original sources to acknowledge authorship.
Use a consistent Harvard referencing style throughout your work.
Avoid plagiarism by paraphrasing carefully and not copying text directly.
Ensures academic integrity, credibility, and transparency in research (Aveyard, 2019; Pears and Shields, 2019).</a:t>
          </a:r>
        </a:p>
      </dsp:txBody>
      <dsp:txXfrm>
        <a:off x="3020" y="597581"/>
        <a:ext cx="1579882" cy="3425760"/>
      </dsp:txXfrm>
    </dsp:sp>
    <dsp:sp modelId="{0F07604D-46A6-4ADA-B996-B9E43A897BA8}">
      <dsp:nvSpPr>
        <dsp:cNvPr id="0" name=""/>
        <dsp:cNvSpPr/>
      </dsp:nvSpPr>
      <dsp:spPr>
        <a:xfrm>
          <a:off x="1804085" y="177183"/>
          <a:ext cx="1579882" cy="420397"/>
        </a:xfrm>
        <a:prstGeom prst="rect">
          <a:avLst/>
        </a:prstGeom>
        <a:solidFill>
          <a:srgbClr val="92D05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Privacy and Confidentiality:</a:t>
          </a:r>
          <a:endParaRPr lang="en-GB" sz="800" kern="1200">
            <a:latin typeface="Aptos" panose="020B0004020202020204" pitchFamily="34" charset="0"/>
          </a:endParaRPr>
        </a:p>
      </dsp:txBody>
      <dsp:txXfrm>
        <a:off x="1804085" y="177183"/>
        <a:ext cx="1579882" cy="420397"/>
      </dsp:txXfrm>
    </dsp:sp>
    <dsp:sp modelId="{D9C43641-36D4-43D5-A2FD-0F9F6D2C43BC}">
      <dsp:nvSpPr>
        <dsp:cNvPr id="0" name=""/>
        <dsp:cNvSpPr/>
      </dsp:nvSpPr>
      <dsp:spPr>
        <a:xfrm>
          <a:off x="1804085" y="597581"/>
          <a:ext cx="1579882" cy="34257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Protect the privacy of individuals when using sensitive or identifiable data.
Ensure all information is anonymised where necessary.
Follow ethical guidelines to maintain confidentiality and trust in research.</a:t>
          </a: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
Essential for ethical integrity and compliance with data protection laws (BSA, 2018; NHS Health Research Authority, 2020).</a:t>
          </a:r>
        </a:p>
      </dsp:txBody>
      <dsp:txXfrm>
        <a:off x="1804085" y="597581"/>
        <a:ext cx="1579882" cy="3425760"/>
      </dsp:txXfrm>
    </dsp:sp>
    <dsp:sp modelId="{594F44BC-596E-4978-9BF4-2F7DCCF10A7F}">
      <dsp:nvSpPr>
        <dsp:cNvPr id="0" name=""/>
        <dsp:cNvSpPr/>
      </dsp:nvSpPr>
      <dsp:spPr>
        <a:xfrm>
          <a:off x="3605151" y="177183"/>
          <a:ext cx="1579882" cy="420397"/>
        </a:xfrm>
        <a:prstGeom prst="rect">
          <a:avLst/>
        </a:prstGeom>
        <a:solidFill>
          <a:srgbClr val="EE0000"/>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a:latin typeface="Aptos" panose="020B0004020202020204" pitchFamily="34" charset="0"/>
            </a:rPr>
            <a:t>Data Integrity and Reliability:</a:t>
          </a:r>
          <a:r>
            <a:rPr lang="en-GB" sz="800" kern="1200">
              <a:latin typeface="Aptos" panose="020B0004020202020204" pitchFamily="34" charset="0"/>
            </a:rPr>
            <a:t> </a:t>
          </a:r>
        </a:p>
      </dsp:txBody>
      <dsp:txXfrm>
        <a:off x="3605151" y="177183"/>
        <a:ext cx="1579882" cy="420397"/>
      </dsp:txXfrm>
    </dsp:sp>
    <dsp:sp modelId="{B4F89DDA-DC7D-4C4E-967D-E22B07A05DB1}">
      <dsp:nvSpPr>
        <dsp:cNvPr id="0" name=""/>
        <dsp:cNvSpPr/>
      </dsp:nvSpPr>
      <dsp:spPr>
        <a:xfrm>
          <a:off x="3605151" y="597581"/>
          <a:ext cx="1579882" cy="3425760"/>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Use reliable and valid data sources to ensure accuracy.
Critically assess the quality and trustworthiness of all information.
Apply tools such as the CRAAP test to maintain credibility.
Ensures research findings are robust, reproducible, and evidence-based (Aveyard, 2019; Booth, Sutton and Papaioannou, 2016).</a:t>
          </a:r>
        </a:p>
      </dsp:txBody>
      <dsp:txXfrm>
        <a:off x="3605151" y="597581"/>
        <a:ext cx="1579882" cy="3425760"/>
      </dsp:txXfrm>
    </dsp:sp>
    <dsp:sp modelId="{4B0BA49E-53FB-4A48-8A53-1DCC68267D3A}">
      <dsp:nvSpPr>
        <dsp:cNvPr id="0" name=""/>
        <dsp:cNvSpPr/>
      </dsp:nvSpPr>
      <dsp:spPr>
        <a:xfrm>
          <a:off x="5500425" y="134939"/>
          <a:ext cx="1681421" cy="593626"/>
        </a:xfrm>
        <a:prstGeom prst="rect">
          <a:avLst/>
        </a:prstGeom>
        <a:solidFill>
          <a:srgbClr val="99CCFF"/>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Compliance with Laws and Regulations:</a:t>
          </a:r>
          <a:endParaRPr lang="en-GB" sz="800" kern="1200" dirty="0">
            <a:latin typeface="Aptos" panose="020B0004020202020204" pitchFamily="34" charset="0"/>
          </a:endParaRPr>
        </a:p>
      </dsp:txBody>
      <dsp:txXfrm>
        <a:off x="5500425" y="134939"/>
        <a:ext cx="1681421" cy="593626"/>
      </dsp:txXfrm>
    </dsp:sp>
    <dsp:sp modelId="{0426731F-8A3C-42F1-804E-8F6D7BF28D02}">
      <dsp:nvSpPr>
        <dsp:cNvPr id="0" name=""/>
        <dsp:cNvSpPr/>
      </dsp:nvSpPr>
      <dsp:spPr>
        <a:xfrm>
          <a:off x="5472145" y="732193"/>
          <a:ext cx="1703191" cy="3360567"/>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Adhere to relevant laws and regulations governing data use and research.</a:t>
          </a: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
Ensure compliance with GDPR and other national/international data protection policies.
Maintains legal and ethical integrity of the research process (Information Commissioner’s Office, 2021; BSA, 2018).</a:t>
          </a:r>
        </a:p>
      </dsp:txBody>
      <dsp:txXfrm>
        <a:off x="5472145" y="732193"/>
        <a:ext cx="1703191" cy="3360567"/>
      </dsp:txXfrm>
    </dsp:sp>
    <dsp:sp modelId="{527B8B4B-D6E7-4EB7-86F6-6A7D2579D756}">
      <dsp:nvSpPr>
        <dsp:cNvPr id="0" name=""/>
        <dsp:cNvSpPr/>
      </dsp:nvSpPr>
      <dsp:spPr>
        <a:xfrm>
          <a:off x="7321065" y="90883"/>
          <a:ext cx="1579882" cy="420397"/>
        </a:xfrm>
        <a:prstGeom prst="rect">
          <a:avLst/>
        </a:prstGeom>
        <a:solidFill>
          <a:srgbClr val="EC14BE"/>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6896" tIns="32512" rIns="56896" bIns="32512" numCol="1" spcCol="1270" anchor="ctr" anchorCtr="0">
          <a:noAutofit/>
        </a:bodyPr>
        <a:lstStyle/>
        <a:p>
          <a:pPr marL="0" lvl="0" indent="0" algn="ctr" defTabSz="355600">
            <a:lnSpc>
              <a:spcPct val="150000"/>
            </a:lnSpc>
            <a:spcBef>
              <a:spcPct val="0"/>
            </a:spcBef>
            <a:spcAft>
              <a:spcPct val="35000"/>
            </a:spcAft>
            <a:buNone/>
          </a:pPr>
          <a:r>
            <a:rPr lang="en-GB" sz="800" b="1" i="0" kern="1200" dirty="0">
              <a:latin typeface="Aptos" panose="020B0004020202020204" pitchFamily="34" charset="0"/>
            </a:rPr>
            <a:t>Informed Consent</a:t>
          </a:r>
          <a:endParaRPr lang="en-GB" sz="800" kern="1200" dirty="0">
            <a:latin typeface="Aptos" panose="020B0004020202020204" pitchFamily="34" charset="0"/>
          </a:endParaRPr>
        </a:p>
      </dsp:txBody>
      <dsp:txXfrm>
        <a:off x="7321065" y="90883"/>
        <a:ext cx="1579882" cy="420397"/>
      </dsp:txXfrm>
    </dsp:sp>
    <dsp:sp modelId="{3FAC58C7-563C-4DE2-B8E2-03C2F5DF4A75}">
      <dsp:nvSpPr>
        <dsp:cNvPr id="0" name=""/>
        <dsp:cNvSpPr/>
      </dsp:nvSpPr>
      <dsp:spPr>
        <a:xfrm>
          <a:off x="7333612" y="554488"/>
          <a:ext cx="1579882" cy="3646036"/>
        </a:xfrm>
        <a:prstGeom prst="rect">
          <a:avLst/>
        </a:prstGeom>
        <a:solidFill>
          <a:schemeClr val="accent1">
            <a:alpha val="90000"/>
            <a:tint val="40000"/>
            <a:hueOff val="0"/>
            <a:satOff val="0"/>
            <a:lumOff val="0"/>
            <a:alphaOff val="0"/>
          </a:schemeClr>
        </a:solidFill>
        <a:ln w="12700" cap="flat" cmpd="sng" algn="ctr">
          <a:solidFill>
            <a:schemeClr val="accent1">
              <a:alpha val="90000"/>
              <a:tint val="4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2672" tIns="42672" rIns="56896" bIns="64008" numCol="1" spcCol="1270" anchor="t" anchorCtr="0">
          <a:noAutofit/>
        </a:bodyPr>
        <a:lstStyle/>
        <a:p>
          <a:pPr marL="57150" lvl="1" indent="-57150" algn="l" defTabSz="355600">
            <a:lnSpc>
              <a:spcPct val="150000"/>
            </a:lnSpc>
            <a:spcBef>
              <a:spcPct val="0"/>
            </a:spcBef>
            <a:spcAft>
              <a:spcPct val="15000"/>
            </a:spcAft>
            <a:buChar char="•"/>
          </a:pPr>
          <a:endParaRPr lang="en-GB" sz="800" kern="1200">
            <a:latin typeface="Aptos" panose="020B0004020202020204" pitchFamily="34" charset="0"/>
          </a:endParaRPr>
        </a:p>
        <a:p>
          <a:pPr marL="57150" lvl="1" indent="-57150" algn="l" defTabSz="355600">
            <a:lnSpc>
              <a:spcPct val="150000"/>
            </a:lnSpc>
            <a:spcBef>
              <a:spcPct val="0"/>
            </a:spcBef>
            <a:spcAft>
              <a:spcPct val="15000"/>
            </a:spcAft>
            <a:buChar char="•"/>
          </a:pPr>
          <a:r>
            <a:rPr lang="en-GB" sz="800" kern="1200">
              <a:latin typeface="Aptos" panose="020B0004020202020204" pitchFamily="34" charset="0"/>
            </a:rPr>
            <a:t>Ensure participants have provided consent before using their data.
Comply with all informed consent agreements when accessing primary or sensitive data.
Guarantees that research is ethical, transparent, and respects participants’ autonomy (BSA, 2018; NHS Health Research Authority, 2020).</a:t>
          </a:r>
        </a:p>
      </dsp:txBody>
      <dsp:txXfrm>
        <a:off x="7333612" y="554488"/>
        <a:ext cx="1579882" cy="3646036"/>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0" ma:contentTypeDescription="Create a new document." ma:contentTypeScope="" ma:versionID="d9e08093bee43b4cdd2c73266ff4518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8af7cb542855aad5966b8ab019b83b77"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BillingMetadata" ma:index="17" nillable="true" ma:displayName="MediaServiceBillingMetadata" ma:hidden="true" ma:internalName="MediaServiceBilling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3.xml><?xml version="1.0" encoding="utf-8"?>
<ds:datastoreItem xmlns:ds="http://schemas.openxmlformats.org/officeDocument/2006/customXml" ds:itemID="{2871A78D-53D7-4B97-80B8-7F951E2CFAD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Education brochure</Template>
  <TotalTime>2671</TotalTime>
  <Pages>5</Pages>
  <Words>1070</Words>
  <Characters>6105</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Zobia Riaz (2226851)</cp:lastModifiedBy>
  <cp:revision>59</cp:revision>
  <dcterms:created xsi:type="dcterms:W3CDTF">2025-09-08T10:42:00Z</dcterms:created>
  <dcterms:modified xsi:type="dcterms:W3CDTF">2025-11-26T22:47:00Z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