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43F3B5" w14:textId="77777777" w:rsidR="00CF3C7A" w:rsidRDefault="00CF3C7A" w:rsidP="00CF3C7A">
      <w:pPr>
        <w:spacing w:line="360" w:lineRule="auto"/>
        <w:jc w:val="center"/>
        <w:rPr>
          <w:rFonts w:ascii="Arial" w:eastAsia="Aptos" w:hAnsi="Arial" w:cs="Arial"/>
        </w:rPr>
      </w:pPr>
      <w:r>
        <w:rPr>
          <w:rFonts w:ascii="Arial" w:eastAsia="Aptos" w:hAnsi="Arial" w:cs="Arial"/>
          <w:sz w:val="44"/>
          <w:szCs w:val="44"/>
        </w:rPr>
        <w:t>The role of Corporate social responsibility in promoting sustainability within the hospitality industry</w:t>
      </w:r>
      <w:r>
        <w:rPr>
          <w:rFonts w:ascii="Arial" w:eastAsia="Aptos" w:hAnsi="Arial" w:cs="Arial"/>
        </w:rPr>
        <w:t>.</w:t>
      </w:r>
    </w:p>
    <w:p w14:paraId="01961BFD" w14:textId="46A4EBEF" w:rsidR="00CF3C7A" w:rsidRDefault="00CF3C7A" w:rsidP="00CF3C7A">
      <w:pPr>
        <w:spacing w:line="360" w:lineRule="auto"/>
        <w:jc w:val="center"/>
        <w:rPr>
          <w:rFonts w:ascii="Arial" w:eastAsia="Aptos" w:hAnsi="Arial" w:cs="Arial"/>
          <w:sz w:val="40"/>
          <w:szCs w:val="40"/>
        </w:rPr>
      </w:pPr>
      <w:r>
        <w:rPr>
          <w:rFonts w:ascii="Arial" w:eastAsia="Aptos" w:hAnsi="Arial" w:cs="Arial"/>
          <w:sz w:val="40"/>
          <w:szCs w:val="40"/>
        </w:rPr>
        <w:t>Module title: Sustainable Hospitality &amp; Tourism Management</w:t>
      </w:r>
    </w:p>
    <w:p w14:paraId="76BC6963" w14:textId="77777777" w:rsidR="00CF3C7A" w:rsidRDefault="00CF3C7A" w:rsidP="00CF3C7A">
      <w:pPr>
        <w:spacing w:line="360" w:lineRule="auto"/>
        <w:jc w:val="center"/>
        <w:rPr>
          <w:rFonts w:ascii="Arial" w:eastAsia="Aptos" w:hAnsi="Arial" w:cs="Arial"/>
          <w:sz w:val="40"/>
          <w:szCs w:val="40"/>
        </w:rPr>
      </w:pPr>
      <w:r>
        <w:rPr>
          <w:rFonts w:ascii="Arial" w:eastAsia="Aptos" w:hAnsi="Arial" w:cs="Arial"/>
          <w:sz w:val="40"/>
          <w:szCs w:val="40"/>
        </w:rPr>
        <w:t>BMIH5006</w:t>
      </w:r>
    </w:p>
    <w:p w14:paraId="52E93354" w14:textId="43BB0FE7" w:rsidR="00CF3C7A" w:rsidRDefault="00CF3C7A" w:rsidP="00CF3C7A">
      <w:pPr>
        <w:spacing w:line="360" w:lineRule="auto"/>
        <w:jc w:val="center"/>
        <w:rPr>
          <w:rFonts w:ascii="Arial" w:eastAsia="Aptos" w:hAnsi="Arial" w:cs="Arial"/>
          <w:sz w:val="40"/>
          <w:szCs w:val="40"/>
        </w:rPr>
      </w:pPr>
      <w:r>
        <w:rPr>
          <w:rFonts w:ascii="Arial" w:eastAsia="Aptos" w:hAnsi="Arial" w:cs="Arial"/>
          <w:sz w:val="40"/>
          <w:szCs w:val="40"/>
        </w:rPr>
        <w:t>Student: Cosmin Ionut Lazea</w:t>
      </w:r>
    </w:p>
    <w:p w14:paraId="57630FC8" w14:textId="7DE49E96" w:rsidR="00CF3C7A" w:rsidRDefault="00CF3C7A" w:rsidP="00CF3C7A">
      <w:pPr>
        <w:spacing w:line="360" w:lineRule="auto"/>
        <w:jc w:val="center"/>
        <w:rPr>
          <w:rFonts w:ascii="Arial" w:eastAsia="Aptos" w:hAnsi="Arial" w:cs="Arial"/>
          <w:sz w:val="40"/>
          <w:szCs w:val="40"/>
        </w:rPr>
      </w:pPr>
      <w:r>
        <w:rPr>
          <w:rFonts w:ascii="Arial" w:eastAsia="Aptos" w:hAnsi="Arial" w:cs="Arial"/>
          <w:sz w:val="40"/>
          <w:szCs w:val="40"/>
        </w:rPr>
        <w:t>Student ID: 2206422</w:t>
      </w:r>
    </w:p>
    <w:p w14:paraId="338A4A7B" w14:textId="77777777" w:rsidR="00CF3C7A" w:rsidRDefault="00CF3C7A" w:rsidP="00CF3C7A">
      <w:pPr>
        <w:jc w:val="center"/>
        <w:rPr>
          <w:rFonts w:ascii="Arial" w:eastAsia="Aptos" w:hAnsi="Arial" w:cs="Arial"/>
          <w:kern w:val="0"/>
          <w:sz w:val="40"/>
          <w:szCs w:val="40"/>
          <w14:ligatures w14:val="none"/>
        </w:rPr>
      </w:pPr>
      <w:r>
        <w:rPr>
          <w:rFonts w:ascii="Arial" w:eastAsia="Aptos" w:hAnsi="Arial" w:cs="Arial"/>
          <w:kern w:val="0"/>
          <w:sz w:val="40"/>
          <w:szCs w:val="40"/>
          <w14:ligatures w14:val="none"/>
        </w:rPr>
        <w:t>Lecturer name: Julia Ault</w:t>
      </w:r>
    </w:p>
    <w:p w14:paraId="48EBC8AB" w14:textId="3F6744E2" w:rsidR="00221138" w:rsidRDefault="00CF3C7A" w:rsidP="00CF3C7A">
      <w:pPr>
        <w:jc w:val="center"/>
        <w:rPr>
          <w:rFonts w:ascii="Arial" w:eastAsia="Aptos" w:hAnsi="Arial" w:cs="Arial"/>
          <w:kern w:val="0"/>
          <w:sz w:val="40"/>
          <w:szCs w:val="40"/>
          <w14:ligatures w14:val="none"/>
        </w:rPr>
      </w:pPr>
      <w:r>
        <w:rPr>
          <w:rFonts w:ascii="Arial" w:eastAsia="Aptos" w:hAnsi="Arial" w:cs="Arial"/>
          <w:kern w:val="0"/>
          <w:sz w:val="40"/>
          <w:szCs w:val="40"/>
          <w14:ligatures w14:val="none"/>
        </w:rPr>
        <w:t>Word Count: 1840</w:t>
      </w:r>
    </w:p>
    <w:p w14:paraId="2BFAE30E" w14:textId="77777777" w:rsidR="00CF3C7A" w:rsidRDefault="00CF3C7A" w:rsidP="00CF3C7A">
      <w:pPr>
        <w:jc w:val="center"/>
        <w:rPr>
          <w:rFonts w:ascii="Arial" w:eastAsia="Aptos" w:hAnsi="Arial" w:cs="Arial"/>
          <w:kern w:val="0"/>
          <w:sz w:val="40"/>
          <w:szCs w:val="40"/>
          <w14:ligatures w14:val="none"/>
        </w:rPr>
      </w:pPr>
    </w:p>
    <w:p w14:paraId="44ECC87A" w14:textId="77777777" w:rsidR="00CF3C7A" w:rsidRDefault="00CF3C7A" w:rsidP="00CF3C7A">
      <w:pPr>
        <w:jc w:val="center"/>
        <w:rPr>
          <w:rFonts w:ascii="Arial" w:eastAsia="Aptos" w:hAnsi="Arial" w:cs="Arial"/>
          <w:kern w:val="0"/>
          <w:sz w:val="40"/>
          <w:szCs w:val="40"/>
          <w14:ligatures w14:val="none"/>
        </w:rPr>
      </w:pPr>
    </w:p>
    <w:p w14:paraId="3C273FBD" w14:textId="77777777" w:rsidR="00CF3C7A" w:rsidRDefault="00CF3C7A" w:rsidP="00CF3C7A">
      <w:pPr>
        <w:jc w:val="center"/>
        <w:rPr>
          <w:rFonts w:ascii="Arial" w:eastAsia="Aptos" w:hAnsi="Arial" w:cs="Arial"/>
          <w:kern w:val="0"/>
          <w:sz w:val="40"/>
          <w:szCs w:val="40"/>
          <w14:ligatures w14:val="none"/>
        </w:rPr>
      </w:pPr>
    </w:p>
    <w:p w14:paraId="47475D55" w14:textId="77777777" w:rsidR="00CF3C7A" w:rsidRDefault="00CF3C7A" w:rsidP="00CF3C7A">
      <w:pPr>
        <w:jc w:val="center"/>
        <w:rPr>
          <w:rFonts w:ascii="Arial" w:eastAsia="Aptos" w:hAnsi="Arial" w:cs="Arial"/>
          <w:kern w:val="0"/>
          <w:sz w:val="40"/>
          <w:szCs w:val="40"/>
          <w14:ligatures w14:val="none"/>
        </w:rPr>
      </w:pPr>
    </w:p>
    <w:p w14:paraId="497466FF" w14:textId="77777777" w:rsidR="00CF3C7A" w:rsidRDefault="00CF3C7A" w:rsidP="00CF3C7A">
      <w:pPr>
        <w:jc w:val="center"/>
        <w:rPr>
          <w:rFonts w:ascii="Arial" w:eastAsia="Aptos" w:hAnsi="Arial" w:cs="Arial"/>
          <w:kern w:val="0"/>
          <w:sz w:val="40"/>
          <w:szCs w:val="40"/>
          <w14:ligatures w14:val="none"/>
        </w:rPr>
      </w:pPr>
    </w:p>
    <w:p w14:paraId="49F41B01" w14:textId="77777777" w:rsidR="00CF3C7A" w:rsidRDefault="00CF3C7A" w:rsidP="00CF3C7A">
      <w:pPr>
        <w:jc w:val="center"/>
        <w:rPr>
          <w:rFonts w:ascii="Arial" w:eastAsia="Aptos" w:hAnsi="Arial" w:cs="Arial"/>
          <w:kern w:val="0"/>
          <w:sz w:val="40"/>
          <w:szCs w:val="40"/>
          <w14:ligatures w14:val="none"/>
        </w:rPr>
      </w:pPr>
    </w:p>
    <w:p w14:paraId="4BECBDF9" w14:textId="77777777" w:rsidR="00CF3C7A" w:rsidRDefault="00CF3C7A" w:rsidP="00CF3C7A">
      <w:pPr>
        <w:jc w:val="center"/>
        <w:rPr>
          <w:rFonts w:ascii="Arial" w:eastAsia="Aptos" w:hAnsi="Arial" w:cs="Arial"/>
          <w:kern w:val="0"/>
          <w:sz w:val="40"/>
          <w:szCs w:val="40"/>
          <w14:ligatures w14:val="none"/>
        </w:rPr>
      </w:pPr>
    </w:p>
    <w:p w14:paraId="58248331" w14:textId="77777777" w:rsidR="00CF3C7A" w:rsidRDefault="00CF3C7A" w:rsidP="00CF3C7A">
      <w:pPr>
        <w:jc w:val="center"/>
        <w:rPr>
          <w:rFonts w:ascii="Arial" w:eastAsia="Aptos" w:hAnsi="Arial" w:cs="Arial"/>
          <w:kern w:val="0"/>
          <w:sz w:val="40"/>
          <w:szCs w:val="40"/>
          <w14:ligatures w14:val="none"/>
        </w:rPr>
      </w:pPr>
    </w:p>
    <w:p w14:paraId="57FD836C" w14:textId="77777777" w:rsidR="00CF3C7A" w:rsidRDefault="00CF3C7A" w:rsidP="00CF3C7A">
      <w:pPr>
        <w:jc w:val="center"/>
        <w:rPr>
          <w:rFonts w:ascii="Arial" w:eastAsia="Aptos" w:hAnsi="Arial" w:cs="Arial"/>
          <w:kern w:val="0"/>
          <w:sz w:val="40"/>
          <w:szCs w:val="40"/>
          <w14:ligatures w14:val="none"/>
        </w:rPr>
      </w:pPr>
    </w:p>
    <w:p w14:paraId="01450300" w14:textId="77777777" w:rsidR="00CF3C7A" w:rsidRDefault="00CF3C7A" w:rsidP="00CF3C7A">
      <w:pPr>
        <w:spacing w:line="360" w:lineRule="auto"/>
        <w:jc w:val="both"/>
        <w:rPr>
          <w:rFonts w:ascii="Arial" w:hAnsi="Arial" w:cs="Arial"/>
        </w:rPr>
      </w:pPr>
      <w:r>
        <w:rPr>
          <w:rFonts w:ascii="Arial" w:hAnsi="Arial" w:cs="Arial"/>
        </w:rPr>
        <w:lastRenderedPageBreak/>
        <w:t xml:space="preserve">This essay examines the Marriott Hotel Group's complex Corporate Social Responsibility (CSR) implementation. It emphasises how important it is to improve sustainability in the hospitality industry. CSR is the term used to describe an organisation's obligation to conduct business ethically to enhance economic development and raise the standard of living for its employees, the local community, and society. In this sense, sustainability is defined as satisfying current needs without endangering the capacity of future generations to meet their own, especially in social justice, environmental conservation, and economic viability. </w:t>
      </w:r>
    </w:p>
    <w:p w14:paraId="4F90C754" w14:textId="77777777" w:rsidR="00CF3C7A" w:rsidRDefault="00CF3C7A" w:rsidP="00CF3C7A">
      <w:pPr>
        <w:spacing w:line="360" w:lineRule="auto"/>
        <w:jc w:val="both"/>
        <w:rPr>
          <w:rFonts w:ascii="Arial" w:hAnsi="Arial" w:cs="Arial"/>
        </w:rPr>
      </w:pPr>
      <w:r>
        <w:rPr>
          <w:rFonts w:ascii="Arial" w:hAnsi="Arial" w:cs="Arial"/>
        </w:rPr>
        <w:t xml:space="preserve">One of the most impactful examples of how CSR can be integrated into an organisation's operating plan is the Marriott Hotel Group. This essay will delve into Marriott's strategy approach to corporate social responsibility (CSR) through its Serve360 project, which aims to nurture the globe and promote sustainability. The discussion will encompass Marriott's specific CSR pledges, sustainable development projects, and the far-reaching effects of these approaches on the company and its stakeholders. By analysing Marriott's initiatives, the essay aims to illuminate the profound significance and advantages of corporate social responsibility (CSR) in the hotel sector, offering a comprehensive overview of its obstacles and prospects. </w:t>
      </w:r>
    </w:p>
    <w:p w14:paraId="003BC16E" w14:textId="77777777" w:rsidR="00CF3C7A" w:rsidRDefault="00CF3C7A" w:rsidP="00CF3C7A">
      <w:pPr>
        <w:spacing w:line="360" w:lineRule="auto"/>
        <w:jc w:val="both"/>
        <w:rPr>
          <w:rFonts w:ascii="Arial" w:hAnsi="Arial" w:cs="Arial"/>
        </w:rPr>
      </w:pPr>
    </w:p>
    <w:p w14:paraId="0F7844B9" w14:textId="77777777" w:rsidR="00CF3C7A" w:rsidRDefault="00CF3C7A" w:rsidP="00CF3C7A">
      <w:pPr>
        <w:spacing w:line="360" w:lineRule="auto"/>
        <w:jc w:val="both"/>
        <w:rPr>
          <w:rFonts w:ascii="Arial" w:hAnsi="Arial" w:cs="Arial"/>
        </w:rPr>
      </w:pPr>
      <w:r>
        <w:rPr>
          <w:rFonts w:ascii="Arial" w:hAnsi="Arial" w:cs="Arial"/>
        </w:rPr>
        <w:t xml:space="preserve">Marriott International has committed to sustainability by integrating Corporate Social Responsibility (CSR) into its fundamental business framework. Its Serve360 strategy, which directs the business's efforts to have a good and long-lasting impact on the world, makes this integration visible. Marriott's dedication to Corporate Social Responsibility (CSR) extends beyond mere compliance; it is an integral part of the company's everyday activities to foster a sustainable future via business practices that are socially, environmentally, and financially sound. </w:t>
      </w:r>
    </w:p>
    <w:p w14:paraId="13F123AF" w14:textId="77777777" w:rsidR="00CF3C7A" w:rsidRDefault="00CF3C7A" w:rsidP="00CF3C7A">
      <w:pPr>
        <w:spacing w:line="360" w:lineRule="auto"/>
        <w:jc w:val="both"/>
        <w:rPr>
          <w:rFonts w:ascii="Arial" w:hAnsi="Arial" w:cs="Arial"/>
        </w:rPr>
      </w:pPr>
      <w:r>
        <w:rPr>
          <w:rFonts w:ascii="Arial" w:hAnsi="Arial" w:cs="Arial"/>
        </w:rPr>
        <w:t xml:space="preserve">With an emphasis on four main pillars—nurturing the globe, maintaining ethical operations, empowering via opportunity, embracing all, and supporting human rights—Marriott's Serve360 strategy presents a thorough approach to corporate social responsibility. This framework aligns with the company's fundamental beliefs and business practices to guarantee that CSR efforts are crucial to Marriott's worldwide strategy. Serve360 provides transparency and accountability by outlining these objectives and activities (Marriott, 2022). </w:t>
      </w:r>
    </w:p>
    <w:p w14:paraId="24F2B471" w14:textId="77777777" w:rsidR="00CF3C7A" w:rsidRDefault="00CF3C7A" w:rsidP="00CF3C7A">
      <w:pPr>
        <w:spacing w:line="360" w:lineRule="auto"/>
        <w:jc w:val="both"/>
        <w:rPr>
          <w:rFonts w:ascii="Arial" w:hAnsi="Arial" w:cs="Arial"/>
        </w:rPr>
      </w:pPr>
      <w:r>
        <w:rPr>
          <w:rFonts w:ascii="Arial" w:hAnsi="Arial" w:cs="Arial"/>
        </w:rPr>
        <w:lastRenderedPageBreak/>
        <w:t xml:space="preserve">Marriott has established high standards for cutting waste, water intensity, and carbon emissions. Specifically, the company wants to cut carbon intensity by 30% by 2025 compared to a baseline in 2016 and make significant investments in renewable energy sources. </w:t>
      </w:r>
    </w:p>
    <w:p w14:paraId="0E01241C" w14:textId="77777777" w:rsidR="00CF3C7A" w:rsidRDefault="00CF3C7A" w:rsidP="00CF3C7A">
      <w:pPr>
        <w:spacing w:line="360" w:lineRule="auto"/>
        <w:jc w:val="both"/>
        <w:rPr>
          <w:rFonts w:ascii="Arial" w:hAnsi="Arial" w:cs="Arial"/>
        </w:rPr>
      </w:pPr>
      <w:r>
        <w:rPr>
          <w:rFonts w:ascii="Arial" w:hAnsi="Arial" w:cs="Arial"/>
        </w:rPr>
        <w:t xml:space="preserve">The company's social impact centres on diversity, equity, and inclusion. It aims to achieve gender parity in leadership by 2023 and a 25% increase in the number of people of colour in executive posts in the United States by 2025. </w:t>
      </w:r>
    </w:p>
    <w:p w14:paraId="5CD2EFAE" w14:textId="77777777" w:rsidR="00CF3C7A" w:rsidRDefault="00CF3C7A" w:rsidP="00CF3C7A">
      <w:pPr>
        <w:spacing w:line="360" w:lineRule="auto"/>
        <w:jc w:val="both"/>
        <w:rPr>
          <w:rFonts w:ascii="Arial" w:hAnsi="Arial" w:cs="Arial"/>
        </w:rPr>
      </w:pPr>
      <w:r>
        <w:rPr>
          <w:rFonts w:ascii="Arial" w:hAnsi="Arial" w:cs="Arial"/>
        </w:rPr>
        <w:t xml:space="preserve">Marriott's CSR initiatives are not just about meeting obligations; they drive economic performance, enhance operational efficiency, and foster goodwill among customers and communities. These efforts have increased brand loyalty and profitability, showcasing the tangible benefits of a robust CSR strategy. </w:t>
      </w:r>
    </w:p>
    <w:p w14:paraId="2341D82E" w14:textId="77777777" w:rsidR="00CF3C7A" w:rsidRDefault="00CF3C7A" w:rsidP="00CF3C7A">
      <w:pPr>
        <w:spacing w:line="360" w:lineRule="auto"/>
        <w:jc w:val="both"/>
        <w:rPr>
          <w:rFonts w:ascii="Arial" w:hAnsi="Arial" w:cs="Arial"/>
        </w:rPr>
      </w:pPr>
      <w:r>
        <w:rPr>
          <w:rFonts w:ascii="Arial" w:hAnsi="Arial" w:cs="Arial"/>
        </w:rPr>
        <w:t> Marriott is acutely aware of the challenges in achieving these goals, particularly given the COVID-19 pandemic's profound effects on business operations. However, as demonstrated by continuous modifications to its environmental targets and community support programs, the corporation remains steadfast in its dedication to its CSR goals. It adapts its tactics to meet these challenges, a testament to the resilience and commitment required in implementing CSR initiatives (Marriott, 2022).</w:t>
      </w:r>
    </w:p>
    <w:p w14:paraId="300F1AC1" w14:textId="77777777" w:rsidR="00CF3C7A" w:rsidRDefault="00CF3C7A" w:rsidP="00CF3C7A">
      <w:pPr>
        <w:spacing w:line="360" w:lineRule="auto"/>
        <w:jc w:val="both"/>
        <w:rPr>
          <w:rFonts w:ascii="Arial" w:hAnsi="Arial" w:cs="Arial"/>
        </w:rPr>
      </w:pPr>
      <w:r>
        <w:rPr>
          <w:rFonts w:ascii="Arial" w:hAnsi="Arial" w:cs="Arial"/>
        </w:rPr>
        <w:t xml:space="preserve">Suganthi (2019) argues that green practices mediate the relationship between performance and corporate social responsibility (CSR). She points out that Marriott's efforts to conserve water and energy can improve operational performance while encouraging environmental stewardship. </w:t>
      </w:r>
    </w:p>
    <w:p w14:paraId="4E8220E0" w14:textId="77777777" w:rsidR="00CF3C7A" w:rsidRDefault="00CF3C7A" w:rsidP="00CF3C7A">
      <w:pPr>
        <w:spacing w:line="360" w:lineRule="auto"/>
        <w:jc w:val="both"/>
        <w:rPr>
          <w:rFonts w:ascii="Arial" w:hAnsi="Arial" w:cs="Arial"/>
        </w:rPr>
      </w:pPr>
      <w:r>
        <w:rPr>
          <w:rFonts w:ascii="Arial" w:hAnsi="Arial" w:cs="Arial"/>
        </w:rPr>
        <w:t xml:space="preserve">According to a 2019 study on corporate social responsibility (CSR) in China by Li, Khalili, and Cheng, Marriott's trash management policies may yield comparable benefits. The study demonstrates the favourable influence environmental projects, such as garbage management, have on company performance. </w:t>
      </w:r>
    </w:p>
    <w:p w14:paraId="71340524" w14:textId="77777777" w:rsidR="00CF3C7A" w:rsidRDefault="00CF3C7A" w:rsidP="00CF3C7A">
      <w:pPr>
        <w:spacing w:line="360" w:lineRule="auto"/>
        <w:jc w:val="both"/>
        <w:rPr>
          <w:rFonts w:ascii="Arial" w:hAnsi="Arial" w:cs="Arial"/>
        </w:rPr>
      </w:pPr>
      <w:r>
        <w:rPr>
          <w:rFonts w:ascii="Arial" w:hAnsi="Arial" w:cs="Arial"/>
        </w:rPr>
        <w:t xml:space="preserve">In their discussion of hotel managers' perceptions of CSR in Malaysia, </w:t>
      </w:r>
      <w:proofErr w:type="spellStart"/>
      <w:r>
        <w:rPr>
          <w:rFonts w:ascii="Arial" w:hAnsi="Arial" w:cs="Arial"/>
        </w:rPr>
        <w:t>Abaeian</w:t>
      </w:r>
      <w:proofErr w:type="spellEnd"/>
      <w:r>
        <w:rPr>
          <w:rFonts w:ascii="Arial" w:hAnsi="Arial" w:cs="Arial"/>
        </w:rPr>
        <w:t xml:space="preserve"> et al. (2019) show how corporate goals can be balanced with moral principles. This aligns with Marriott's initiatives to promote employee welfare and community involvement. </w:t>
      </w:r>
    </w:p>
    <w:p w14:paraId="73B63920" w14:textId="77777777" w:rsidR="00CF3C7A" w:rsidRDefault="00CF3C7A" w:rsidP="00CF3C7A">
      <w:pPr>
        <w:spacing w:line="360" w:lineRule="auto"/>
        <w:jc w:val="both"/>
        <w:rPr>
          <w:rFonts w:ascii="Arial" w:hAnsi="Arial" w:cs="Arial"/>
        </w:rPr>
      </w:pPr>
      <w:r>
        <w:rPr>
          <w:rFonts w:ascii="Arial" w:hAnsi="Arial" w:cs="Arial"/>
        </w:rPr>
        <w:t xml:space="preserve">According to </w:t>
      </w:r>
      <w:proofErr w:type="spellStart"/>
      <w:r>
        <w:rPr>
          <w:rFonts w:ascii="Arial" w:hAnsi="Arial" w:cs="Arial"/>
        </w:rPr>
        <w:t>Helfaya</w:t>
      </w:r>
      <w:proofErr w:type="spellEnd"/>
      <w:r>
        <w:rPr>
          <w:rFonts w:ascii="Arial" w:hAnsi="Arial" w:cs="Arial"/>
        </w:rPr>
        <w:t xml:space="preserve"> and Moussa (2017), CSR-focused tactics improve the calibre of environmental disclosures, which may impact Marriott's and other companies' ethical sourcing policies by affecting stakeholder trust and transparency. </w:t>
      </w:r>
    </w:p>
    <w:p w14:paraId="30BA74FD" w14:textId="77777777" w:rsidR="00CF3C7A" w:rsidRDefault="00CF3C7A" w:rsidP="00CF3C7A">
      <w:pPr>
        <w:spacing w:line="360" w:lineRule="auto"/>
        <w:jc w:val="both"/>
        <w:rPr>
          <w:rFonts w:ascii="Arial" w:hAnsi="Arial" w:cs="Arial"/>
        </w:rPr>
      </w:pPr>
      <w:r>
        <w:rPr>
          <w:rFonts w:ascii="Arial" w:hAnsi="Arial" w:cs="Arial"/>
        </w:rPr>
        <w:lastRenderedPageBreak/>
        <w:t>Marriott's CSR programs have the potential to enhance its financial performance and market reputation. By enhancing brand equity and customer loyalty, as discussed by Narayanan (2022), who examines the impact of CSR practices on consumer behaviour, Marriott's CSR initiatives can pave the way for a more sustainable and profitable future.</w:t>
      </w:r>
    </w:p>
    <w:p w14:paraId="7C26EB31" w14:textId="77777777" w:rsidR="00CF3C7A" w:rsidRDefault="00CF3C7A" w:rsidP="00CF3C7A">
      <w:pPr>
        <w:spacing w:line="360" w:lineRule="auto"/>
        <w:jc w:val="both"/>
        <w:rPr>
          <w:rFonts w:ascii="Arial" w:hAnsi="Arial" w:cs="Arial"/>
        </w:rPr>
      </w:pPr>
      <w:r>
        <w:rPr>
          <w:rFonts w:ascii="Arial" w:hAnsi="Arial" w:cs="Arial"/>
        </w:rPr>
        <w:t>Implementing corporate social responsibility (CSR) plans presents several obstacles for multinational businesses (MNCs), such as Marriott. These difficulties cover the financial, logistical, and regulatory spheres and necessitate all-encompassing strategic solutions for efficient handling.</w:t>
      </w:r>
    </w:p>
    <w:p w14:paraId="7C19BC78" w14:textId="77777777" w:rsidR="00CF3C7A" w:rsidRDefault="00CF3C7A" w:rsidP="00CF3C7A">
      <w:pPr>
        <w:spacing w:line="360" w:lineRule="auto"/>
        <w:jc w:val="both"/>
        <w:rPr>
          <w:rFonts w:ascii="Arial" w:hAnsi="Arial" w:cs="Arial"/>
        </w:rPr>
      </w:pPr>
      <w:r>
        <w:rPr>
          <w:rFonts w:ascii="Arial" w:hAnsi="Arial" w:cs="Arial"/>
        </w:rPr>
        <w:t xml:space="preserve">Complying with CSR requirements requires negotiating different legal frameworks in other nations. The various national and international laws that MNCs </w:t>
      </w:r>
      <w:proofErr w:type="gramStart"/>
      <w:r>
        <w:rPr>
          <w:rFonts w:ascii="Arial" w:hAnsi="Arial" w:cs="Arial"/>
        </w:rPr>
        <w:t>have to</w:t>
      </w:r>
      <w:proofErr w:type="gramEnd"/>
      <w:r>
        <w:rPr>
          <w:rFonts w:ascii="Arial" w:hAnsi="Arial" w:cs="Arial"/>
        </w:rPr>
        <w:t xml:space="preserve"> abide by cause this complexity. Hah and Freeman (2014) highlight the importance of regulatory compliance in emerging economies by demonstrating how CSR policies are essential for MNCs operating in these areas to build legitimacy.</w:t>
      </w:r>
    </w:p>
    <w:p w14:paraId="02604999" w14:textId="77777777" w:rsidR="00CF3C7A" w:rsidRDefault="00CF3C7A" w:rsidP="00CF3C7A">
      <w:pPr>
        <w:spacing w:line="360" w:lineRule="auto"/>
        <w:jc w:val="both"/>
        <w:rPr>
          <w:rFonts w:ascii="Arial" w:hAnsi="Arial" w:cs="Arial"/>
        </w:rPr>
      </w:pPr>
      <w:r>
        <w:rPr>
          <w:rFonts w:ascii="Arial" w:hAnsi="Arial" w:cs="Arial"/>
        </w:rPr>
        <w:t xml:space="preserve">One logistical challenge in implementing CSR is coordinating programs across many geographic locations. In emerging markets, this is especially difficult when combining CSR principles with local vendors. Shashi et al. (2020) </w:t>
      </w:r>
      <w:proofErr w:type="gramStart"/>
      <w:r>
        <w:rPr>
          <w:rFonts w:ascii="Arial" w:hAnsi="Arial" w:cs="Arial"/>
        </w:rPr>
        <w:t>highlight</w:t>
      </w:r>
      <w:proofErr w:type="gramEnd"/>
      <w:r>
        <w:rPr>
          <w:rFonts w:ascii="Arial" w:hAnsi="Arial" w:cs="Arial"/>
        </w:rPr>
        <w:t xml:space="preserve"> the challenges involved and the need for solid logistical frameworks to manage global supply chains efficiently.</w:t>
      </w:r>
    </w:p>
    <w:p w14:paraId="42F42BC1" w14:textId="77777777" w:rsidR="00CF3C7A" w:rsidRDefault="00CF3C7A" w:rsidP="00CF3C7A">
      <w:pPr>
        <w:spacing w:line="360" w:lineRule="auto"/>
        <w:jc w:val="both"/>
        <w:rPr>
          <w:rFonts w:ascii="Arial" w:hAnsi="Arial" w:cs="Arial"/>
        </w:rPr>
      </w:pPr>
      <w:r>
        <w:rPr>
          <w:rFonts w:ascii="Arial" w:hAnsi="Arial" w:cs="Arial"/>
        </w:rPr>
        <w:t xml:space="preserve">The financial component of corporate social responsibility involves substantial costs associated with improving procedures and guaranteeing compliance. According to Yunis et al. (2018), a significant barrier to MNC subsidiaries' implementation of CSR is a need for more cash, emphasising the critical role that continuous financial talks play in securing sufficient funds. </w:t>
      </w:r>
    </w:p>
    <w:p w14:paraId="2C3F554C" w14:textId="77777777" w:rsidR="00CF3C7A" w:rsidRDefault="00CF3C7A" w:rsidP="00CF3C7A">
      <w:pPr>
        <w:spacing w:line="360" w:lineRule="auto"/>
        <w:jc w:val="both"/>
        <w:rPr>
          <w:rFonts w:ascii="Arial" w:hAnsi="Arial" w:cs="Arial"/>
        </w:rPr>
      </w:pPr>
      <w:r>
        <w:rPr>
          <w:rFonts w:ascii="Arial" w:hAnsi="Arial" w:cs="Arial"/>
        </w:rPr>
        <w:t xml:space="preserve">These studies outline the complex obstacles that multinational corporations (MNCs) such as Marriott must overcome to implement their CSR policies successfully. They also imply that these obstacles can only be overcome by integrated solutions that span the financial, logistical, and regulatory realms. </w:t>
      </w:r>
    </w:p>
    <w:p w14:paraId="14B80859" w14:textId="77777777" w:rsidR="00CF3C7A" w:rsidRDefault="00CF3C7A" w:rsidP="00CF3C7A">
      <w:pPr>
        <w:spacing w:line="360" w:lineRule="auto"/>
        <w:jc w:val="both"/>
        <w:rPr>
          <w:rFonts w:ascii="Arial" w:hAnsi="Arial" w:cs="Arial"/>
        </w:rPr>
      </w:pPr>
      <w:r>
        <w:rPr>
          <w:rFonts w:ascii="Arial" w:hAnsi="Arial" w:cs="Arial"/>
        </w:rPr>
        <w:t xml:space="preserve">Sustainable development objectives can be significantly improved by integrating Industry 4.0 technology, such as artificial intelligence (AI) and big data analytics, into hospitality operations, as highlighted by </w:t>
      </w:r>
      <w:proofErr w:type="spellStart"/>
      <w:r>
        <w:rPr>
          <w:rFonts w:ascii="Arial" w:hAnsi="Arial" w:cs="Arial"/>
        </w:rPr>
        <w:t>Elmohandes</w:t>
      </w:r>
      <w:proofErr w:type="spellEnd"/>
      <w:r>
        <w:rPr>
          <w:rFonts w:ascii="Arial" w:hAnsi="Arial" w:cs="Arial"/>
        </w:rPr>
        <w:t xml:space="preserve"> and Csobán (2022). By reducing </w:t>
      </w:r>
      <w:r>
        <w:rPr>
          <w:rFonts w:ascii="Arial" w:hAnsi="Arial" w:cs="Arial"/>
        </w:rPr>
        <w:lastRenderedPageBreak/>
        <w:t xml:space="preserve">its environmental impact and streamlining processes, Marriott's embrace of these technologies promotes sustainability. </w:t>
      </w:r>
    </w:p>
    <w:p w14:paraId="7324F999" w14:textId="77777777" w:rsidR="00CF3C7A" w:rsidRDefault="00CF3C7A" w:rsidP="00CF3C7A">
      <w:pPr>
        <w:spacing w:line="360" w:lineRule="auto"/>
        <w:jc w:val="both"/>
        <w:rPr>
          <w:rFonts w:ascii="Arial" w:hAnsi="Arial" w:cs="Arial"/>
        </w:rPr>
      </w:pPr>
      <w:r>
        <w:rPr>
          <w:rFonts w:ascii="Arial" w:hAnsi="Arial" w:cs="Arial"/>
        </w:rPr>
        <w:t xml:space="preserve">Promoting sustainable innovations requires cooperation with other businesses and stakeholders. According to Njoroge et al. (2019), Marriott's relationships with sustainable practices result in significant business benefits. They also address how innovative methods centred on sustainability might improve hotels' long-term economic performance. </w:t>
      </w:r>
    </w:p>
    <w:p w14:paraId="6C88566B" w14:textId="77777777" w:rsidR="00CF3C7A" w:rsidRDefault="00CF3C7A" w:rsidP="00CF3C7A">
      <w:pPr>
        <w:spacing w:line="360" w:lineRule="auto"/>
        <w:jc w:val="both"/>
        <w:rPr>
          <w:rFonts w:ascii="Arial" w:hAnsi="Arial" w:cs="Arial"/>
        </w:rPr>
      </w:pPr>
      <w:proofErr w:type="spellStart"/>
      <w:r>
        <w:rPr>
          <w:rFonts w:ascii="Arial" w:hAnsi="Arial" w:cs="Arial"/>
        </w:rPr>
        <w:t>Presenza</w:t>
      </w:r>
      <w:proofErr w:type="spellEnd"/>
      <w:r>
        <w:rPr>
          <w:rFonts w:ascii="Arial" w:hAnsi="Arial" w:cs="Arial"/>
        </w:rPr>
        <w:t xml:space="preserve"> et al. (2019) stress the value of innovative business models in the travel and hospitality sector. This is consistent with Marriott's efforts to incorporate sustainability into its essential offerings to boost client happiness and gain a competitive edge. </w:t>
      </w:r>
    </w:p>
    <w:p w14:paraId="4568402E" w14:textId="77777777" w:rsidR="00CF3C7A" w:rsidRDefault="00CF3C7A" w:rsidP="00CF3C7A">
      <w:pPr>
        <w:spacing w:line="360" w:lineRule="auto"/>
        <w:jc w:val="both"/>
        <w:rPr>
          <w:rFonts w:ascii="Arial" w:hAnsi="Arial" w:cs="Arial"/>
        </w:rPr>
      </w:pPr>
      <w:r>
        <w:rPr>
          <w:rFonts w:ascii="Arial" w:hAnsi="Arial" w:cs="Arial"/>
        </w:rPr>
        <w:t xml:space="preserve">Marriott uses these innovations to lower operating costs and comply with regulations while improving service delivery and implementing sustainable practices to improve the guest experience. This combined focus on customer happiness and operational efficiency dramatically enhances Marriott's competitive stance and market reputation. </w:t>
      </w:r>
    </w:p>
    <w:p w14:paraId="4B73018C" w14:textId="77777777" w:rsidR="00CF3C7A" w:rsidRDefault="00CF3C7A" w:rsidP="00CF3C7A">
      <w:pPr>
        <w:spacing w:line="360" w:lineRule="auto"/>
        <w:jc w:val="both"/>
        <w:rPr>
          <w:rFonts w:ascii="Arial" w:hAnsi="Arial" w:cs="Arial"/>
        </w:rPr>
      </w:pPr>
      <w:r>
        <w:rPr>
          <w:rFonts w:ascii="Arial" w:hAnsi="Arial" w:cs="Arial"/>
        </w:rPr>
        <w:t xml:space="preserve">Marriott's CSR strategy incorporates the circular economy (CE) tenets, emphasising resource efficiency, waste minimisation, and creative business methods to achieve sustainability. The technique discussed here aligns with international sustainability goals, including the Sustainable Development Goals (SDGs), highlighting the relationship between environmental stewardship and corporate operations. </w:t>
      </w:r>
    </w:p>
    <w:p w14:paraId="160F33B9" w14:textId="77777777" w:rsidR="00CF3C7A" w:rsidRDefault="00CF3C7A" w:rsidP="00CF3C7A">
      <w:pPr>
        <w:spacing w:line="360" w:lineRule="auto"/>
        <w:jc w:val="both"/>
        <w:rPr>
          <w:rFonts w:ascii="Arial" w:hAnsi="Arial" w:cs="Arial"/>
        </w:rPr>
      </w:pPr>
      <w:r>
        <w:rPr>
          <w:rFonts w:ascii="Arial" w:hAnsi="Arial" w:cs="Arial"/>
        </w:rPr>
        <w:t xml:space="preserve">Several SDGs, including clean water, affordable energy, and responsible consumption, are directly impacted by implementing circular economy methods, as demonstrated by Schroeder, </w:t>
      </w:r>
      <w:proofErr w:type="spellStart"/>
      <w:r>
        <w:rPr>
          <w:rFonts w:ascii="Arial" w:hAnsi="Arial" w:cs="Arial"/>
        </w:rPr>
        <w:t>Anggraeni</w:t>
      </w:r>
      <w:proofErr w:type="spellEnd"/>
      <w:r>
        <w:rPr>
          <w:rFonts w:ascii="Arial" w:hAnsi="Arial" w:cs="Arial"/>
        </w:rPr>
        <w:t xml:space="preserve">, and Weber (2019). Marriott aims to significantly reduce its environmental effect across all its global activities, reflected in its initiatives to reduce waste and improve resource efficiency. </w:t>
      </w:r>
    </w:p>
    <w:p w14:paraId="60400E35" w14:textId="77777777" w:rsidR="00CF3C7A" w:rsidRDefault="00CF3C7A" w:rsidP="00CF3C7A">
      <w:pPr>
        <w:spacing w:line="360" w:lineRule="auto"/>
        <w:jc w:val="both"/>
        <w:rPr>
          <w:rFonts w:ascii="Arial" w:hAnsi="Arial" w:cs="Arial"/>
        </w:rPr>
      </w:pPr>
      <w:r>
        <w:rPr>
          <w:rFonts w:ascii="Arial" w:hAnsi="Arial" w:cs="Arial"/>
        </w:rPr>
        <w:t xml:space="preserve">Global firms in the cosmetics sector use CSR and CE to enhance environmental sustainability, as discussed by Morea, Fortunati, and Martiniello (2021). Similarly, Marriott has created business models that improve its environmental and financial sustainability by incorporating CE concepts like recycling and material repurposing. </w:t>
      </w:r>
    </w:p>
    <w:p w14:paraId="146DE478" w14:textId="77777777" w:rsidR="00CF3C7A" w:rsidRDefault="00CF3C7A" w:rsidP="00CF3C7A">
      <w:pPr>
        <w:spacing w:line="360" w:lineRule="auto"/>
        <w:jc w:val="both"/>
        <w:rPr>
          <w:rFonts w:ascii="Arial" w:hAnsi="Arial" w:cs="Arial"/>
        </w:rPr>
      </w:pPr>
      <w:r>
        <w:rPr>
          <w:rFonts w:ascii="Arial" w:hAnsi="Arial" w:cs="Arial"/>
        </w:rPr>
        <w:t xml:space="preserve">Bhargava and </w:t>
      </w:r>
      <w:proofErr w:type="spellStart"/>
      <w:r>
        <w:rPr>
          <w:rFonts w:ascii="Arial" w:hAnsi="Arial" w:cs="Arial"/>
        </w:rPr>
        <w:t>Ligade</w:t>
      </w:r>
      <w:proofErr w:type="spellEnd"/>
      <w:r>
        <w:rPr>
          <w:rFonts w:ascii="Arial" w:hAnsi="Arial" w:cs="Arial"/>
        </w:rPr>
        <w:t xml:space="preserve"> (2022) draw attention to the necessity of empirical study to substantiate the use of CE practices in accomplishing SDGs. Marriott's sustainability reports, which highlight accomplishments like cutting back on single-use plastic, </w:t>
      </w:r>
      <w:r>
        <w:rPr>
          <w:rFonts w:ascii="Arial" w:hAnsi="Arial" w:cs="Arial"/>
        </w:rPr>
        <w:lastRenderedPageBreak/>
        <w:t xml:space="preserve">increasing energy efficiency and directly supporting SDG targets like SDG 12 and SDG 13, demonstrate the company's progress in implementing CE principles. </w:t>
      </w:r>
    </w:p>
    <w:p w14:paraId="56E28192" w14:textId="77777777" w:rsidR="00CF3C7A" w:rsidRDefault="00CF3C7A" w:rsidP="00CF3C7A">
      <w:pPr>
        <w:spacing w:line="360" w:lineRule="auto"/>
        <w:jc w:val="both"/>
        <w:rPr>
          <w:rFonts w:ascii="Arial" w:hAnsi="Arial" w:cs="Arial"/>
        </w:rPr>
      </w:pPr>
      <w:r>
        <w:rPr>
          <w:rFonts w:ascii="Arial" w:hAnsi="Arial" w:cs="Arial"/>
        </w:rPr>
        <w:t xml:space="preserve">Manninen et al. (2018) describe an approach for assessing environmental value propositions in circular business models. Marriott's efforts to recycle mattresses and implement extensive composting programs are prime examples. These programs reduce their adverse environmental effects by converting garbage into resources and providing economic benefits. </w:t>
      </w:r>
    </w:p>
    <w:p w14:paraId="4A919DCC" w14:textId="77777777" w:rsidR="00CF3C7A" w:rsidRDefault="00CF3C7A" w:rsidP="00CF3C7A">
      <w:pPr>
        <w:spacing w:line="360" w:lineRule="auto"/>
        <w:jc w:val="both"/>
        <w:rPr>
          <w:rFonts w:ascii="Arial" w:hAnsi="Arial" w:cs="Arial"/>
        </w:rPr>
      </w:pPr>
      <w:r>
        <w:rPr>
          <w:rFonts w:ascii="Arial" w:hAnsi="Arial" w:cs="Arial"/>
        </w:rPr>
        <w:t xml:space="preserve">In addition to strengthening its sustainability credentials, Marriott's strategic integration of circular economy ideas into its CSR approach gives it a competitive edge by coordinating business operations with global sustainability goals and customer expectations for environmental stewardship. </w:t>
      </w:r>
    </w:p>
    <w:p w14:paraId="4F5F7A31" w14:textId="77777777" w:rsidR="00CF3C7A" w:rsidRDefault="00CF3C7A" w:rsidP="00CF3C7A">
      <w:pPr>
        <w:spacing w:line="360" w:lineRule="auto"/>
        <w:jc w:val="both"/>
        <w:rPr>
          <w:rFonts w:ascii="Arial" w:hAnsi="Arial" w:cs="Arial"/>
        </w:rPr>
      </w:pPr>
      <w:r>
        <w:rPr>
          <w:rFonts w:ascii="Arial" w:hAnsi="Arial" w:cs="Arial"/>
        </w:rPr>
        <w:t xml:space="preserve">A comparison of Marriott's and other top hotel chains' Corporate Social Responsibility (CSR) initiatives reveals a range of sustainable approaches, all in line with their brands' strategic objectives and consumer demands. Research examining Marriott's sustainability strategy demonstrates the company's dedication to broad stakeholder participation and cutting-edge sustainability policies, offering a benchmark against its competitors in the sector. </w:t>
      </w:r>
    </w:p>
    <w:p w14:paraId="1CDF96E6" w14:textId="77777777" w:rsidR="00CF3C7A" w:rsidRDefault="00CF3C7A" w:rsidP="00CF3C7A">
      <w:pPr>
        <w:spacing w:line="360" w:lineRule="auto"/>
        <w:jc w:val="both"/>
        <w:rPr>
          <w:rFonts w:ascii="Arial" w:hAnsi="Arial" w:cs="Arial"/>
        </w:rPr>
      </w:pPr>
      <w:r>
        <w:rPr>
          <w:rFonts w:ascii="Arial" w:hAnsi="Arial" w:cs="Arial"/>
        </w:rPr>
        <w:t xml:space="preserve">According to Wickham, French, and Wong (2020), Marriott strongly emphasises all-encompassing sustainability measures that incorporate resource efficiency, employee development, and community engagement. In contrast, Chen's investigation on hotel chain affiliation and environmental performance (Chen, 2019) details how corporations like Hilton prioritise operational efficiency and customer-centric sustainability measures. </w:t>
      </w:r>
    </w:p>
    <w:p w14:paraId="48ACBB03" w14:textId="77777777" w:rsidR="00CF3C7A" w:rsidRDefault="00CF3C7A" w:rsidP="00CF3C7A">
      <w:pPr>
        <w:spacing w:line="360" w:lineRule="auto"/>
        <w:jc w:val="both"/>
        <w:rPr>
          <w:rFonts w:ascii="Arial" w:hAnsi="Arial" w:cs="Arial"/>
        </w:rPr>
      </w:pPr>
      <w:r>
        <w:rPr>
          <w:rFonts w:ascii="Arial" w:hAnsi="Arial" w:cs="Arial"/>
        </w:rPr>
        <w:t xml:space="preserve">International hotel chains, such as Marriott, frequently modify their corporate social responsibility (CSR) initiatives to better suit local environments, especially in emerging economies, as </w:t>
      </w:r>
      <w:proofErr w:type="spellStart"/>
      <w:r>
        <w:rPr>
          <w:rFonts w:ascii="Arial" w:hAnsi="Arial" w:cs="Arial"/>
        </w:rPr>
        <w:t>Khunon</w:t>
      </w:r>
      <w:proofErr w:type="spellEnd"/>
      <w:r>
        <w:rPr>
          <w:rFonts w:ascii="Arial" w:hAnsi="Arial" w:cs="Arial"/>
        </w:rPr>
        <w:t xml:space="preserve"> and </w:t>
      </w:r>
      <w:proofErr w:type="spellStart"/>
      <w:r>
        <w:rPr>
          <w:rFonts w:ascii="Arial" w:hAnsi="Arial" w:cs="Arial"/>
        </w:rPr>
        <w:t>Muangasame</w:t>
      </w:r>
      <w:proofErr w:type="spellEnd"/>
      <w:r>
        <w:rPr>
          <w:rFonts w:ascii="Arial" w:hAnsi="Arial" w:cs="Arial"/>
        </w:rPr>
        <w:t xml:space="preserve"> (2013) note. Comparing this flexible approach to smaller or regional chains that might take a more consistent approach to CSR allows for creating regionally relevant sustainability initiatives. </w:t>
      </w:r>
    </w:p>
    <w:p w14:paraId="258F4A8B" w14:textId="77777777" w:rsidR="00CF3C7A" w:rsidRDefault="00CF3C7A" w:rsidP="00CF3C7A">
      <w:pPr>
        <w:spacing w:line="360" w:lineRule="auto"/>
        <w:jc w:val="both"/>
        <w:rPr>
          <w:rFonts w:ascii="Arial" w:hAnsi="Arial" w:cs="Arial"/>
        </w:rPr>
      </w:pPr>
      <w:proofErr w:type="spellStart"/>
      <w:r>
        <w:rPr>
          <w:rFonts w:ascii="Arial" w:hAnsi="Arial" w:cs="Arial"/>
        </w:rPr>
        <w:t>Ertuna</w:t>
      </w:r>
      <w:proofErr w:type="spellEnd"/>
      <w:r>
        <w:rPr>
          <w:rFonts w:ascii="Arial" w:hAnsi="Arial" w:cs="Arial"/>
        </w:rPr>
        <w:t xml:space="preserve"> et al. (2019) examine the influence of different institutional logics on the adoption and execution of corporate social responsibility (CSR) and sustainability practices in multinational companies like Hilton and Marriott. They showcase how </w:t>
      </w:r>
      <w:r>
        <w:rPr>
          <w:rFonts w:ascii="Arial" w:hAnsi="Arial" w:cs="Arial"/>
        </w:rPr>
        <w:lastRenderedPageBreak/>
        <w:t xml:space="preserve">multinational corporations employ innovative sustainability practices to maintain their competitive advantage and adhere to local standards. </w:t>
      </w:r>
    </w:p>
    <w:p w14:paraId="052B71EB" w14:textId="77777777" w:rsidR="00CF3C7A" w:rsidRDefault="00CF3C7A" w:rsidP="00CF3C7A">
      <w:pPr>
        <w:spacing w:line="360" w:lineRule="auto"/>
        <w:jc w:val="both"/>
        <w:rPr>
          <w:rFonts w:ascii="Arial" w:hAnsi="Arial" w:cs="Arial"/>
        </w:rPr>
      </w:pPr>
      <w:r>
        <w:rPr>
          <w:rFonts w:ascii="Arial" w:hAnsi="Arial" w:cs="Arial"/>
        </w:rPr>
        <w:t xml:space="preserve">The CSR programme "We Care!" by Hilton is emphasised by </w:t>
      </w:r>
      <w:proofErr w:type="spellStart"/>
      <w:r>
        <w:rPr>
          <w:rFonts w:ascii="Arial" w:hAnsi="Arial" w:cs="Arial"/>
        </w:rPr>
        <w:t>Bohdanowicz</w:t>
      </w:r>
      <w:proofErr w:type="spellEnd"/>
      <w:r>
        <w:rPr>
          <w:rFonts w:ascii="Arial" w:hAnsi="Arial" w:cs="Arial"/>
        </w:rPr>
        <w:t xml:space="preserve">, Zientara, and Novotna (2011). This programme shares similarities with Marriott's approach, as it places emphasis on staff engagement and promoting behaviour change </w:t>
      </w:r>
      <w:proofErr w:type="gramStart"/>
      <w:r>
        <w:rPr>
          <w:rFonts w:ascii="Arial" w:hAnsi="Arial" w:cs="Arial"/>
        </w:rPr>
        <w:t>that results</w:t>
      </w:r>
      <w:proofErr w:type="gramEnd"/>
      <w:r>
        <w:rPr>
          <w:rFonts w:ascii="Arial" w:hAnsi="Arial" w:cs="Arial"/>
        </w:rPr>
        <w:t xml:space="preserve"> in sustainable operational practices. The focus is on involving employees in sustainability initiatives.</w:t>
      </w:r>
    </w:p>
    <w:p w14:paraId="6EBDF96B" w14:textId="77777777" w:rsidR="00CF3C7A" w:rsidRDefault="00CF3C7A" w:rsidP="00CF3C7A">
      <w:pPr>
        <w:spacing w:line="360" w:lineRule="auto"/>
        <w:jc w:val="both"/>
        <w:rPr>
          <w:rFonts w:ascii="Arial" w:hAnsi="Arial" w:cs="Arial"/>
        </w:rPr>
      </w:pPr>
      <w:r>
        <w:rPr>
          <w:rFonts w:ascii="Arial" w:hAnsi="Arial" w:cs="Arial"/>
        </w:rPr>
        <w:t xml:space="preserve">These observations uncover common goals in sustainability and unique methods tailored to the strategic vision and operational scope of each brand. Additionally, they emphasise the nuanced distinctions in the implementation of corporate social responsibility (CSR) programmes between Marriott and other leading hotel chains. </w:t>
      </w:r>
    </w:p>
    <w:p w14:paraId="09166ECB" w14:textId="77777777" w:rsidR="00CF3C7A" w:rsidRDefault="00CF3C7A" w:rsidP="00CF3C7A">
      <w:pPr>
        <w:spacing w:line="360" w:lineRule="auto"/>
        <w:jc w:val="both"/>
        <w:rPr>
          <w:rFonts w:ascii="Arial" w:hAnsi="Arial" w:cs="Arial"/>
        </w:rPr>
      </w:pPr>
    </w:p>
    <w:p w14:paraId="3CA50B08" w14:textId="77777777" w:rsidR="00CF3C7A" w:rsidRDefault="00CF3C7A" w:rsidP="00CF3C7A">
      <w:pPr>
        <w:spacing w:line="360" w:lineRule="auto"/>
        <w:jc w:val="both"/>
        <w:rPr>
          <w:rFonts w:ascii="Arial" w:hAnsi="Arial" w:cs="Arial"/>
        </w:rPr>
      </w:pPr>
      <w:r>
        <w:rPr>
          <w:rFonts w:ascii="Arial" w:hAnsi="Arial" w:cs="Arial"/>
        </w:rPr>
        <w:t>Marriott International's CSR initiatives are prime examples of an all-encompassing strategy for sustainability in the hotel sector. Through its Serve360 program, Marriott successfully incorporates social justice, economic viability, and environmental care into its business operations, thereby advancing sustainability. These initiatives include commitments to diversity and inclusion in the workforce and aggressive goals for cutting waste, water intensity, and carbon emissions.</w:t>
      </w:r>
    </w:p>
    <w:p w14:paraId="22A50EF8" w14:textId="77777777" w:rsidR="00CF3C7A" w:rsidRDefault="00CF3C7A" w:rsidP="00CF3C7A">
      <w:pPr>
        <w:spacing w:line="360" w:lineRule="auto"/>
        <w:jc w:val="both"/>
        <w:rPr>
          <w:rFonts w:ascii="Arial" w:hAnsi="Arial" w:cs="Arial"/>
        </w:rPr>
      </w:pPr>
      <w:r>
        <w:rPr>
          <w:rFonts w:ascii="Arial" w:hAnsi="Arial" w:cs="Arial"/>
        </w:rPr>
        <w:t>The broader ramifications of Marriott's corporate social responsibility initiatives underscore the industry's capacity to impact worldwide sustainability substantially. Good corporate social responsibility (CSR) improves a business's image and boosts revenue through increased productivity and client retention. The hotel industry may lead international sustainability initiatives by implementing a comparable, all-encompassing CSR strategy.</w:t>
      </w:r>
    </w:p>
    <w:p w14:paraId="313C0A80" w14:textId="77777777" w:rsidR="00CF3C7A" w:rsidRDefault="00CF3C7A" w:rsidP="00CF3C7A">
      <w:pPr>
        <w:spacing w:line="360" w:lineRule="auto"/>
        <w:jc w:val="both"/>
        <w:rPr>
          <w:rFonts w:ascii="Arial" w:hAnsi="Arial" w:cs="Arial"/>
        </w:rPr>
      </w:pPr>
      <w:r>
        <w:rPr>
          <w:rFonts w:ascii="Arial" w:hAnsi="Arial" w:cs="Arial"/>
        </w:rPr>
        <w:t>The sector is advised to continue innovating in sustainability through collaborations and technology for the following projects. Furthermore, focusing more on investing in renewable resources and local community engagement will increase the efficacy of CSR tactics in the hospitality sector.</w:t>
      </w:r>
    </w:p>
    <w:p w14:paraId="7765D3A5" w14:textId="77777777" w:rsidR="00CF3C7A" w:rsidRDefault="00CF3C7A" w:rsidP="00CF3C7A">
      <w:pPr>
        <w:spacing w:line="360" w:lineRule="auto"/>
        <w:jc w:val="both"/>
        <w:rPr>
          <w:rFonts w:ascii="Arial" w:hAnsi="Arial" w:cs="Arial"/>
        </w:rPr>
      </w:pPr>
    </w:p>
    <w:p w14:paraId="6AB4F342" w14:textId="77777777" w:rsidR="00CF3C7A" w:rsidRDefault="00CF3C7A" w:rsidP="00CF3C7A">
      <w:pPr>
        <w:spacing w:line="360" w:lineRule="auto"/>
        <w:jc w:val="both"/>
        <w:rPr>
          <w:rFonts w:ascii="Arial" w:hAnsi="Arial" w:cs="Arial"/>
        </w:rPr>
      </w:pPr>
    </w:p>
    <w:p w14:paraId="6D865F5B" w14:textId="0E01F141" w:rsidR="00CF3C7A" w:rsidRDefault="00CF3C7A" w:rsidP="00CF3C7A">
      <w:pPr>
        <w:spacing w:line="360" w:lineRule="auto"/>
        <w:jc w:val="both"/>
        <w:rPr>
          <w:rFonts w:ascii="Arial" w:hAnsi="Arial" w:cs="Arial"/>
          <w:b/>
          <w:bCs/>
        </w:rPr>
      </w:pPr>
      <w:r>
        <w:rPr>
          <w:rFonts w:ascii="Arial" w:hAnsi="Arial" w:cs="Arial"/>
          <w:b/>
          <w:bCs/>
        </w:rPr>
        <w:lastRenderedPageBreak/>
        <w:t xml:space="preserve">References list: </w:t>
      </w:r>
    </w:p>
    <w:p w14:paraId="77A26706" w14:textId="77777777" w:rsidR="003A38E0" w:rsidRPr="00CF3C7A" w:rsidRDefault="003A38E0" w:rsidP="003A38E0">
      <w:pPr>
        <w:spacing w:line="360" w:lineRule="auto"/>
        <w:rPr>
          <w:rFonts w:ascii="Arial" w:hAnsi="Arial" w:cs="Arial"/>
        </w:rPr>
      </w:pPr>
      <w:r w:rsidRPr="00CF3C7A">
        <w:rPr>
          <w:rFonts w:ascii="Arial" w:hAnsi="Arial" w:cs="Arial"/>
        </w:rPr>
        <w:t xml:space="preserve">Bhargava, A., &amp; </w:t>
      </w:r>
      <w:proofErr w:type="spellStart"/>
      <w:r w:rsidRPr="00CF3C7A">
        <w:rPr>
          <w:rFonts w:ascii="Arial" w:hAnsi="Arial" w:cs="Arial"/>
        </w:rPr>
        <w:t>Ligade</w:t>
      </w:r>
      <w:proofErr w:type="spellEnd"/>
      <w:r w:rsidRPr="00CF3C7A">
        <w:rPr>
          <w:rFonts w:ascii="Arial" w:hAnsi="Arial" w:cs="Arial"/>
        </w:rPr>
        <w:t xml:space="preserve">, P., 2022. Corporate social responsibility (CSR) and sustainability – a </w:t>
      </w:r>
      <w:proofErr w:type="spellStart"/>
      <w:r w:rsidRPr="00CF3C7A">
        <w:rPr>
          <w:rFonts w:ascii="Arial" w:hAnsi="Arial" w:cs="Arial"/>
        </w:rPr>
        <w:t>scientometric</w:t>
      </w:r>
      <w:proofErr w:type="spellEnd"/>
      <w:r w:rsidRPr="00CF3C7A">
        <w:rPr>
          <w:rFonts w:ascii="Arial" w:hAnsi="Arial" w:cs="Arial"/>
        </w:rPr>
        <w:t xml:space="preserve"> interrelationship analysis. Journal of Indian Business Research.</w:t>
      </w:r>
    </w:p>
    <w:p w14:paraId="3936CF4C" w14:textId="0FD9E100" w:rsidR="003A38E0" w:rsidRDefault="003A38E0" w:rsidP="003A38E0">
      <w:pPr>
        <w:spacing w:line="360" w:lineRule="auto"/>
        <w:rPr>
          <w:rFonts w:ascii="Arial" w:hAnsi="Arial" w:cs="Arial"/>
        </w:rPr>
      </w:pPr>
      <w:proofErr w:type="spellStart"/>
      <w:r w:rsidRPr="00CF3C7A">
        <w:rPr>
          <w:rFonts w:ascii="Arial" w:hAnsi="Arial" w:cs="Arial"/>
        </w:rPr>
        <w:t>Bohdanowicz</w:t>
      </w:r>
      <w:proofErr w:type="spellEnd"/>
      <w:r w:rsidRPr="00CF3C7A">
        <w:rPr>
          <w:rFonts w:ascii="Arial" w:hAnsi="Arial" w:cs="Arial"/>
        </w:rPr>
        <w:t xml:space="preserve">, P., Zientara, P., &amp; Novotna, E., 2011. International hotel chains and environmental protection: an analysis of Hilton's we care! programme (Europe, 2006–2008). Journal of Sustainable Tourism, 19, pp. 797 - 816. </w:t>
      </w:r>
      <w:hyperlink r:id="rId5" w:history="1">
        <w:r w:rsidRPr="00CF3C7A">
          <w:rPr>
            <w:rStyle w:val="Hyperlink"/>
            <w:rFonts w:ascii="Arial" w:hAnsi="Arial" w:cs="Arial"/>
          </w:rPr>
          <w:t>https://doi.org/10.1080/09669582.2010.549566</w:t>
        </w:r>
      </w:hyperlink>
      <w:r w:rsidRPr="00CF3C7A">
        <w:rPr>
          <w:rFonts w:ascii="Arial" w:hAnsi="Arial" w:cs="Arial"/>
        </w:rPr>
        <w:t xml:space="preserve">. </w:t>
      </w:r>
      <w:r>
        <w:rPr>
          <w:rFonts w:ascii="Arial" w:hAnsi="Arial" w:cs="Arial"/>
        </w:rPr>
        <w:t>(Accessed on: 4</w:t>
      </w:r>
      <w:r w:rsidRPr="00477D03">
        <w:rPr>
          <w:rFonts w:ascii="Arial" w:hAnsi="Arial" w:cs="Arial"/>
          <w:vertAlign w:val="superscript"/>
        </w:rPr>
        <w:t>th</w:t>
      </w:r>
      <w:r>
        <w:rPr>
          <w:rFonts w:ascii="Arial" w:hAnsi="Arial" w:cs="Arial"/>
        </w:rPr>
        <w:t xml:space="preserve"> May 2024)</w:t>
      </w:r>
      <w:r>
        <w:rPr>
          <w:rFonts w:ascii="Arial" w:hAnsi="Arial" w:cs="Arial"/>
        </w:rPr>
        <w:t>.</w:t>
      </w:r>
    </w:p>
    <w:p w14:paraId="10BAF537" w14:textId="71817E5E" w:rsidR="003A38E0" w:rsidRDefault="003A38E0" w:rsidP="003A38E0">
      <w:pPr>
        <w:spacing w:line="360" w:lineRule="auto"/>
        <w:rPr>
          <w:rFonts w:ascii="Arial" w:hAnsi="Arial" w:cs="Arial"/>
        </w:rPr>
      </w:pPr>
      <w:r w:rsidRPr="00CF3C7A">
        <w:rPr>
          <w:rFonts w:ascii="Arial" w:hAnsi="Arial" w:cs="Arial"/>
        </w:rPr>
        <w:t xml:space="preserve">Chen, L., 2019. Hotel chain affiliation as an environmental performance strategy for luxury hotels. International Journal of Hospitality Management. </w:t>
      </w:r>
      <w:hyperlink r:id="rId6" w:history="1">
        <w:r w:rsidRPr="00CF3C7A">
          <w:rPr>
            <w:rStyle w:val="Hyperlink"/>
            <w:rFonts w:ascii="Arial" w:hAnsi="Arial" w:cs="Arial"/>
          </w:rPr>
          <w:t>https://doi.org/10.1016/J.IJHM.2018.08.021</w:t>
        </w:r>
      </w:hyperlink>
      <w:r w:rsidRPr="00CF3C7A">
        <w:rPr>
          <w:rFonts w:ascii="Arial" w:hAnsi="Arial" w:cs="Arial"/>
        </w:rPr>
        <w:t xml:space="preserve">. </w:t>
      </w:r>
      <w:r>
        <w:rPr>
          <w:rFonts w:ascii="Arial" w:hAnsi="Arial" w:cs="Arial"/>
        </w:rPr>
        <w:t>(Accessed on: 3</w:t>
      </w:r>
      <w:r w:rsidRPr="00477D03">
        <w:rPr>
          <w:rFonts w:ascii="Arial" w:hAnsi="Arial" w:cs="Arial"/>
          <w:vertAlign w:val="superscript"/>
        </w:rPr>
        <w:t>rd</w:t>
      </w:r>
      <w:r>
        <w:rPr>
          <w:rFonts w:ascii="Arial" w:hAnsi="Arial" w:cs="Arial"/>
        </w:rPr>
        <w:t xml:space="preserve"> May 2024)</w:t>
      </w:r>
      <w:r>
        <w:rPr>
          <w:rFonts w:ascii="Arial" w:hAnsi="Arial" w:cs="Arial"/>
        </w:rPr>
        <w:t>.</w:t>
      </w:r>
    </w:p>
    <w:p w14:paraId="0879398A" w14:textId="7D0CDCD9" w:rsidR="003A38E0" w:rsidRPr="00CF3C7A" w:rsidRDefault="003A38E0" w:rsidP="003A38E0">
      <w:pPr>
        <w:spacing w:line="360" w:lineRule="auto"/>
        <w:rPr>
          <w:rFonts w:ascii="Arial" w:hAnsi="Arial" w:cs="Arial"/>
        </w:rPr>
      </w:pPr>
      <w:proofErr w:type="spellStart"/>
      <w:r w:rsidRPr="00CF3C7A">
        <w:rPr>
          <w:rFonts w:ascii="Arial" w:hAnsi="Arial" w:cs="Arial"/>
        </w:rPr>
        <w:t>Elmohandes</w:t>
      </w:r>
      <w:proofErr w:type="spellEnd"/>
      <w:r w:rsidRPr="00CF3C7A">
        <w:rPr>
          <w:rFonts w:ascii="Arial" w:hAnsi="Arial" w:cs="Arial"/>
        </w:rPr>
        <w:t xml:space="preserve">, N., &amp; Csobán, K., 2022. Industrial 4.0 Revolution: Can it Positively Step into a Sustainable </w:t>
      </w:r>
      <w:proofErr w:type="gramStart"/>
      <w:r w:rsidRPr="00CF3C7A">
        <w:rPr>
          <w:rFonts w:ascii="Arial" w:hAnsi="Arial" w:cs="Arial"/>
        </w:rPr>
        <w:t>Hospitality?.</w:t>
      </w:r>
      <w:proofErr w:type="gramEnd"/>
      <w:r w:rsidRPr="00CF3C7A">
        <w:rPr>
          <w:rFonts w:ascii="Arial" w:hAnsi="Arial" w:cs="Arial"/>
        </w:rPr>
        <w:t xml:space="preserve"> Applied Studies in Agribusiness and Commerce. </w:t>
      </w:r>
      <w:hyperlink r:id="rId7" w:history="1">
        <w:r w:rsidRPr="00CF3C7A">
          <w:rPr>
            <w:rStyle w:val="Hyperlink"/>
            <w:rFonts w:ascii="Arial" w:hAnsi="Arial" w:cs="Arial"/>
          </w:rPr>
          <w:t>https://doi.org/10.19041/apstract/2022/2/4</w:t>
        </w:r>
      </w:hyperlink>
      <w:r w:rsidRPr="00CF3C7A">
        <w:rPr>
          <w:rFonts w:ascii="Arial" w:hAnsi="Arial" w:cs="Arial"/>
        </w:rPr>
        <w:t xml:space="preserve">. </w:t>
      </w:r>
      <w:r>
        <w:rPr>
          <w:rFonts w:ascii="Arial" w:hAnsi="Arial" w:cs="Arial"/>
        </w:rPr>
        <w:t>(Accessed on: 1</w:t>
      </w:r>
      <w:r w:rsidRPr="00477D03">
        <w:rPr>
          <w:rFonts w:ascii="Arial" w:hAnsi="Arial" w:cs="Arial"/>
          <w:vertAlign w:val="superscript"/>
        </w:rPr>
        <w:t>st</w:t>
      </w:r>
      <w:r>
        <w:rPr>
          <w:rFonts w:ascii="Arial" w:hAnsi="Arial" w:cs="Arial"/>
        </w:rPr>
        <w:t xml:space="preserve"> May 2024)</w:t>
      </w:r>
      <w:r>
        <w:rPr>
          <w:rFonts w:ascii="Arial" w:hAnsi="Arial" w:cs="Arial"/>
        </w:rPr>
        <w:t>.</w:t>
      </w:r>
    </w:p>
    <w:p w14:paraId="1915FD54" w14:textId="574494CA" w:rsidR="003A38E0" w:rsidRDefault="003A38E0" w:rsidP="003A38E0">
      <w:pPr>
        <w:spacing w:line="360" w:lineRule="auto"/>
        <w:rPr>
          <w:rFonts w:ascii="Arial" w:hAnsi="Arial" w:cs="Arial"/>
        </w:rPr>
      </w:pPr>
      <w:proofErr w:type="spellStart"/>
      <w:r w:rsidRPr="00CF3C7A">
        <w:rPr>
          <w:rFonts w:ascii="Arial" w:hAnsi="Arial" w:cs="Arial"/>
        </w:rPr>
        <w:t>Ertuna</w:t>
      </w:r>
      <w:proofErr w:type="spellEnd"/>
      <w:r w:rsidRPr="00CF3C7A">
        <w:rPr>
          <w:rFonts w:ascii="Arial" w:hAnsi="Arial" w:cs="Arial"/>
        </w:rPr>
        <w:t>, B., Karatas</w:t>
      </w:r>
      <w:r w:rsidRPr="00CF3C7A">
        <w:rPr>
          <w:rFonts w:ascii="Cambria Math" w:hAnsi="Cambria Math" w:cs="Cambria Math"/>
        </w:rPr>
        <w:t>‐</w:t>
      </w:r>
      <w:r w:rsidRPr="00CF3C7A">
        <w:rPr>
          <w:rFonts w:ascii="Arial" w:hAnsi="Arial" w:cs="Arial"/>
        </w:rPr>
        <w:t>Ozkan, M., &amp; Yamak, S., 2019. Diffusion of sustainability and CSR discourse in hospitality industry. International Journal of Contemporary Hospitality Management.</w:t>
      </w:r>
      <w:r>
        <w:rPr>
          <w:rFonts w:ascii="Arial" w:hAnsi="Arial" w:cs="Arial"/>
        </w:rPr>
        <w:t xml:space="preserve"> </w:t>
      </w:r>
      <w:hyperlink r:id="rId8" w:history="1">
        <w:r w:rsidRPr="00530586">
          <w:rPr>
            <w:rStyle w:val="Hyperlink"/>
            <w:rFonts w:ascii="Arial" w:hAnsi="Arial" w:cs="Arial"/>
          </w:rPr>
          <w:t>https://wlv.openrepository.com/bitstream/handle/2436/622035/Diffusion%20of%20Sustainability.pdf?sequence=1&amp;isAllowed=n</w:t>
        </w:r>
      </w:hyperlink>
      <w:r w:rsidRPr="00CF3C7A">
        <w:rPr>
          <w:rFonts w:ascii="Arial" w:hAnsi="Arial" w:cs="Arial"/>
        </w:rPr>
        <w:t xml:space="preserve"> </w:t>
      </w:r>
      <w:r>
        <w:rPr>
          <w:rFonts w:ascii="Arial" w:hAnsi="Arial" w:cs="Arial"/>
        </w:rPr>
        <w:t>(Accessed on: 4</w:t>
      </w:r>
      <w:r w:rsidRPr="00477D03">
        <w:rPr>
          <w:rFonts w:ascii="Arial" w:hAnsi="Arial" w:cs="Arial"/>
          <w:vertAlign w:val="superscript"/>
        </w:rPr>
        <w:t>th</w:t>
      </w:r>
      <w:r>
        <w:rPr>
          <w:rFonts w:ascii="Arial" w:hAnsi="Arial" w:cs="Arial"/>
        </w:rPr>
        <w:t xml:space="preserve"> May 2024)</w:t>
      </w:r>
      <w:r>
        <w:rPr>
          <w:rFonts w:ascii="Arial" w:hAnsi="Arial" w:cs="Arial"/>
        </w:rPr>
        <w:t>.</w:t>
      </w:r>
    </w:p>
    <w:p w14:paraId="3E0255B0" w14:textId="77777777" w:rsidR="003A38E0" w:rsidRPr="00CF3C7A" w:rsidRDefault="003A38E0" w:rsidP="003A38E0">
      <w:pPr>
        <w:spacing w:line="360" w:lineRule="auto"/>
        <w:rPr>
          <w:rFonts w:ascii="Arial" w:hAnsi="Arial" w:cs="Arial"/>
        </w:rPr>
      </w:pPr>
      <w:r w:rsidRPr="00CF3C7A">
        <w:rPr>
          <w:rFonts w:ascii="Arial" w:hAnsi="Arial" w:cs="Arial"/>
          <w:color w:val="222222"/>
          <w:shd w:val="clear" w:color="auto" w:fill="FFFFFF"/>
        </w:rPr>
        <w:t>Hah, K. and Freeman, S., 2014. Multinational enterprise subsidiaries and their CSR: A conceptual framework of the management of CSR in smaller emerging economies. </w:t>
      </w:r>
      <w:r w:rsidRPr="00CF3C7A">
        <w:rPr>
          <w:rFonts w:ascii="Arial" w:hAnsi="Arial" w:cs="Arial"/>
          <w:i/>
          <w:iCs/>
          <w:color w:val="222222"/>
          <w:shd w:val="clear" w:color="auto" w:fill="FFFFFF"/>
        </w:rPr>
        <w:t>Journal of business ethics</w:t>
      </w:r>
      <w:r w:rsidRPr="00CF3C7A">
        <w:rPr>
          <w:rFonts w:ascii="Arial" w:hAnsi="Arial" w:cs="Arial"/>
          <w:color w:val="222222"/>
          <w:shd w:val="clear" w:color="auto" w:fill="FFFFFF"/>
        </w:rPr>
        <w:t>, </w:t>
      </w:r>
      <w:r w:rsidRPr="00CF3C7A">
        <w:rPr>
          <w:rFonts w:ascii="Arial" w:hAnsi="Arial" w:cs="Arial"/>
          <w:i/>
          <w:iCs/>
          <w:color w:val="222222"/>
          <w:shd w:val="clear" w:color="auto" w:fill="FFFFFF"/>
        </w:rPr>
        <w:t>122</w:t>
      </w:r>
      <w:r w:rsidRPr="00CF3C7A">
        <w:rPr>
          <w:rFonts w:ascii="Arial" w:hAnsi="Arial" w:cs="Arial"/>
          <w:color w:val="222222"/>
          <w:shd w:val="clear" w:color="auto" w:fill="FFFFFF"/>
        </w:rPr>
        <w:t xml:space="preserve">, pp.125-136. </w:t>
      </w:r>
    </w:p>
    <w:p w14:paraId="7A9E051E" w14:textId="223B47F7" w:rsidR="003A38E0" w:rsidRDefault="003A38E0" w:rsidP="003A38E0">
      <w:pPr>
        <w:spacing w:line="360" w:lineRule="auto"/>
        <w:rPr>
          <w:rFonts w:ascii="Arial" w:hAnsi="Arial" w:cs="Arial"/>
        </w:rPr>
      </w:pPr>
      <w:proofErr w:type="spellStart"/>
      <w:r w:rsidRPr="00CF3C7A">
        <w:rPr>
          <w:rFonts w:ascii="Arial" w:hAnsi="Arial" w:cs="Arial"/>
        </w:rPr>
        <w:t>Helfaya</w:t>
      </w:r>
      <w:proofErr w:type="spellEnd"/>
      <w:r w:rsidRPr="00CF3C7A">
        <w:rPr>
          <w:rFonts w:ascii="Arial" w:hAnsi="Arial" w:cs="Arial"/>
        </w:rPr>
        <w:t xml:space="preserve">, A., &amp; Moussa, T., 2017. Do the Board’s Corporate Social Responsibility Strategy and Orientation Influence Environmental Sustainability Disclosure? UK Evidence. Business Strategy and The Environment, 26, pp. 1061-1077. </w:t>
      </w:r>
      <w:hyperlink r:id="rId9" w:history="1">
        <w:r w:rsidRPr="00CF3C7A">
          <w:rPr>
            <w:rStyle w:val="Hyperlink"/>
            <w:rFonts w:ascii="Arial" w:hAnsi="Arial" w:cs="Arial"/>
          </w:rPr>
          <w:t>https://doi.org/10.1002/BSE.1960</w:t>
        </w:r>
      </w:hyperlink>
      <w:r w:rsidRPr="00CF3C7A">
        <w:rPr>
          <w:rFonts w:ascii="Arial" w:hAnsi="Arial" w:cs="Arial"/>
        </w:rPr>
        <w:t>.</w:t>
      </w:r>
      <w:r>
        <w:rPr>
          <w:rFonts w:ascii="Arial" w:hAnsi="Arial" w:cs="Arial"/>
        </w:rPr>
        <w:t xml:space="preserve"> (Accessed on: 28</w:t>
      </w:r>
      <w:r w:rsidRPr="00477D03">
        <w:rPr>
          <w:rFonts w:ascii="Arial" w:hAnsi="Arial" w:cs="Arial"/>
          <w:vertAlign w:val="superscript"/>
        </w:rPr>
        <w:t>th</w:t>
      </w:r>
      <w:r>
        <w:rPr>
          <w:rFonts w:ascii="Arial" w:hAnsi="Arial" w:cs="Arial"/>
        </w:rPr>
        <w:t xml:space="preserve"> April 2024)</w:t>
      </w:r>
      <w:r>
        <w:rPr>
          <w:rFonts w:ascii="Arial" w:hAnsi="Arial" w:cs="Arial"/>
        </w:rPr>
        <w:t>.</w:t>
      </w:r>
    </w:p>
    <w:p w14:paraId="64673C60" w14:textId="543C23EE" w:rsidR="003A38E0" w:rsidRDefault="003A38E0" w:rsidP="003A38E0">
      <w:pPr>
        <w:spacing w:line="360" w:lineRule="auto"/>
        <w:rPr>
          <w:rFonts w:ascii="Arial" w:hAnsi="Arial" w:cs="Arial"/>
        </w:rPr>
      </w:pPr>
      <w:proofErr w:type="spellStart"/>
      <w:r w:rsidRPr="00CF3C7A">
        <w:rPr>
          <w:rFonts w:ascii="Arial" w:hAnsi="Arial" w:cs="Arial"/>
        </w:rPr>
        <w:t>Khunon</w:t>
      </w:r>
      <w:proofErr w:type="spellEnd"/>
      <w:r w:rsidRPr="00CF3C7A">
        <w:rPr>
          <w:rFonts w:ascii="Arial" w:hAnsi="Arial" w:cs="Arial"/>
        </w:rPr>
        <w:t xml:space="preserve">, S., &amp; </w:t>
      </w:r>
      <w:proofErr w:type="spellStart"/>
      <w:r w:rsidRPr="00CF3C7A">
        <w:rPr>
          <w:rFonts w:ascii="Arial" w:hAnsi="Arial" w:cs="Arial"/>
        </w:rPr>
        <w:t>Muangasame</w:t>
      </w:r>
      <w:proofErr w:type="spellEnd"/>
      <w:r w:rsidRPr="00CF3C7A">
        <w:rPr>
          <w:rFonts w:ascii="Arial" w:hAnsi="Arial" w:cs="Arial"/>
        </w:rPr>
        <w:t xml:space="preserve">, K., 2013. The Differences between Local and International Chain Hotels in CSR Management: Empirical Findings from a Case Study in Thailand. Asian Social Science, 9, pp. 209. </w:t>
      </w:r>
      <w:hyperlink r:id="rId10" w:history="1">
        <w:r w:rsidRPr="00CF3C7A">
          <w:rPr>
            <w:rStyle w:val="Hyperlink"/>
            <w:rFonts w:ascii="Arial" w:hAnsi="Arial" w:cs="Arial"/>
          </w:rPr>
          <w:t>https://doi.org/10.5539/ASS.V9N5P209</w:t>
        </w:r>
      </w:hyperlink>
      <w:r w:rsidRPr="00CF3C7A">
        <w:rPr>
          <w:rFonts w:ascii="Arial" w:hAnsi="Arial" w:cs="Arial"/>
        </w:rPr>
        <w:t>.</w:t>
      </w:r>
      <w:r>
        <w:rPr>
          <w:rFonts w:ascii="Arial" w:hAnsi="Arial" w:cs="Arial"/>
        </w:rPr>
        <w:t xml:space="preserve"> (Accessed on: 4</w:t>
      </w:r>
      <w:r w:rsidRPr="00477D03">
        <w:rPr>
          <w:rFonts w:ascii="Arial" w:hAnsi="Arial" w:cs="Arial"/>
          <w:vertAlign w:val="superscript"/>
        </w:rPr>
        <w:t>th</w:t>
      </w:r>
      <w:r>
        <w:rPr>
          <w:rFonts w:ascii="Arial" w:hAnsi="Arial" w:cs="Arial"/>
        </w:rPr>
        <w:t xml:space="preserve"> May 2024</w:t>
      </w:r>
      <w:r>
        <w:rPr>
          <w:rFonts w:ascii="Arial" w:hAnsi="Arial" w:cs="Arial"/>
        </w:rPr>
        <w:t>).</w:t>
      </w:r>
    </w:p>
    <w:p w14:paraId="65820420" w14:textId="4FFA6687" w:rsidR="003A38E0" w:rsidRDefault="003A38E0" w:rsidP="003A38E0">
      <w:pPr>
        <w:spacing w:line="360" w:lineRule="auto"/>
        <w:rPr>
          <w:rFonts w:ascii="Arial" w:hAnsi="Arial" w:cs="Arial"/>
        </w:rPr>
      </w:pPr>
      <w:r w:rsidRPr="00CF3C7A">
        <w:rPr>
          <w:rFonts w:ascii="Arial" w:hAnsi="Arial" w:cs="Arial"/>
        </w:rPr>
        <w:lastRenderedPageBreak/>
        <w:t xml:space="preserve">Li, K., Khalili, N., &amp; Cheng, W., 2019. Corporate Social Responsibility Practices in China: Trends, Context, and Impact on Company Performance. Sustainability. </w:t>
      </w:r>
      <w:hyperlink r:id="rId11" w:history="1">
        <w:r w:rsidRPr="00CF3C7A">
          <w:rPr>
            <w:rStyle w:val="Hyperlink"/>
            <w:rFonts w:ascii="Arial" w:hAnsi="Arial" w:cs="Arial"/>
          </w:rPr>
          <w:t>https://doi.org/10.3390/SU11020354</w:t>
        </w:r>
      </w:hyperlink>
      <w:r w:rsidRPr="00CF3C7A">
        <w:rPr>
          <w:rFonts w:ascii="Arial" w:hAnsi="Arial" w:cs="Arial"/>
        </w:rPr>
        <w:t>.</w:t>
      </w:r>
      <w:r>
        <w:rPr>
          <w:rFonts w:ascii="Arial" w:hAnsi="Arial" w:cs="Arial"/>
        </w:rPr>
        <w:t xml:space="preserve"> (Accessed on: 27</w:t>
      </w:r>
      <w:r w:rsidRPr="00477D03">
        <w:rPr>
          <w:rFonts w:ascii="Arial" w:hAnsi="Arial" w:cs="Arial"/>
          <w:vertAlign w:val="superscript"/>
        </w:rPr>
        <w:t>th</w:t>
      </w:r>
      <w:r>
        <w:rPr>
          <w:rFonts w:ascii="Arial" w:hAnsi="Arial" w:cs="Arial"/>
        </w:rPr>
        <w:t xml:space="preserve"> April 2024)</w:t>
      </w:r>
      <w:r>
        <w:rPr>
          <w:rFonts w:ascii="Arial" w:hAnsi="Arial" w:cs="Arial"/>
        </w:rPr>
        <w:t>.</w:t>
      </w:r>
    </w:p>
    <w:p w14:paraId="11155D90" w14:textId="55A25742" w:rsidR="003A38E0" w:rsidRPr="00CF3C7A" w:rsidRDefault="003A38E0" w:rsidP="003A38E0">
      <w:pPr>
        <w:spacing w:line="360" w:lineRule="auto"/>
        <w:rPr>
          <w:rFonts w:ascii="Arial" w:hAnsi="Arial" w:cs="Arial"/>
        </w:rPr>
      </w:pPr>
      <w:r w:rsidRPr="00CF3C7A">
        <w:rPr>
          <w:rFonts w:ascii="Arial" w:hAnsi="Arial" w:cs="Arial"/>
        </w:rPr>
        <w:t xml:space="preserve">Manninen, K., Koskela, S., Antikainen, R., </w:t>
      </w:r>
      <w:proofErr w:type="spellStart"/>
      <w:r w:rsidRPr="00CF3C7A">
        <w:rPr>
          <w:rFonts w:ascii="Arial" w:hAnsi="Arial" w:cs="Arial"/>
        </w:rPr>
        <w:t>Bocken</w:t>
      </w:r>
      <w:proofErr w:type="spellEnd"/>
      <w:r w:rsidRPr="00CF3C7A">
        <w:rPr>
          <w:rFonts w:ascii="Arial" w:hAnsi="Arial" w:cs="Arial"/>
        </w:rPr>
        <w:t xml:space="preserve">, N., </w:t>
      </w:r>
      <w:proofErr w:type="spellStart"/>
      <w:r w:rsidRPr="00CF3C7A">
        <w:rPr>
          <w:rFonts w:ascii="Arial" w:hAnsi="Arial" w:cs="Arial"/>
        </w:rPr>
        <w:t>Dahlbo</w:t>
      </w:r>
      <w:proofErr w:type="spellEnd"/>
      <w:r w:rsidRPr="00CF3C7A">
        <w:rPr>
          <w:rFonts w:ascii="Arial" w:hAnsi="Arial" w:cs="Arial"/>
        </w:rPr>
        <w:t xml:space="preserve">, H., &amp; Aminoff, A., 2018. Do circular economy business models capture intended environmental value propositions. Journal of Cleaner Production, 171, pp. 413-422. </w:t>
      </w:r>
      <w:hyperlink r:id="rId12" w:history="1">
        <w:r w:rsidRPr="00CF3C7A">
          <w:rPr>
            <w:rStyle w:val="Hyperlink"/>
            <w:rFonts w:ascii="Arial" w:hAnsi="Arial" w:cs="Arial"/>
          </w:rPr>
          <w:t>https://doi.org/10.1016/J.JCLEPRO.2017.10.003</w:t>
        </w:r>
      </w:hyperlink>
      <w:r w:rsidRPr="00CF3C7A">
        <w:rPr>
          <w:rFonts w:ascii="Arial" w:hAnsi="Arial" w:cs="Arial"/>
        </w:rPr>
        <w:t>.</w:t>
      </w:r>
      <w:r>
        <w:rPr>
          <w:rFonts w:ascii="Arial" w:hAnsi="Arial" w:cs="Arial"/>
        </w:rPr>
        <w:t xml:space="preserve"> (Accessed on: 3</w:t>
      </w:r>
      <w:r w:rsidRPr="00477D03">
        <w:rPr>
          <w:rFonts w:ascii="Arial" w:hAnsi="Arial" w:cs="Arial"/>
          <w:vertAlign w:val="superscript"/>
        </w:rPr>
        <w:t>rd</w:t>
      </w:r>
      <w:r>
        <w:rPr>
          <w:rFonts w:ascii="Arial" w:hAnsi="Arial" w:cs="Arial"/>
        </w:rPr>
        <w:t xml:space="preserve"> May 2024)</w:t>
      </w:r>
      <w:r>
        <w:rPr>
          <w:rFonts w:ascii="Arial" w:hAnsi="Arial" w:cs="Arial"/>
        </w:rPr>
        <w:t>.</w:t>
      </w:r>
    </w:p>
    <w:p w14:paraId="26085EC7" w14:textId="263836FD" w:rsidR="003A38E0" w:rsidRDefault="003A38E0" w:rsidP="003A38E0">
      <w:pPr>
        <w:spacing w:line="360" w:lineRule="auto"/>
        <w:rPr>
          <w:rFonts w:ascii="Arial" w:hAnsi="Arial" w:cs="Arial"/>
        </w:rPr>
      </w:pPr>
      <w:r w:rsidRPr="00CF3C7A">
        <w:rPr>
          <w:rFonts w:ascii="Arial" w:hAnsi="Arial" w:cs="Arial"/>
        </w:rPr>
        <w:t xml:space="preserve">Marriott, 2022. Server 360 Report. Environmental, Social, and Governance Process. </w:t>
      </w:r>
      <w:hyperlink r:id="rId13" w:history="1">
        <w:r w:rsidRPr="00CF3C7A">
          <w:rPr>
            <w:rStyle w:val="Hyperlink"/>
            <w:rFonts w:ascii="Arial" w:hAnsi="Arial" w:cs="Arial"/>
          </w:rPr>
          <w:t>http://serve360.marriott.com/wp-content/uploads/2022/10/Marriott-2022-Serve-360-ESG-Report-accessible_F.pdf</w:t>
        </w:r>
      </w:hyperlink>
      <w:r w:rsidRPr="00CF3C7A">
        <w:rPr>
          <w:rFonts w:ascii="Arial" w:hAnsi="Arial" w:cs="Arial"/>
        </w:rPr>
        <w:t xml:space="preserve"> </w:t>
      </w:r>
      <w:r>
        <w:rPr>
          <w:rFonts w:ascii="Arial" w:hAnsi="Arial" w:cs="Arial"/>
        </w:rPr>
        <w:t>(Accessed on: 28</w:t>
      </w:r>
      <w:r w:rsidRPr="003A38E0">
        <w:rPr>
          <w:rFonts w:ascii="Arial" w:hAnsi="Arial" w:cs="Arial"/>
          <w:vertAlign w:val="superscript"/>
        </w:rPr>
        <w:t>th</w:t>
      </w:r>
      <w:r>
        <w:rPr>
          <w:rFonts w:ascii="Arial" w:hAnsi="Arial" w:cs="Arial"/>
        </w:rPr>
        <w:t xml:space="preserve"> April 2024)</w:t>
      </w:r>
      <w:r>
        <w:rPr>
          <w:rFonts w:ascii="Arial" w:hAnsi="Arial" w:cs="Arial"/>
        </w:rPr>
        <w:t>.</w:t>
      </w:r>
    </w:p>
    <w:p w14:paraId="3E86D0C5" w14:textId="77777777" w:rsidR="00AE0372" w:rsidRPr="00AE0372" w:rsidRDefault="00AE0372" w:rsidP="00AE0372">
      <w:pPr>
        <w:spacing w:line="360" w:lineRule="auto"/>
        <w:rPr>
          <w:rFonts w:ascii="Arial" w:hAnsi="Arial" w:cs="Arial"/>
        </w:rPr>
      </w:pPr>
      <w:r w:rsidRPr="00AE0372">
        <w:rPr>
          <w:rFonts w:ascii="Arial" w:hAnsi="Arial" w:cs="Arial"/>
        </w:rPr>
        <w:t xml:space="preserve">Mark, W., French, L., &amp; Wong, T., 2020. Marriott's strategic sustainability priorities in the Chinese hotel industry. International Journal of Sustainable Strategic Management. </w:t>
      </w:r>
      <w:hyperlink r:id="rId14" w:history="1">
        <w:r w:rsidRPr="00AE0372">
          <w:rPr>
            <w:rStyle w:val="Hyperlink"/>
            <w:rFonts w:ascii="Arial" w:hAnsi="Arial" w:cs="Arial"/>
          </w:rPr>
          <w:t>https://doi.o</w:t>
        </w:r>
        <w:r w:rsidRPr="00AE0372">
          <w:rPr>
            <w:rStyle w:val="Hyperlink"/>
            <w:rFonts w:ascii="Arial" w:hAnsi="Arial" w:cs="Arial"/>
          </w:rPr>
          <w:t>r</w:t>
        </w:r>
        <w:r w:rsidRPr="00AE0372">
          <w:rPr>
            <w:rStyle w:val="Hyperlink"/>
            <w:rFonts w:ascii="Arial" w:hAnsi="Arial" w:cs="Arial"/>
          </w:rPr>
          <w:t>g/10.1504/ijssm.2020.10027248</w:t>
        </w:r>
      </w:hyperlink>
      <w:r w:rsidRPr="00AE0372">
        <w:rPr>
          <w:rFonts w:ascii="Arial" w:hAnsi="Arial" w:cs="Arial"/>
        </w:rPr>
        <w:t>. (Accessed on: 3</w:t>
      </w:r>
      <w:r w:rsidRPr="00AE0372">
        <w:rPr>
          <w:rFonts w:ascii="Arial" w:hAnsi="Arial" w:cs="Arial"/>
          <w:vertAlign w:val="superscript"/>
        </w:rPr>
        <w:t>rd</w:t>
      </w:r>
      <w:r w:rsidRPr="00AE0372">
        <w:rPr>
          <w:rFonts w:ascii="Arial" w:hAnsi="Arial" w:cs="Arial"/>
        </w:rPr>
        <w:t xml:space="preserve"> May 2024)</w:t>
      </w:r>
    </w:p>
    <w:p w14:paraId="25AA0925" w14:textId="0E3BC66F" w:rsidR="003A38E0" w:rsidRDefault="003A38E0" w:rsidP="003A38E0">
      <w:pPr>
        <w:spacing w:line="360" w:lineRule="auto"/>
        <w:rPr>
          <w:rFonts w:ascii="Arial" w:hAnsi="Arial" w:cs="Arial"/>
        </w:rPr>
      </w:pPr>
      <w:r w:rsidRPr="00CF3C7A">
        <w:rPr>
          <w:rFonts w:ascii="Arial" w:hAnsi="Arial" w:cs="Arial"/>
        </w:rPr>
        <w:t xml:space="preserve">Morea, D., Fortunati, S., &amp; Martiniello, L., 2021. Circular economy and corporate social responsibility: Towards an integrated strategic approach in the multinational cosmetics industry. Journal of Cleaner Production, 315, pp. 128232. </w:t>
      </w:r>
      <w:hyperlink r:id="rId15" w:history="1">
        <w:r w:rsidRPr="00CF3C7A">
          <w:rPr>
            <w:rStyle w:val="Hyperlink"/>
            <w:rFonts w:ascii="Arial" w:hAnsi="Arial" w:cs="Arial"/>
          </w:rPr>
          <w:t>https://doi.org/10.1016/J.JCLEPRO.2021.128232</w:t>
        </w:r>
      </w:hyperlink>
      <w:r w:rsidRPr="00CF3C7A">
        <w:rPr>
          <w:rFonts w:ascii="Arial" w:hAnsi="Arial" w:cs="Arial"/>
        </w:rPr>
        <w:t xml:space="preserve">. </w:t>
      </w:r>
      <w:r>
        <w:rPr>
          <w:rFonts w:ascii="Arial" w:hAnsi="Arial" w:cs="Arial"/>
        </w:rPr>
        <w:t>(Accessed on: 3</w:t>
      </w:r>
      <w:r w:rsidRPr="00477D03">
        <w:rPr>
          <w:rFonts w:ascii="Arial" w:hAnsi="Arial" w:cs="Arial"/>
          <w:vertAlign w:val="superscript"/>
        </w:rPr>
        <w:t>rd</w:t>
      </w:r>
      <w:r>
        <w:rPr>
          <w:rFonts w:ascii="Arial" w:hAnsi="Arial" w:cs="Arial"/>
        </w:rPr>
        <w:t xml:space="preserve"> May 2024)</w:t>
      </w:r>
      <w:r>
        <w:rPr>
          <w:rFonts w:ascii="Arial" w:hAnsi="Arial" w:cs="Arial"/>
        </w:rPr>
        <w:t>.</w:t>
      </w:r>
    </w:p>
    <w:p w14:paraId="5B0B4DC9" w14:textId="1FB56DA3" w:rsidR="003A38E0" w:rsidRDefault="003A38E0" w:rsidP="003A38E0">
      <w:pPr>
        <w:spacing w:line="360" w:lineRule="auto"/>
        <w:rPr>
          <w:rFonts w:ascii="Arial" w:hAnsi="Arial" w:cs="Arial"/>
        </w:rPr>
      </w:pPr>
      <w:r w:rsidRPr="00CF3C7A">
        <w:rPr>
          <w:rFonts w:ascii="Arial" w:hAnsi="Arial" w:cs="Arial"/>
        </w:rPr>
        <w:t xml:space="preserve">Narayanan, S., 2022. Does Generation Z value and reward corporate social responsibility practices? Journal of Marketing Management, 38, pp. 903 - 937. </w:t>
      </w:r>
      <w:hyperlink r:id="rId16" w:history="1">
        <w:r w:rsidRPr="00CF3C7A">
          <w:rPr>
            <w:rStyle w:val="Hyperlink"/>
            <w:rFonts w:ascii="Arial" w:hAnsi="Arial" w:cs="Arial"/>
          </w:rPr>
          <w:t>https://doi.org/10.1080/0267257X.2022.2070654</w:t>
        </w:r>
      </w:hyperlink>
      <w:r w:rsidRPr="00CF3C7A">
        <w:rPr>
          <w:rFonts w:ascii="Arial" w:hAnsi="Arial" w:cs="Arial"/>
        </w:rPr>
        <w:t>.</w:t>
      </w:r>
      <w:r>
        <w:rPr>
          <w:rFonts w:ascii="Arial" w:hAnsi="Arial" w:cs="Arial"/>
        </w:rPr>
        <w:t xml:space="preserve"> (Accessed on: 28</w:t>
      </w:r>
      <w:r w:rsidRPr="00477D03">
        <w:rPr>
          <w:rFonts w:ascii="Arial" w:hAnsi="Arial" w:cs="Arial"/>
          <w:vertAlign w:val="superscript"/>
        </w:rPr>
        <w:t>th</w:t>
      </w:r>
      <w:r>
        <w:rPr>
          <w:rFonts w:ascii="Arial" w:hAnsi="Arial" w:cs="Arial"/>
        </w:rPr>
        <w:t xml:space="preserve"> April 2024)</w:t>
      </w:r>
      <w:r>
        <w:rPr>
          <w:rFonts w:ascii="Arial" w:hAnsi="Arial" w:cs="Arial"/>
        </w:rPr>
        <w:t>.</w:t>
      </w:r>
    </w:p>
    <w:p w14:paraId="01D953DC" w14:textId="060C44BB" w:rsidR="003A38E0" w:rsidRDefault="003A38E0" w:rsidP="003A38E0">
      <w:pPr>
        <w:spacing w:line="360" w:lineRule="auto"/>
        <w:rPr>
          <w:rFonts w:ascii="Arial" w:hAnsi="Arial" w:cs="Arial"/>
        </w:rPr>
      </w:pPr>
      <w:r w:rsidRPr="003A38E0">
        <w:rPr>
          <w:rFonts w:ascii="Arial" w:hAnsi="Arial" w:cs="Arial"/>
        </w:rPr>
        <w:t xml:space="preserve">Njoroge, M., Anderson, W., &amp; </w:t>
      </w:r>
      <w:proofErr w:type="spellStart"/>
      <w:r w:rsidRPr="003A38E0">
        <w:rPr>
          <w:rFonts w:ascii="Arial" w:hAnsi="Arial" w:cs="Arial"/>
        </w:rPr>
        <w:t>Mbura</w:t>
      </w:r>
      <w:proofErr w:type="spellEnd"/>
      <w:r w:rsidRPr="003A38E0">
        <w:rPr>
          <w:rFonts w:ascii="Arial" w:hAnsi="Arial" w:cs="Arial"/>
        </w:rPr>
        <w:t xml:space="preserve">, O., 2019. Innovation strategy and economic sustainability in the hospitality industry. The Bottom Line. </w:t>
      </w:r>
      <w:hyperlink r:id="rId17" w:history="1">
        <w:r w:rsidRPr="003A38E0">
          <w:rPr>
            <w:rStyle w:val="Hyperlink"/>
            <w:rFonts w:ascii="Arial" w:hAnsi="Arial" w:cs="Arial"/>
          </w:rPr>
          <w:t>https://www.researchgate.net/profile/Msafiri-Njoroge/publication/335550362_Innovation_strategy_and_economic_sustainability_in_the_hospitality_industry/links/5e9450f892851c2f529c3caf/Innovation-strategy-and-economic-sustainability-in-the-hospitality-industry.pdf</w:t>
        </w:r>
      </w:hyperlink>
      <w:r w:rsidRPr="003A38E0">
        <w:rPr>
          <w:rFonts w:ascii="Arial" w:hAnsi="Arial" w:cs="Arial"/>
        </w:rPr>
        <w:t xml:space="preserve"> (Accessed on: 1</w:t>
      </w:r>
      <w:r w:rsidRPr="003A38E0">
        <w:rPr>
          <w:rFonts w:ascii="Arial" w:hAnsi="Arial" w:cs="Arial"/>
          <w:vertAlign w:val="superscript"/>
        </w:rPr>
        <w:t>st</w:t>
      </w:r>
      <w:r w:rsidRPr="003A38E0">
        <w:rPr>
          <w:rFonts w:ascii="Arial" w:hAnsi="Arial" w:cs="Arial"/>
        </w:rPr>
        <w:t xml:space="preserve"> May 2024)</w:t>
      </w:r>
      <w:r>
        <w:rPr>
          <w:rFonts w:ascii="Arial" w:hAnsi="Arial" w:cs="Arial"/>
        </w:rPr>
        <w:t>.</w:t>
      </w:r>
    </w:p>
    <w:p w14:paraId="0E2FB6FE" w14:textId="5293AACC" w:rsidR="003A38E0" w:rsidRDefault="003A38E0" w:rsidP="003A38E0">
      <w:pPr>
        <w:spacing w:line="360" w:lineRule="auto"/>
        <w:rPr>
          <w:rFonts w:ascii="Arial" w:hAnsi="Arial" w:cs="Arial"/>
        </w:rPr>
      </w:pPr>
      <w:proofErr w:type="spellStart"/>
      <w:r w:rsidRPr="00CF3C7A">
        <w:rPr>
          <w:rFonts w:ascii="Arial" w:hAnsi="Arial" w:cs="Arial"/>
        </w:rPr>
        <w:t>Presenza</w:t>
      </w:r>
      <w:proofErr w:type="spellEnd"/>
      <w:r w:rsidRPr="00CF3C7A">
        <w:rPr>
          <w:rFonts w:ascii="Arial" w:hAnsi="Arial" w:cs="Arial"/>
        </w:rPr>
        <w:t xml:space="preserve">, A., Petruzzelli, A., &amp; </w:t>
      </w:r>
      <w:proofErr w:type="spellStart"/>
      <w:r w:rsidRPr="00CF3C7A">
        <w:rPr>
          <w:rFonts w:ascii="Arial" w:hAnsi="Arial" w:cs="Arial"/>
        </w:rPr>
        <w:t>Natalicchio</w:t>
      </w:r>
      <w:proofErr w:type="spellEnd"/>
      <w:r w:rsidRPr="00CF3C7A">
        <w:rPr>
          <w:rFonts w:ascii="Arial" w:hAnsi="Arial" w:cs="Arial"/>
        </w:rPr>
        <w:t xml:space="preserve">, A., 2019. Business Model Innovation for Sustainability. Highlights from the Tourism and Hospitality Industry. Sustainability. </w:t>
      </w:r>
      <w:hyperlink r:id="rId18" w:history="1">
        <w:r w:rsidRPr="00CF3C7A">
          <w:rPr>
            <w:rStyle w:val="Hyperlink"/>
            <w:rFonts w:ascii="Arial" w:hAnsi="Arial" w:cs="Arial"/>
          </w:rPr>
          <w:t>https://doi.org/10.3390/SU11010212</w:t>
        </w:r>
      </w:hyperlink>
      <w:r w:rsidRPr="00CF3C7A">
        <w:rPr>
          <w:rFonts w:ascii="Arial" w:hAnsi="Arial" w:cs="Arial"/>
        </w:rPr>
        <w:t xml:space="preserve">. </w:t>
      </w:r>
      <w:r>
        <w:rPr>
          <w:rFonts w:ascii="Arial" w:hAnsi="Arial" w:cs="Arial"/>
        </w:rPr>
        <w:t>(Accessed on: 2</w:t>
      </w:r>
      <w:r w:rsidRPr="00477D03">
        <w:rPr>
          <w:rFonts w:ascii="Arial" w:hAnsi="Arial" w:cs="Arial"/>
          <w:vertAlign w:val="superscript"/>
        </w:rPr>
        <w:t>nd</w:t>
      </w:r>
      <w:r>
        <w:rPr>
          <w:rFonts w:ascii="Arial" w:hAnsi="Arial" w:cs="Arial"/>
        </w:rPr>
        <w:t xml:space="preserve"> May 2024)</w:t>
      </w:r>
      <w:r>
        <w:rPr>
          <w:rFonts w:ascii="Arial" w:hAnsi="Arial" w:cs="Arial"/>
        </w:rPr>
        <w:t>.</w:t>
      </w:r>
    </w:p>
    <w:p w14:paraId="6A40F9DC" w14:textId="57682D03" w:rsidR="003A38E0" w:rsidRDefault="003A38E0" w:rsidP="003A38E0">
      <w:pPr>
        <w:spacing w:line="360" w:lineRule="auto"/>
        <w:rPr>
          <w:rFonts w:ascii="Arial" w:hAnsi="Arial" w:cs="Arial"/>
        </w:rPr>
      </w:pPr>
      <w:r w:rsidRPr="003A38E0">
        <w:rPr>
          <w:rFonts w:ascii="Arial" w:hAnsi="Arial" w:cs="Arial"/>
        </w:rPr>
        <w:lastRenderedPageBreak/>
        <w:t xml:space="preserve">Schroeder, P., </w:t>
      </w:r>
      <w:proofErr w:type="spellStart"/>
      <w:r w:rsidRPr="003A38E0">
        <w:rPr>
          <w:rFonts w:ascii="Arial" w:hAnsi="Arial" w:cs="Arial"/>
        </w:rPr>
        <w:t>Anggraeni</w:t>
      </w:r>
      <w:proofErr w:type="spellEnd"/>
      <w:r w:rsidRPr="003A38E0">
        <w:rPr>
          <w:rFonts w:ascii="Arial" w:hAnsi="Arial" w:cs="Arial"/>
        </w:rPr>
        <w:t xml:space="preserve">, K., &amp; Weber, U., 2019. The Relevance of Circular Economy Practices to the Sustainable Development Goals. Journal of Industrial Ecology, 23. </w:t>
      </w:r>
      <w:hyperlink r:id="rId19" w:history="1">
        <w:r w:rsidRPr="003A38E0">
          <w:rPr>
            <w:rStyle w:val="Hyperlink"/>
            <w:rFonts w:ascii="Arial" w:hAnsi="Arial" w:cs="Arial"/>
          </w:rPr>
          <w:t>https://doi.org/10.1111/jiec.12732</w:t>
        </w:r>
      </w:hyperlink>
      <w:r w:rsidRPr="003A38E0">
        <w:rPr>
          <w:rFonts w:ascii="Arial" w:hAnsi="Arial" w:cs="Arial"/>
        </w:rPr>
        <w:t>. (Accessed on: 2</w:t>
      </w:r>
      <w:r w:rsidRPr="003A38E0">
        <w:rPr>
          <w:rFonts w:ascii="Arial" w:hAnsi="Arial" w:cs="Arial"/>
          <w:vertAlign w:val="superscript"/>
        </w:rPr>
        <w:t>nd</w:t>
      </w:r>
      <w:r w:rsidRPr="003A38E0">
        <w:rPr>
          <w:rFonts w:ascii="Arial" w:hAnsi="Arial" w:cs="Arial"/>
        </w:rPr>
        <w:t xml:space="preserve"> May 2024)</w:t>
      </w:r>
      <w:r>
        <w:rPr>
          <w:rFonts w:ascii="Arial" w:hAnsi="Arial" w:cs="Arial"/>
        </w:rPr>
        <w:t>.</w:t>
      </w:r>
    </w:p>
    <w:p w14:paraId="74F831BA" w14:textId="5E61578A" w:rsidR="003A38E0" w:rsidRDefault="003A38E0" w:rsidP="003A38E0">
      <w:pPr>
        <w:spacing w:line="360" w:lineRule="auto"/>
        <w:rPr>
          <w:rFonts w:ascii="Arial" w:hAnsi="Arial" w:cs="Arial"/>
        </w:rPr>
      </w:pPr>
      <w:r w:rsidRPr="003A38E0">
        <w:rPr>
          <w:rFonts w:ascii="Arial" w:hAnsi="Arial" w:cs="Arial"/>
        </w:rPr>
        <w:t xml:space="preserve">Shashi, </w:t>
      </w:r>
      <w:proofErr w:type="spellStart"/>
      <w:r w:rsidRPr="003A38E0">
        <w:rPr>
          <w:rFonts w:ascii="Arial" w:hAnsi="Arial" w:cs="Arial"/>
        </w:rPr>
        <w:t>Centobelli</w:t>
      </w:r>
      <w:proofErr w:type="spellEnd"/>
      <w:r w:rsidRPr="003A38E0">
        <w:rPr>
          <w:rFonts w:ascii="Arial" w:hAnsi="Arial" w:cs="Arial"/>
        </w:rPr>
        <w:t xml:space="preserve">, P., </w:t>
      </w:r>
      <w:proofErr w:type="spellStart"/>
      <w:r w:rsidRPr="003A38E0">
        <w:rPr>
          <w:rFonts w:ascii="Arial" w:hAnsi="Arial" w:cs="Arial"/>
        </w:rPr>
        <w:t>Cerchione</w:t>
      </w:r>
      <w:proofErr w:type="spellEnd"/>
      <w:r w:rsidRPr="003A38E0">
        <w:rPr>
          <w:rFonts w:ascii="Arial" w:hAnsi="Arial" w:cs="Arial"/>
        </w:rPr>
        <w:t xml:space="preserve">, R. and Ertz, M., 2020. Managing supply chain resilience to pursue business and environmental strategies. Business strategy and the environment, 29(3), pp.1215-1246. </w:t>
      </w:r>
      <w:hyperlink r:id="rId20" w:history="1">
        <w:r w:rsidRPr="003A38E0">
          <w:rPr>
            <w:rStyle w:val="Hyperlink"/>
            <w:rFonts w:ascii="Arial" w:hAnsi="Arial" w:cs="Arial"/>
          </w:rPr>
          <w:t>https://doi.org/10.1002/bse.2428</w:t>
        </w:r>
      </w:hyperlink>
      <w:r w:rsidRPr="003A38E0">
        <w:rPr>
          <w:rFonts w:ascii="Arial" w:hAnsi="Arial" w:cs="Arial"/>
        </w:rPr>
        <w:t xml:space="preserve">  (Accessed on: 29</w:t>
      </w:r>
      <w:r w:rsidRPr="003A38E0">
        <w:rPr>
          <w:rFonts w:ascii="Arial" w:hAnsi="Arial" w:cs="Arial"/>
          <w:vertAlign w:val="superscript"/>
        </w:rPr>
        <w:t>th</w:t>
      </w:r>
      <w:r w:rsidRPr="003A38E0">
        <w:rPr>
          <w:rFonts w:ascii="Arial" w:hAnsi="Arial" w:cs="Arial"/>
        </w:rPr>
        <w:t xml:space="preserve"> April 2024)</w:t>
      </w:r>
      <w:r>
        <w:rPr>
          <w:rFonts w:ascii="Arial" w:hAnsi="Arial" w:cs="Arial"/>
        </w:rPr>
        <w:t>.</w:t>
      </w:r>
    </w:p>
    <w:p w14:paraId="163D326A" w14:textId="44828627" w:rsidR="003A38E0" w:rsidRDefault="003A38E0" w:rsidP="003A38E0">
      <w:pPr>
        <w:spacing w:line="360" w:lineRule="auto"/>
        <w:rPr>
          <w:rFonts w:ascii="Arial" w:hAnsi="Arial" w:cs="Arial"/>
        </w:rPr>
      </w:pPr>
      <w:r w:rsidRPr="003A38E0">
        <w:rPr>
          <w:rFonts w:ascii="Arial" w:hAnsi="Arial" w:cs="Arial"/>
        </w:rPr>
        <w:t xml:space="preserve">Suganthi, L., 2019. Examining the relationship between corporate social responsibility, performance, and employees’ pro-environmental behaviour at work with green practices as a mediator. Journal of Cleaner Production. </w:t>
      </w:r>
      <w:hyperlink r:id="rId21" w:history="1">
        <w:r w:rsidRPr="003A38E0">
          <w:rPr>
            <w:rStyle w:val="Hyperlink"/>
            <w:rFonts w:ascii="Arial" w:hAnsi="Arial" w:cs="Arial"/>
          </w:rPr>
          <w:t>https://doi.org/10.1016/J.JCLEPRO.2019.05.295</w:t>
        </w:r>
      </w:hyperlink>
      <w:r w:rsidRPr="003A38E0">
        <w:rPr>
          <w:rFonts w:ascii="Arial" w:hAnsi="Arial" w:cs="Arial"/>
        </w:rPr>
        <w:t xml:space="preserve">. </w:t>
      </w:r>
      <w:proofErr w:type="gramStart"/>
      <w:r w:rsidRPr="003A38E0">
        <w:rPr>
          <w:rFonts w:ascii="Arial" w:hAnsi="Arial" w:cs="Arial"/>
        </w:rPr>
        <w:t>( Accessed</w:t>
      </w:r>
      <w:proofErr w:type="gramEnd"/>
      <w:r w:rsidRPr="003A38E0">
        <w:rPr>
          <w:rFonts w:ascii="Arial" w:hAnsi="Arial" w:cs="Arial"/>
        </w:rPr>
        <w:t xml:space="preserve"> on: 27</w:t>
      </w:r>
      <w:r w:rsidRPr="003A38E0">
        <w:rPr>
          <w:rFonts w:ascii="Arial" w:hAnsi="Arial" w:cs="Arial"/>
          <w:vertAlign w:val="superscript"/>
        </w:rPr>
        <w:t>th</w:t>
      </w:r>
      <w:r w:rsidRPr="003A38E0">
        <w:rPr>
          <w:rFonts w:ascii="Arial" w:hAnsi="Arial" w:cs="Arial"/>
        </w:rPr>
        <w:t xml:space="preserve"> April 2024)</w:t>
      </w:r>
      <w:r>
        <w:rPr>
          <w:rFonts w:ascii="Arial" w:hAnsi="Arial" w:cs="Arial"/>
        </w:rPr>
        <w:t>.</w:t>
      </w:r>
    </w:p>
    <w:p w14:paraId="5C736AEA" w14:textId="77777777" w:rsidR="003A38E0" w:rsidRDefault="003A38E0" w:rsidP="003A38E0">
      <w:pPr>
        <w:spacing w:line="360" w:lineRule="auto"/>
        <w:rPr>
          <w:rFonts w:ascii="Arial" w:hAnsi="Arial" w:cs="Arial"/>
        </w:rPr>
      </w:pPr>
      <w:proofErr w:type="spellStart"/>
      <w:r w:rsidRPr="003A38E0">
        <w:rPr>
          <w:rFonts w:ascii="Arial" w:hAnsi="Arial" w:cs="Arial"/>
        </w:rPr>
        <w:t>Vahideh</w:t>
      </w:r>
      <w:proofErr w:type="spellEnd"/>
      <w:r w:rsidRPr="003A38E0">
        <w:rPr>
          <w:rFonts w:ascii="Arial" w:hAnsi="Arial" w:cs="Arial"/>
        </w:rPr>
        <w:t xml:space="preserve"> </w:t>
      </w:r>
      <w:proofErr w:type="spellStart"/>
      <w:r w:rsidRPr="003A38E0">
        <w:rPr>
          <w:rFonts w:ascii="Arial" w:hAnsi="Arial" w:cs="Arial"/>
        </w:rPr>
        <w:t>Abaeian</w:t>
      </w:r>
      <w:proofErr w:type="spellEnd"/>
      <w:r w:rsidRPr="003A38E0">
        <w:rPr>
          <w:rFonts w:ascii="Arial" w:hAnsi="Arial" w:cs="Arial"/>
        </w:rPr>
        <w:t xml:space="preserve">, V.A., Khong </w:t>
      </w:r>
      <w:proofErr w:type="spellStart"/>
      <w:r w:rsidRPr="003A38E0">
        <w:rPr>
          <w:rFonts w:ascii="Arial" w:hAnsi="Arial" w:cs="Arial"/>
        </w:rPr>
        <w:t>KokWei</w:t>
      </w:r>
      <w:proofErr w:type="spellEnd"/>
      <w:r w:rsidRPr="003A38E0">
        <w:rPr>
          <w:rFonts w:ascii="Arial" w:hAnsi="Arial" w:cs="Arial"/>
        </w:rPr>
        <w:t xml:space="preserve">, K.K., Yeoh </w:t>
      </w:r>
      <w:proofErr w:type="spellStart"/>
      <w:r w:rsidRPr="003A38E0">
        <w:rPr>
          <w:rFonts w:ascii="Arial" w:hAnsi="Arial" w:cs="Arial"/>
        </w:rPr>
        <w:t>KenKyid</w:t>
      </w:r>
      <w:proofErr w:type="spellEnd"/>
      <w:r w:rsidRPr="003A38E0">
        <w:rPr>
          <w:rFonts w:ascii="Arial" w:hAnsi="Arial" w:cs="Arial"/>
        </w:rPr>
        <w:t>, Y.K. and McCabe, S., 2019. Motivations of undertaking CSR initiatives by independent hotels: a holistic approach.</w:t>
      </w:r>
    </w:p>
    <w:p w14:paraId="25F1493D" w14:textId="190734D5" w:rsidR="003A38E0" w:rsidRPr="003A38E0" w:rsidRDefault="003A38E0" w:rsidP="003A38E0">
      <w:pPr>
        <w:spacing w:line="360" w:lineRule="auto"/>
        <w:rPr>
          <w:rFonts w:ascii="Arial" w:hAnsi="Arial" w:cs="Arial"/>
        </w:rPr>
      </w:pPr>
      <w:r w:rsidRPr="003A38E0">
        <w:rPr>
          <w:rFonts w:ascii="Arial" w:hAnsi="Arial" w:cs="Arial"/>
        </w:rPr>
        <w:t xml:space="preserve">Yunis, M.S., Jamali, D., &amp; Hashim, H., (2018). Corporate Social Responsibility of Foreign Multinationals in a Developing Country Context: Insights from Pakistan. </w:t>
      </w:r>
      <w:hyperlink r:id="rId22" w:history="1">
        <w:r w:rsidRPr="003A38E0">
          <w:rPr>
            <w:rStyle w:val="Hyperlink"/>
            <w:rFonts w:ascii="Arial" w:hAnsi="Arial" w:cs="Arial"/>
          </w:rPr>
          <w:t>https://doi.org/10.3390/su10103511</w:t>
        </w:r>
      </w:hyperlink>
      <w:r w:rsidRPr="003A38E0">
        <w:rPr>
          <w:rFonts w:ascii="Arial" w:hAnsi="Arial" w:cs="Arial"/>
        </w:rPr>
        <w:t xml:space="preserve"> (Accessed on: 29</w:t>
      </w:r>
      <w:r w:rsidRPr="003A38E0">
        <w:rPr>
          <w:rFonts w:ascii="Arial" w:hAnsi="Arial" w:cs="Arial"/>
          <w:vertAlign w:val="superscript"/>
        </w:rPr>
        <w:t>th</w:t>
      </w:r>
      <w:r w:rsidRPr="003A38E0">
        <w:rPr>
          <w:rFonts w:ascii="Arial" w:hAnsi="Arial" w:cs="Arial"/>
        </w:rPr>
        <w:t xml:space="preserve"> April 2024)</w:t>
      </w:r>
      <w:r>
        <w:rPr>
          <w:rFonts w:ascii="Arial" w:hAnsi="Arial" w:cs="Arial"/>
        </w:rPr>
        <w:t>.</w:t>
      </w:r>
    </w:p>
    <w:p w14:paraId="6573258D" w14:textId="77777777" w:rsidR="003A38E0" w:rsidRPr="003A38E0" w:rsidRDefault="003A38E0" w:rsidP="003A38E0">
      <w:pPr>
        <w:spacing w:line="360" w:lineRule="auto"/>
        <w:rPr>
          <w:rFonts w:ascii="Arial" w:hAnsi="Arial" w:cs="Arial"/>
        </w:rPr>
      </w:pPr>
    </w:p>
    <w:p w14:paraId="0B0209B3" w14:textId="77777777" w:rsidR="003A38E0" w:rsidRPr="003A38E0" w:rsidRDefault="003A38E0" w:rsidP="003A38E0">
      <w:pPr>
        <w:spacing w:line="360" w:lineRule="auto"/>
        <w:rPr>
          <w:rFonts w:ascii="Arial" w:hAnsi="Arial" w:cs="Arial"/>
        </w:rPr>
      </w:pPr>
    </w:p>
    <w:p w14:paraId="5A045765" w14:textId="77777777" w:rsidR="003A38E0" w:rsidRPr="003A38E0" w:rsidRDefault="003A38E0" w:rsidP="003A38E0">
      <w:pPr>
        <w:spacing w:line="360" w:lineRule="auto"/>
        <w:rPr>
          <w:rFonts w:ascii="Arial" w:hAnsi="Arial" w:cs="Arial"/>
        </w:rPr>
      </w:pPr>
    </w:p>
    <w:p w14:paraId="4B30B655" w14:textId="77777777" w:rsidR="003A38E0" w:rsidRPr="003A38E0" w:rsidRDefault="003A38E0" w:rsidP="003A38E0">
      <w:pPr>
        <w:spacing w:line="360" w:lineRule="auto"/>
        <w:rPr>
          <w:rFonts w:ascii="Arial" w:hAnsi="Arial" w:cs="Arial"/>
        </w:rPr>
      </w:pPr>
    </w:p>
    <w:p w14:paraId="547452ED" w14:textId="77777777" w:rsidR="003A38E0" w:rsidRPr="00CF3C7A" w:rsidRDefault="003A38E0" w:rsidP="003A38E0">
      <w:pPr>
        <w:spacing w:line="360" w:lineRule="auto"/>
        <w:rPr>
          <w:rFonts w:ascii="Arial" w:hAnsi="Arial" w:cs="Arial"/>
        </w:rPr>
      </w:pPr>
    </w:p>
    <w:p w14:paraId="7854486D" w14:textId="77777777" w:rsidR="003A38E0" w:rsidRPr="003A38E0" w:rsidRDefault="003A38E0" w:rsidP="003A38E0">
      <w:pPr>
        <w:spacing w:line="360" w:lineRule="auto"/>
        <w:rPr>
          <w:rFonts w:ascii="Arial" w:hAnsi="Arial" w:cs="Arial"/>
        </w:rPr>
      </w:pPr>
    </w:p>
    <w:p w14:paraId="66F71423" w14:textId="77777777" w:rsidR="003A38E0" w:rsidRPr="00CF3C7A" w:rsidRDefault="003A38E0" w:rsidP="003A38E0">
      <w:pPr>
        <w:spacing w:line="360" w:lineRule="auto"/>
        <w:rPr>
          <w:rFonts w:ascii="Arial" w:hAnsi="Arial" w:cs="Arial"/>
        </w:rPr>
      </w:pPr>
    </w:p>
    <w:p w14:paraId="7016C35A" w14:textId="77777777" w:rsidR="003A38E0" w:rsidRPr="00CF3C7A" w:rsidRDefault="003A38E0" w:rsidP="003A38E0">
      <w:pPr>
        <w:spacing w:line="360" w:lineRule="auto"/>
        <w:rPr>
          <w:rFonts w:ascii="Arial" w:hAnsi="Arial" w:cs="Arial"/>
        </w:rPr>
      </w:pPr>
    </w:p>
    <w:p w14:paraId="686E360F" w14:textId="77777777" w:rsidR="003A38E0" w:rsidRPr="00CF3C7A" w:rsidRDefault="003A38E0" w:rsidP="003A38E0">
      <w:pPr>
        <w:spacing w:line="360" w:lineRule="auto"/>
        <w:rPr>
          <w:rFonts w:ascii="Arial" w:hAnsi="Arial" w:cs="Arial"/>
        </w:rPr>
      </w:pPr>
    </w:p>
    <w:p w14:paraId="6A3E13B7" w14:textId="77777777" w:rsidR="003A38E0" w:rsidRPr="00CF3C7A" w:rsidRDefault="003A38E0" w:rsidP="003A38E0">
      <w:pPr>
        <w:spacing w:line="360" w:lineRule="auto"/>
        <w:rPr>
          <w:rFonts w:ascii="Arial" w:hAnsi="Arial" w:cs="Arial"/>
        </w:rPr>
      </w:pPr>
    </w:p>
    <w:p w14:paraId="0D888063" w14:textId="77777777" w:rsidR="003A38E0" w:rsidRPr="00CF3C7A" w:rsidRDefault="003A38E0" w:rsidP="003A38E0">
      <w:pPr>
        <w:spacing w:line="360" w:lineRule="auto"/>
        <w:rPr>
          <w:rFonts w:ascii="Arial" w:hAnsi="Arial" w:cs="Arial"/>
        </w:rPr>
      </w:pPr>
    </w:p>
    <w:p w14:paraId="11061229" w14:textId="77777777" w:rsidR="003A38E0" w:rsidRPr="00CF3C7A" w:rsidRDefault="003A38E0" w:rsidP="003A38E0">
      <w:pPr>
        <w:spacing w:line="360" w:lineRule="auto"/>
        <w:rPr>
          <w:rFonts w:ascii="Arial" w:hAnsi="Arial" w:cs="Arial"/>
        </w:rPr>
      </w:pPr>
    </w:p>
    <w:p w14:paraId="3945EBD5" w14:textId="77777777" w:rsidR="003A38E0" w:rsidRPr="00CF3C7A" w:rsidRDefault="003A38E0" w:rsidP="003A38E0">
      <w:pPr>
        <w:spacing w:line="360" w:lineRule="auto"/>
        <w:rPr>
          <w:rFonts w:ascii="Arial" w:hAnsi="Arial" w:cs="Arial"/>
        </w:rPr>
      </w:pPr>
    </w:p>
    <w:p w14:paraId="460BD01B" w14:textId="77777777" w:rsidR="003A38E0" w:rsidRPr="00CF3C7A" w:rsidRDefault="003A38E0" w:rsidP="003A38E0">
      <w:pPr>
        <w:spacing w:line="360" w:lineRule="auto"/>
        <w:ind w:left="360"/>
        <w:rPr>
          <w:rFonts w:ascii="Arial" w:hAnsi="Arial" w:cs="Arial"/>
        </w:rPr>
      </w:pPr>
    </w:p>
    <w:p w14:paraId="26E6E615" w14:textId="77777777" w:rsidR="003A38E0" w:rsidRDefault="003A38E0" w:rsidP="00CF3C7A">
      <w:pPr>
        <w:spacing w:line="360" w:lineRule="auto"/>
        <w:jc w:val="both"/>
        <w:rPr>
          <w:rFonts w:ascii="Arial" w:hAnsi="Arial" w:cs="Arial"/>
          <w:b/>
          <w:bCs/>
        </w:rPr>
      </w:pPr>
    </w:p>
    <w:p w14:paraId="3FB21637" w14:textId="77777777" w:rsidR="00CF3C7A" w:rsidRDefault="00CF3C7A" w:rsidP="00CF3C7A">
      <w:pPr>
        <w:jc w:val="both"/>
      </w:pPr>
    </w:p>
    <w:sectPr w:rsidR="00CF3C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FEA7998"/>
    <w:multiLevelType w:val="hybridMultilevel"/>
    <w:tmpl w:val="258CC7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2079109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4639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BF7"/>
    <w:rsid w:val="00221138"/>
    <w:rsid w:val="00285F88"/>
    <w:rsid w:val="003A38E0"/>
    <w:rsid w:val="00477D03"/>
    <w:rsid w:val="006E386B"/>
    <w:rsid w:val="007D3BF7"/>
    <w:rsid w:val="00AE0372"/>
    <w:rsid w:val="00CF3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17829"/>
  <w15:chartTrackingRefBased/>
  <w15:docId w15:val="{D885FDA3-A634-4DBB-86BC-B89CEC7E9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C7A"/>
    <w:pPr>
      <w:spacing w:line="276" w:lineRule="auto"/>
    </w:pPr>
  </w:style>
  <w:style w:type="paragraph" w:styleId="Heading1">
    <w:name w:val="heading 1"/>
    <w:basedOn w:val="Normal"/>
    <w:next w:val="Normal"/>
    <w:link w:val="Heading1Char"/>
    <w:uiPriority w:val="9"/>
    <w:qFormat/>
    <w:rsid w:val="007D3B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3B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3B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3B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3B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3B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3B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3B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3B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B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3B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3B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3B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3B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3B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3B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3B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3BF7"/>
    <w:rPr>
      <w:rFonts w:eastAsiaTheme="majorEastAsia" w:cstheme="majorBidi"/>
      <w:color w:val="272727" w:themeColor="text1" w:themeTint="D8"/>
    </w:rPr>
  </w:style>
  <w:style w:type="paragraph" w:styleId="Title">
    <w:name w:val="Title"/>
    <w:basedOn w:val="Normal"/>
    <w:next w:val="Normal"/>
    <w:link w:val="TitleChar"/>
    <w:uiPriority w:val="10"/>
    <w:qFormat/>
    <w:rsid w:val="007D3B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3B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3B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3B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3BF7"/>
    <w:pPr>
      <w:spacing w:before="160"/>
      <w:jc w:val="center"/>
    </w:pPr>
    <w:rPr>
      <w:i/>
      <w:iCs/>
      <w:color w:val="404040" w:themeColor="text1" w:themeTint="BF"/>
    </w:rPr>
  </w:style>
  <w:style w:type="character" w:customStyle="1" w:styleId="QuoteChar">
    <w:name w:val="Quote Char"/>
    <w:basedOn w:val="DefaultParagraphFont"/>
    <w:link w:val="Quote"/>
    <w:uiPriority w:val="29"/>
    <w:rsid w:val="007D3BF7"/>
    <w:rPr>
      <w:i/>
      <w:iCs/>
      <w:color w:val="404040" w:themeColor="text1" w:themeTint="BF"/>
    </w:rPr>
  </w:style>
  <w:style w:type="paragraph" w:styleId="ListParagraph">
    <w:name w:val="List Paragraph"/>
    <w:basedOn w:val="Normal"/>
    <w:uiPriority w:val="34"/>
    <w:qFormat/>
    <w:rsid w:val="007D3BF7"/>
    <w:pPr>
      <w:ind w:left="720"/>
      <w:contextualSpacing/>
    </w:pPr>
  </w:style>
  <w:style w:type="character" w:styleId="IntenseEmphasis">
    <w:name w:val="Intense Emphasis"/>
    <w:basedOn w:val="DefaultParagraphFont"/>
    <w:uiPriority w:val="21"/>
    <w:qFormat/>
    <w:rsid w:val="007D3BF7"/>
    <w:rPr>
      <w:i/>
      <w:iCs/>
      <w:color w:val="0F4761" w:themeColor="accent1" w:themeShade="BF"/>
    </w:rPr>
  </w:style>
  <w:style w:type="paragraph" w:styleId="IntenseQuote">
    <w:name w:val="Intense Quote"/>
    <w:basedOn w:val="Normal"/>
    <w:next w:val="Normal"/>
    <w:link w:val="IntenseQuoteChar"/>
    <w:uiPriority w:val="30"/>
    <w:qFormat/>
    <w:rsid w:val="007D3B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3BF7"/>
    <w:rPr>
      <w:i/>
      <w:iCs/>
      <w:color w:val="0F4761" w:themeColor="accent1" w:themeShade="BF"/>
    </w:rPr>
  </w:style>
  <w:style w:type="character" w:styleId="IntenseReference">
    <w:name w:val="Intense Reference"/>
    <w:basedOn w:val="DefaultParagraphFont"/>
    <w:uiPriority w:val="32"/>
    <w:qFormat/>
    <w:rsid w:val="007D3BF7"/>
    <w:rPr>
      <w:b/>
      <w:bCs/>
      <w:smallCaps/>
      <w:color w:val="0F4761" w:themeColor="accent1" w:themeShade="BF"/>
      <w:spacing w:val="5"/>
    </w:rPr>
  </w:style>
  <w:style w:type="character" w:styleId="Hyperlink">
    <w:name w:val="Hyperlink"/>
    <w:basedOn w:val="DefaultParagraphFont"/>
    <w:uiPriority w:val="99"/>
    <w:unhideWhenUsed/>
    <w:rsid w:val="00CF3C7A"/>
    <w:rPr>
      <w:color w:val="0000FF"/>
      <w:u w:val="single"/>
    </w:rPr>
  </w:style>
  <w:style w:type="character" w:styleId="UnresolvedMention">
    <w:name w:val="Unresolved Mention"/>
    <w:basedOn w:val="DefaultParagraphFont"/>
    <w:uiPriority w:val="99"/>
    <w:semiHidden/>
    <w:unhideWhenUsed/>
    <w:rsid w:val="003A38E0"/>
    <w:rPr>
      <w:color w:val="605E5C"/>
      <w:shd w:val="clear" w:color="auto" w:fill="E1DFDD"/>
    </w:rPr>
  </w:style>
  <w:style w:type="character" w:styleId="FollowedHyperlink">
    <w:name w:val="FollowedHyperlink"/>
    <w:basedOn w:val="DefaultParagraphFont"/>
    <w:uiPriority w:val="99"/>
    <w:semiHidden/>
    <w:unhideWhenUsed/>
    <w:rsid w:val="003A38E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4975265">
      <w:bodyDiv w:val="1"/>
      <w:marLeft w:val="0"/>
      <w:marRight w:val="0"/>
      <w:marTop w:val="0"/>
      <w:marBottom w:val="0"/>
      <w:divBdr>
        <w:top w:val="none" w:sz="0" w:space="0" w:color="auto"/>
        <w:left w:val="none" w:sz="0" w:space="0" w:color="auto"/>
        <w:bottom w:val="none" w:sz="0" w:space="0" w:color="auto"/>
        <w:right w:val="none" w:sz="0" w:space="0" w:color="auto"/>
      </w:divBdr>
    </w:div>
    <w:div w:id="1032920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lv.openrepository.com/bitstream/handle/2436/622035/Diffusion%20of%20Sustainability.pdf?sequence=1&amp;isAllowed=n" TargetMode="External"/><Relationship Id="rId13" Type="http://schemas.openxmlformats.org/officeDocument/2006/relationships/hyperlink" Target="http://serve360.marriott.com/wp-content/uploads/2022/10/Marriott-2022-Serve-360-ESG-Report-accessible_F.pdf" TargetMode="External"/><Relationship Id="rId18" Type="http://schemas.openxmlformats.org/officeDocument/2006/relationships/hyperlink" Target="https://doi.org/10.3390/SU11010212" TargetMode="External"/><Relationship Id="rId3" Type="http://schemas.openxmlformats.org/officeDocument/2006/relationships/settings" Target="settings.xml"/><Relationship Id="rId21" Type="http://schemas.openxmlformats.org/officeDocument/2006/relationships/hyperlink" Target="https://doi.org/10.1016/J.JCLEPRO.2019.05.295" TargetMode="External"/><Relationship Id="rId7" Type="http://schemas.openxmlformats.org/officeDocument/2006/relationships/hyperlink" Target="https://doi.org/10.19041/apstract/2022/2/4" TargetMode="External"/><Relationship Id="rId12" Type="http://schemas.openxmlformats.org/officeDocument/2006/relationships/hyperlink" Target="https://doi.org/10.1016/J.JCLEPRO.2017.10.003" TargetMode="External"/><Relationship Id="rId17" Type="http://schemas.openxmlformats.org/officeDocument/2006/relationships/hyperlink" Target="https://www.researchgate.net/profile/Msafiri-Njoroge/publication/335550362_Innovation_strategy_and_economic_sustainability_in_the_hospitality_industry/links/5e9450f892851c2f529c3caf/Innovation-strategy-and-economic-sustainability-in-the-hospitality-industry.pdf" TargetMode="External"/><Relationship Id="rId2" Type="http://schemas.openxmlformats.org/officeDocument/2006/relationships/styles" Target="styles.xml"/><Relationship Id="rId16" Type="http://schemas.openxmlformats.org/officeDocument/2006/relationships/hyperlink" Target="https://doi.org/10.1080/0267257X.2022.2070654" TargetMode="External"/><Relationship Id="rId20" Type="http://schemas.openxmlformats.org/officeDocument/2006/relationships/hyperlink" Target="https://doi.org/10.1002/bse.2428" TargetMode="External"/><Relationship Id="rId1" Type="http://schemas.openxmlformats.org/officeDocument/2006/relationships/numbering" Target="numbering.xml"/><Relationship Id="rId6" Type="http://schemas.openxmlformats.org/officeDocument/2006/relationships/hyperlink" Target="https://doi.org/10.1016/J.IJHM.2018.08.021" TargetMode="External"/><Relationship Id="rId11" Type="http://schemas.openxmlformats.org/officeDocument/2006/relationships/hyperlink" Target="https://doi.org/10.3390/SU11020354" TargetMode="External"/><Relationship Id="rId24" Type="http://schemas.openxmlformats.org/officeDocument/2006/relationships/theme" Target="theme/theme1.xml"/><Relationship Id="rId5" Type="http://schemas.openxmlformats.org/officeDocument/2006/relationships/hyperlink" Target="https://doi.org/10.1080/09669582.2010.549566" TargetMode="External"/><Relationship Id="rId15" Type="http://schemas.openxmlformats.org/officeDocument/2006/relationships/hyperlink" Target="https://doi.org/10.1016/J.JCLEPRO.2021.128232" TargetMode="External"/><Relationship Id="rId23" Type="http://schemas.openxmlformats.org/officeDocument/2006/relationships/fontTable" Target="fontTable.xml"/><Relationship Id="rId10" Type="http://schemas.openxmlformats.org/officeDocument/2006/relationships/hyperlink" Target="https://doi.org/10.5539/ASS.V9N5P209" TargetMode="External"/><Relationship Id="rId19" Type="http://schemas.openxmlformats.org/officeDocument/2006/relationships/hyperlink" Target="https://doi.org/10.1111/jiec.12732" TargetMode="External"/><Relationship Id="rId4" Type="http://schemas.openxmlformats.org/officeDocument/2006/relationships/webSettings" Target="webSettings.xml"/><Relationship Id="rId9" Type="http://schemas.openxmlformats.org/officeDocument/2006/relationships/hyperlink" Target="https://doi.org/10.1002/BSE.1960" TargetMode="External"/><Relationship Id="rId14" Type="http://schemas.openxmlformats.org/officeDocument/2006/relationships/hyperlink" Target="https://doi.org/10.1504/ijssm.2020.10027248" TargetMode="External"/><Relationship Id="rId22" Type="http://schemas.openxmlformats.org/officeDocument/2006/relationships/hyperlink" Target="https://doi.org/10.3390/su101035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TotalTime>
  <Pages>11</Pages>
  <Words>3140</Words>
  <Characters>17901</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 Lazea</dc:creator>
  <cp:keywords/>
  <dc:description/>
  <cp:lastModifiedBy>Cosmin Lazea</cp:lastModifiedBy>
  <cp:revision>3</cp:revision>
  <dcterms:created xsi:type="dcterms:W3CDTF">2024-05-13T21:05:00Z</dcterms:created>
  <dcterms:modified xsi:type="dcterms:W3CDTF">2024-05-13T21:41:00Z</dcterms:modified>
</cp:coreProperties>
</file>