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1DF5D2" w14:textId="2A2EC131" w:rsidR="003D718C" w:rsidRDefault="003D718C" w:rsidP="00DD3BCE">
      <w:pPr>
        <w:pStyle w:val="Title"/>
        <w:jc w:val="center"/>
      </w:pPr>
      <w:r>
        <w:t>Does the Required Skill Set of a Food &amp; Beverage Employee Change, based on the Type of Business and the Type of Service that the Food and Beverage Operation Utilises</w:t>
      </w:r>
      <w:r w:rsidR="00DD3BCE">
        <w:t>?</w:t>
      </w:r>
    </w:p>
    <w:p w14:paraId="746C3CB9" w14:textId="77777777" w:rsidR="003D718C" w:rsidRDefault="003D718C" w:rsidP="003D718C">
      <w:pPr>
        <w:spacing w:after="98" w:line="259" w:lineRule="auto"/>
        <w:ind w:right="4" w:hanging="10"/>
      </w:pPr>
    </w:p>
    <w:p w14:paraId="77627153" w14:textId="77777777" w:rsidR="003D718C" w:rsidRDefault="003D718C" w:rsidP="003D718C">
      <w:pPr>
        <w:spacing w:after="98" w:line="259" w:lineRule="auto"/>
        <w:ind w:right="4" w:hanging="10"/>
      </w:pPr>
    </w:p>
    <w:p w14:paraId="16A2818E" w14:textId="77777777" w:rsidR="003D718C" w:rsidRDefault="003D718C" w:rsidP="003D718C">
      <w:pPr>
        <w:spacing w:after="98" w:line="259" w:lineRule="auto"/>
        <w:ind w:right="4" w:hanging="10"/>
      </w:pPr>
    </w:p>
    <w:p w14:paraId="7350D68F" w14:textId="77777777" w:rsidR="003D718C" w:rsidRDefault="003D718C" w:rsidP="003D718C">
      <w:pPr>
        <w:spacing w:after="98" w:line="259" w:lineRule="auto"/>
        <w:ind w:right="4" w:hanging="10"/>
      </w:pPr>
    </w:p>
    <w:p w14:paraId="7F443211" w14:textId="77777777" w:rsidR="003D718C" w:rsidRDefault="003D718C" w:rsidP="003D718C">
      <w:pPr>
        <w:spacing w:after="98" w:line="259" w:lineRule="auto"/>
        <w:ind w:right="4" w:hanging="10"/>
      </w:pPr>
    </w:p>
    <w:p w14:paraId="7641BBC5" w14:textId="77777777" w:rsidR="003D718C" w:rsidRDefault="003D718C" w:rsidP="003D718C">
      <w:pPr>
        <w:spacing w:after="98" w:line="259" w:lineRule="auto"/>
        <w:ind w:right="4" w:hanging="10"/>
      </w:pPr>
    </w:p>
    <w:p w14:paraId="52CD6FAC" w14:textId="77777777" w:rsidR="003D718C" w:rsidRDefault="003D718C" w:rsidP="003D718C">
      <w:pPr>
        <w:spacing w:after="98" w:line="259" w:lineRule="auto"/>
        <w:ind w:right="4" w:hanging="10"/>
      </w:pPr>
    </w:p>
    <w:p w14:paraId="2E42041C" w14:textId="77777777" w:rsidR="003D718C" w:rsidRDefault="003D718C" w:rsidP="003D718C">
      <w:pPr>
        <w:spacing w:after="98" w:line="259" w:lineRule="auto"/>
        <w:ind w:right="4" w:hanging="10"/>
      </w:pPr>
    </w:p>
    <w:p w14:paraId="35A46BDB" w14:textId="77777777" w:rsidR="003D718C" w:rsidRDefault="003D718C" w:rsidP="003D718C">
      <w:pPr>
        <w:spacing w:after="98" w:line="259" w:lineRule="auto"/>
        <w:ind w:right="4" w:hanging="10"/>
      </w:pPr>
    </w:p>
    <w:p w14:paraId="7FCA878C" w14:textId="7DFCE423" w:rsidR="003D718C" w:rsidRDefault="003D718C" w:rsidP="003D718C">
      <w:pPr>
        <w:spacing w:after="98" w:line="259" w:lineRule="auto"/>
        <w:ind w:right="4" w:hanging="10"/>
      </w:pPr>
      <w:r>
        <w:t>Student Name:</w:t>
      </w:r>
      <w:r w:rsidR="009C4E08">
        <w:t xml:space="preserve"> Robert-Daniel Mihalcea</w:t>
      </w:r>
    </w:p>
    <w:p w14:paraId="17BF01A5" w14:textId="4ED99B06" w:rsidR="003D718C" w:rsidRDefault="003D718C" w:rsidP="003D718C">
      <w:pPr>
        <w:spacing w:after="98" w:line="259" w:lineRule="auto"/>
        <w:ind w:right="4" w:hanging="10"/>
      </w:pPr>
      <w:r>
        <w:t>Student ID:</w:t>
      </w:r>
      <w:r w:rsidR="009C4E08">
        <w:t xml:space="preserve"> </w:t>
      </w:r>
      <w:r w:rsidR="00DB32D1" w:rsidRPr="00DB32D1">
        <w:t>2240761</w:t>
      </w:r>
    </w:p>
    <w:p w14:paraId="15AECD1E" w14:textId="02D0B7A9" w:rsidR="003D718C" w:rsidRDefault="003D718C" w:rsidP="003D718C">
      <w:pPr>
        <w:spacing w:after="98" w:line="259" w:lineRule="auto"/>
        <w:ind w:right="4" w:hanging="10"/>
      </w:pPr>
      <w:r>
        <w:t>Module Code:</w:t>
      </w:r>
      <w:r w:rsidR="00DB32D1">
        <w:t xml:space="preserve"> BMIH4002</w:t>
      </w:r>
    </w:p>
    <w:p w14:paraId="063E5DF4" w14:textId="387516AD" w:rsidR="003D718C" w:rsidRDefault="003D718C" w:rsidP="00DB32D1">
      <w:pPr>
        <w:spacing w:after="98" w:line="259" w:lineRule="auto"/>
        <w:ind w:right="4" w:hanging="10"/>
      </w:pPr>
      <w:r>
        <w:t>Word Count: 7</w:t>
      </w:r>
      <w:r w:rsidR="009C4E08">
        <w:t>98</w:t>
      </w:r>
    </w:p>
    <w:p w14:paraId="21A70F11" w14:textId="77777777" w:rsidR="003D718C" w:rsidRDefault="003D718C" w:rsidP="003D718C">
      <w:pPr>
        <w:spacing w:line="259" w:lineRule="auto"/>
        <w:rPr>
          <w:b/>
        </w:rPr>
      </w:pPr>
    </w:p>
    <w:p w14:paraId="20F9C636" w14:textId="77777777" w:rsidR="003D718C" w:rsidRDefault="003D718C" w:rsidP="003D718C">
      <w:pPr>
        <w:spacing w:line="259" w:lineRule="auto"/>
        <w:rPr>
          <w:b/>
        </w:rPr>
      </w:pPr>
      <w:r>
        <w:rPr>
          <w:b/>
        </w:rPr>
        <w:br w:type="page"/>
      </w:r>
    </w:p>
    <w:p w14:paraId="2935C096" w14:textId="77777777" w:rsidR="003D718C" w:rsidRPr="0060047F" w:rsidRDefault="003D718C" w:rsidP="003D718C">
      <w:pPr>
        <w:jc w:val="center"/>
        <w:rPr>
          <w:b/>
        </w:rPr>
      </w:pPr>
      <w:r w:rsidRPr="0060047F">
        <w:rPr>
          <w:b/>
        </w:rPr>
        <w:lastRenderedPageBreak/>
        <w:t>Types of Restaurants and their Service Offered</w:t>
      </w:r>
    </w:p>
    <w:p w14:paraId="0E2A1276" w14:textId="77777777" w:rsidR="003D718C" w:rsidRDefault="003D718C" w:rsidP="003D718C">
      <w:r>
        <w:t xml:space="preserve">Different areas and services in the Food and Beverage business need very different sets of skills. </w:t>
      </w:r>
      <w:r>
        <w:rPr>
          <w:shd w:val="clear" w:color="auto" w:fill="FFFFFF"/>
        </w:rPr>
        <w:t>Cankul et</w:t>
      </w:r>
      <w:r>
        <w:t xml:space="preserve"> al. (2021) discovered that the type of service and job could greatly affect how well someone can deal with customers, what they need to know to work in the food and drink industry, and how the customers feel overall. Full-service and self-service are the two main types of service.</w:t>
      </w:r>
    </w:p>
    <w:p w14:paraId="7F12F5C8" w14:textId="77777777" w:rsidR="003D718C" w:rsidRPr="0060047F" w:rsidRDefault="003D718C" w:rsidP="003D718C">
      <w:pPr>
        <w:jc w:val="center"/>
        <w:rPr>
          <w:b/>
        </w:rPr>
      </w:pPr>
      <w:r w:rsidRPr="0060047F">
        <w:rPr>
          <w:b/>
        </w:rPr>
        <w:t xml:space="preserve">The </w:t>
      </w:r>
      <w:r>
        <w:rPr>
          <w:b/>
        </w:rPr>
        <w:t>S</w:t>
      </w:r>
      <w:r w:rsidRPr="0060047F">
        <w:rPr>
          <w:b/>
        </w:rPr>
        <w:t xml:space="preserve">kills </w:t>
      </w:r>
      <w:r>
        <w:rPr>
          <w:b/>
        </w:rPr>
        <w:t>R</w:t>
      </w:r>
      <w:r w:rsidRPr="0060047F">
        <w:rPr>
          <w:b/>
        </w:rPr>
        <w:t xml:space="preserve">equired for a </w:t>
      </w:r>
      <w:r>
        <w:rPr>
          <w:b/>
        </w:rPr>
        <w:t>S</w:t>
      </w:r>
      <w:r w:rsidRPr="0060047F">
        <w:rPr>
          <w:b/>
        </w:rPr>
        <w:t xml:space="preserve">pecific </w:t>
      </w:r>
      <w:r>
        <w:rPr>
          <w:b/>
        </w:rPr>
        <w:t>J</w:t>
      </w:r>
      <w:r w:rsidRPr="0060047F">
        <w:rPr>
          <w:b/>
        </w:rPr>
        <w:t xml:space="preserve">ob </w:t>
      </w:r>
      <w:r>
        <w:rPr>
          <w:b/>
        </w:rPr>
        <w:t>R</w:t>
      </w:r>
      <w:r w:rsidRPr="0060047F">
        <w:rPr>
          <w:b/>
        </w:rPr>
        <w:t xml:space="preserve">ole in the </w:t>
      </w:r>
      <w:r>
        <w:rPr>
          <w:b/>
        </w:rPr>
        <w:t>R</w:t>
      </w:r>
      <w:r w:rsidRPr="0060047F">
        <w:rPr>
          <w:b/>
        </w:rPr>
        <w:t xml:space="preserve">estaurant </w:t>
      </w:r>
      <w:r>
        <w:rPr>
          <w:b/>
        </w:rPr>
        <w:t>I</w:t>
      </w:r>
      <w:r w:rsidRPr="0060047F">
        <w:rPr>
          <w:b/>
        </w:rPr>
        <w:t>ndustry</w:t>
      </w:r>
    </w:p>
    <w:p w14:paraId="156BED59" w14:textId="77777777" w:rsidR="003D718C" w:rsidRDefault="003D718C" w:rsidP="003D718C">
      <w:r w:rsidRPr="00EC107D">
        <w:t>Food and beverage personnel' competencies depend on the nature of their services. Full-service restaurants require staff who can effectively address customer concerns and fulfil orders. They should have extensive knowledge of menu items and be prepared to address any inquiries. Fast food staff should have a comprehensive understanding of the menu, agility in their movements, and seamless transitions between tasks. Self-service dining staff should maintain cleanliness, ensure food and beverage availability, and be able to address any customer inquiries or concerns.</w:t>
      </w:r>
    </w:p>
    <w:p w14:paraId="687D3430" w14:textId="1D1DA39B" w:rsidR="003D718C" w:rsidRDefault="003D718C" w:rsidP="003D718C">
      <w:r>
        <w:t xml:space="preserve">The requisite abilities will vary based on the specific service and organisation. In the context of a five-star restaurant, the personnel are expected to exhibit a courteous demeanour and have extensive knowledge of the cuisine they serve. In contrast, fast food establishments may prioritise recruiting individuals with effective time management skills. According to Lee et al. (2022), </w:t>
      </w:r>
      <w:r w:rsidR="00C932EB">
        <w:t>bar and pub employees need to possess</w:t>
      </w:r>
      <w:r>
        <w:t xml:space="preserve"> a diverse repertoire of beverage preparation skills and demonstrate efficiency in serving patrons. The food and beverage sector needs individuals who possess soft skills, such as effective communication, problem-solving capabilities, and conflict-resolution aptitude. </w:t>
      </w:r>
    </w:p>
    <w:p w14:paraId="264812DF" w14:textId="77777777" w:rsidR="003D718C" w:rsidRPr="00E024BB" w:rsidRDefault="003D718C" w:rsidP="003D718C">
      <w:pPr>
        <w:jc w:val="center"/>
        <w:rPr>
          <w:b/>
        </w:rPr>
      </w:pPr>
      <w:r w:rsidRPr="00E024BB">
        <w:rPr>
          <w:b/>
        </w:rPr>
        <w:t>My Experience Working in Food and Beverage</w:t>
      </w:r>
    </w:p>
    <w:p w14:paraId="3608AB09" w14:textId="77777777" w:rsidR="003D718C" w:rsidRDefault="003D718C" w:rsidP="003D718C">
      <w:r w:rsidRPr="00EC107D">
        <w:t>The food and drink industry is constantly evolving, with staff training needs influenced by the type of food served. For instance, Italian restaurants require staff who speak Italian as their first language, while Chinese restaurants require staff who can make Chinese dishes. The skills required in the food and drink industry are more complex than those in fast</w:t>
      </w:r>
      <w:r>
        <w:t>-</w:t>
      </w:r>
      <w:r w:rsidRPr="00EC107D">
        <w:t>food establishments. A worker in this industry must be friendly, open, and well-coordinated</w:t>
      </w:r>
      <w:r>
        <w:t xml:space="preserve"> (Long et al., 2018)</w:t>
      </w:r>
      <w:r w:rsidRPr="00EC107D">
        <w:t xml:space="preserve">. They may also need to know how to make different drinking drinks. Companies in this industry are constantly evolving, and their employees must stay updated with the latest ideas, trends, and </w:t>
      </w:r>
      <w:r w:rsidRPr="00EC107D">
        <w:lastRenderedPageBreak/>
        <w:t xml:space="preserve">strategies to provide excellent customer service. </w:t>
      </w:r>
      <w:r>
        <w:t>Employees must stay updated with the latest ideas and strategies to stay ahead of the curve</w:t>
      </w:r>
      <w:r w:rsidRPr="00EC107D">
        <w:t>.</w:t>
      </w:r>
    </w:p>
    <w:p w14:paraId="059650B0" w14:textId="77777777" w:rsidR="003D718C" w:rsidRDefault="003D718C" w:rsidP="003D718C">
      <w:pPr>
        <w:jc w:val="center"/>
        <w:rPr>
          <w:b/>
        </w:rPr>
      </w:pPr>
      <w:r w:rsidRPr="00E024BB">
        <w:rPr>
          <w:b/>
        </w:rPr>
        <w:t>Personal Reflection</w:t>
      </w:r>
    </w:p>
    <w:p w14:paraId="72A2304C" w14:textId="20E1FBD9" w:rsidR="003D718C" w:rsidRPr="008D27E9" w:rsidRDefault="003D718C" w:rsidP="003D718C">
      <w:r w:rsidRPr="008D27E9">
        <w:t xml:space="preserve">This paradigm may aid in the understanding of an experience. This might be a one-time event or something that occurs often, like team meetings where collaboration is required. While the principles apply equally to one-time events as well, Gibbs initially suggested applying </w:t>
      </w:r>
      <w:r w:rsidR="00C932EB">
        <w:t>them</w:t>
      </w:r>
      <w:r w:rsidRPr="008D27E9">
        <w:t xml:space="preserve"> to recurring circumstances. </w:t>
      </w:r>
    </w:p>
    <w:p w14:paraId="5323D4EF" w14:textId="77777777" w:rsidR="003D718C" w:rsidRDefault="003D718C" w:rsidP="003D718C">
      <w:pPr>
        <w:keepNext/>
      </w:pPr>
      <w:r>
        <w:rPr>
          <w:noProof/>
          <w:lang w:val="en-US"/>
        </w:rPr>
        <w:drawing>
          <wp:inline distT="0" distB="0" distL="0" distR="0" wp14:anchorId="30076392" wp14:editId="5724D302">
            <wp:extent cx="5943600" cy="2708275"/>
            <wp:effectExtent l="0" t="0" r="0" b="0"/>
            <wp:docPr id="1" name="Picture 1" descr="Gibbs Reflective Cycle and Model from 1988 | Marketing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and Model from 1988 | Marketing91"/>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t="18993"/>
                    <a:stretch/>
                  </pic:blipFill>
                  <pic:spPr bwMode="auto">
                    <a:xfrm>
                      <a:off x="0" y="0"/>
                      <a:ext cx="5943600" cy="2708275"/>
                    </a:xfrm>
                    <a:prstGeom prst="rect">
                      <a:avLst/>
                    </a:prstGeom>
                    <a:noFill/>
                    <a:ln>
                      <a:noFill/>
                    </a:ln>
                    <a:extLst>
                      <a:ext uri="{53640926-AAD7-44D8-BBD7-CCE9431645EC}">
                        <a14:shadowObscured xmlns:a14="http://schemas.microsoft.com/office/drawing/2010/main"/>
                      </a:ext>
                    </a:extLst>
                  </pic:spPr>
                </pic:pic>
              </a:graphicData>
            </a:graphic>
          </wp:inline>
        </w:drawing>
      </w:r>
    </w:p>
    <w:p w14:paraId="20ACC272" w14:textId="77777777" w:rsidR="003D718C" w:rsidRDefault="003D718C" w:rsidP="003D718C">
      <w:pPr>
        <w:pStyle w:val="Caption"/>
        <w:jc w:val="center"/>
      </w:pPr>
      <w:r>
        <w:t xml:space="preserve">Figure </w:t>
      </w:r>
      <w:r w:rsidR="00D575C3">
        <w:fldChar w:fldCharType="begin"/>
      </w:r>
      <w:r w:rsidR="00D575C3">
        <w:instrText xml:space="preserve"> SEQ Figure \* ARABIC </w:instrText>
      </w:r>
      <w:r w:rsidR="00D575C3">
        <w:fldChar w:fldCharType="separate"/>
      </w:r>
      <w:r>
        <w:rPr>
          <w:noProof/>
        </w:rPr>
        <w:t>1</w:t>
      </w:r>
      <w:r w:rsidR="00D575C3">
        <w:rPr>
          <w:noProof/>
        </w:rPr>
        <w:fldChar w:fldCharType="end"/>
      </w:r>
      <w:r>
        <w:t xml:space="preserve"> Gibbs Reflection Cycle</w:t>
      </w:r>
    </w:p>
    <w:p w14:paraId="1EAC5F4A" w14:textId="77777777" w:rsidR="003D718C" w:rsidRPr="00BC7548" w:rsidRDefault="003D718C" w:rsidP="003D718C">
      <w:pPr>
        <w:jc w:val="center"/>
      </w:pPr>
      <w:r>
        <w:t>Source: (Adeani et al., 2020)</w:t>
      </w:r>
    </w:p>
    <w:p w14:paraId="55D0657C" w14:textId="77777777" w:rsidR="003D718C" w:rsidRDefault="003D718C" w:rsidP="003D718C">
      <w:pPr>
        <w:jc w:val="left"/>
      </w:pPr>
      <w:r w:rsidRPr="002B5AE0">
        <w:rPr>
          <w:b/>
        </w:rPr>
        <w:t>Description:</w:t>
      </w:r>
      <w:r>
        <w:t xml:space="preserve"> This course taught me that the hotel industry is always changing and growing and that the skills a food and beverage staff member needs may depend on the type of business. I've also learned how important it is for someone who works in food and drink to know both what the business serves and how to behave.</w:t>
      </w:r>
    </w:p>
    <w:p w14:paraId="36D22A74" w14:textId="77777777" w:rsidR="003D718C" w:rsidRPr="00C725EE" w:rsidRDefault="003D718C" w:rsidP="003D718C">
      <w:pPr>
        <w:jc w:val="left"/>
      </w:pPr>
      <w:r w:rsidRPr="002B5AE0">
        <w:rPr>
          <w:b/>
        </w:rPr>
        <w:t xml:space="preserve">Feelings: </w:t>
      </w:r>
      <w:r>
        <w:t>The data will help me learn more about the different food and drink businesses so that I can make solutions that fit the needs of each one. I want to use my skills to make rules and procedures for customer service that will make customers happy.</w:t>
      </w:r>
    </w:p>
    <w:p w14:paraId="37B366E7" w14:textId="77777777" w:rsidR="003D718C" w:rsidRDefault="003D718C" w:rsidP="003D718C">
      <w:pPr>
        <w:jc w:val="left"/>
      </w:pPr>
      <w:r w:rsidRPr="002B5AE0">
        <w:rPr>
          <w:b/>
        </w:rPr>
        <w:t>Evaluation:</w:t>
      </w:r>
      <w:r>
        <w:t xml:space="preserve"> Many areas where I might have performed better were found after an analysis of my performance. I gained a lot of knowledge about many work-related topics over this experience, </w:t>
      </w:r>
      <w:r>
        <w:lastRenderedPageBreak/>
        <w:t>which was quite beneficial. I enjoyed the role-playing exercise because I had to imagine myself as a restaurant employee. I've been able to learn more about hospitality service and move forward in the better service process because of the tools offered.</w:t>
      </w:r>
    </w:p>
    <w:p w14:paraId="787F7FAF" w14:textId="77777777" w:rsidR="003D718C" w:rsidRDefault="003D718C" w:rsidP="003D718C">
      <w:pPr>
        <w:jc w:val="left"/>
      </w:pPr>
      <w:r w:rsidRPr="002B5AE0">
        <w:rPr>
          <w:b/>
        </w:rPr>
        <w:t>Analysis:</w:t>
      </w:r>
      <w:r>
        <w:t xml:space="preserve"> With that in mind, I plan to make the most of my skills as a boss and leader. My team and I will be successful if we communicate clearly and come up with creative solutions to problems. Along with that, I will use my skills to make the job better for everyone.</w:t>
      </w:r>
    </w:p>
    <w:p w14:paraId="4E525FA0" w14:textId="77777777" w:rsidR="003D718C" w:rsidRDefault="003D718C" w:rsidP="003D718C">
      <w:r w:rsidRPr="002B5AE0">
        <w:rPr>
          <w:b/>
        </w:rPr>
        <w:t>Conclusion:</w:t>
      </w:r>
      <w:r>
        <w:t xml:space="preserve"> Using what I have learned about giving great service, I will make the place feel warm and comfortable for the customers. Consequently, my endeavours to complete this project were acknowledged. As I continue to work on the remaining components, I should bear the previously noted criticism in mind. </w:t>
      </w:r>
    </w:p>
    <w:p w14:paraId="492B4B20" w14:textId="5A0E4630" w:rsidR="003D718C" w:rsidRDefault="003D718C" w:rsidP="003D718C">
      <w:r w:rsidRPr="00C725EE">
        <w:rPr>
          <w:b/>
        </w:rPr>
        <w:t xml:space="preserve">Action Plan: </w:t>
      </w:r>
      <w:r>
        <w:t xml:space="preserve">When I am gaining experience in the hospitality industry, I am aware of the mistakes I made and take action to solve those. I strongly advise that if we want to divide the work, we clearly define our expectations upfront. To have a reference for when we write our parts, I could suggest that we write the opening or first section together. </w:t>
      </w:r>
    </w:p>
    <w:p w14:paraId="1CEDE7D7" w14:textId="77777777" w:rsidR="003D718C" w:rsidRDefault="003D718C" w:rsidP="003D718C">
      <w:pPr>
        <w:jc w:val="left"/>
      </w:pPr>
    </w:p>
    <w:p w14:paraId="6DE3D515" w14:textId="77777777" w:rsidR="003D718C" w:rsidRPr="00B20CE5" w:rsidRDefault="003D718C" w:rsidP="003D718C">
      <w:pPr>
        <w:jc w:val="left"/>
      </w:pPr>
    </w:p>
    <w:p w14:paraId="58726663" w14:textId="77777777" w:rsidR="003D718C" w:rsidRDefault="003D718C" w:rsidP="003D718C"/>
    <w:p w14:paraId="37CEC333" w14:textId="77777777" w:rsidR="003D718C" w:rsidRDefault="003D718C" w:rsidP="003D718C"/>
    <w:p w14:paraId="12235033" w14:textId="77777777" w:rsidR="003D718C" w:rsidRDefault="003D718C" w:rsidP="003D718C"/>
    <w:p w14:paraId="6FC871BE" w14:textId="77777777" w:rsidR="003D718C" w:rsidRDefault="003D718C" w:rsidP="003D718C">
      <w:pPr>
        <w:spacing w:line="259" w:lineRule="auto"/>
        <w:jc w:val="left"/>
        <w:rPr>
          <w:b/>
        </w:rPr>
      </w:pPr>
      <w:r>
        <w:rPr>
          <w:b/>
        </w:rPr>
        <w:br w:type="page"/>
      </w:r>
    </w:p>
    <w:p w14:paraId="77C06F38" w14:textId="77777777" w:rsidR="003D718C" w:rsidRDefault="003D718C" w:rsidP="003D718C">
      <w:pPr>
        <w:jc w:val="center"/>
        <w:rPr>
          <w:b/>
        </w:rPr>
      </w:pPr>
      <w:r w:rsidRPr="00E23481">
        <w:rPr>
          <w:b/>
        </w:rPr>
        <w:lastRenderedPageBreak/>
        <w:t>Reference:</w:t>
      </w:r>
    </w:p>
    <w:p w14:paraId="2C77B872" w14:textId="435975F0" w:rsidR="003D718C" w:rsidRPr="00BC7548" w:rsidRDefault="003D718C" w:rsidP="003D718C">
      <w:r>
        <w:rPr>
          <w:shd w:val="clear" w:color="auto" w:fill="FFFFFF"/>
        </w:rPr>
        <w:t>Adeani, I.S., Febriani, R.B. and Syafryadin, S., 2020. Using reflective cycle in making reflections of literary analysis. </w:t>
      </w:r>
      <w:r>
        <w:rPr>
          <w:i/>
          <w:iCs/>
          <w:shd w:val="clear" w:color="auto" w:fill="FFFFFF"/>
        </w:rPr>
        <w:t>Indonesian EFL Journal</w:t>
      </w:r>
      <w:r>
        <w:rPr>
          <w:shd w:val="clear" w:color="auto" w:fill="FFFFFF"/>
        </w:rPr>
        <w:t>, </w:t>
      </w:r>
      <w:r>
        <w:rPr>
          <w:i/>
          <w:iCs/>
          <w:shd w:val="clear" w:color="auto" w:fill="FFFFFF"/>
        </w:rPr>
        <w:t>6</w:t>
      </w:r>
      <w:r>
        <w:rPr>
          <w:shd w:val="clear" w:color="auto" w:fill="FFFFFF"/>
        </w:rPr>
        <w:t>(2), pp.139-148.</w:t>
      </w:r>
    </w:p>
    <w:p w14:paraId="07EBC60F" w14:textId="589C2811" w:rsidR="003D718C" w:rsidRDefault="003D718C" w:rsidP="003D718C">
      <w:pPr>
        <w:rPr>
          <w:shd w:val="clear" w:color="auto" w:fill="FFFFFF"/>
        </w:rPr>
      </w:pPr>
      <w:r>
        <w:rPr>
          <w:shd w:val="clear" w:color="auto" w:fill="FFFFFF"/>
        </w:rPr>
        <w:t>Cankul, D., Ari, O.P. and Okumus, B., 2021. The current practices of food and beverage photography and styling in the food business. </w:t>
      </w:r>
      <w:r>
        <w:rPr>
          <w:i/>
          <w:iCs/>
          <w:shd w:val="clear" w:color="auto" w:fill="FFFFFF"/>
        </w:rPr>
        <w:t>Journal of Hospitality and Tourism Technology</w:t>
      </w:r>
      <w:r>
        <w:rPr>
          <w:shd w:val="clear" w:color="auto" w:fill="FFFFFF"/>
        </w:rPr>
        <w:t>, </w:t>
      </w:r>
      <w:r>
        <w:rPr>
          <w:i/>
          <w:iCs/>
          <w:shd w:val="clear" w:color="auto" w:fill="FFFFFF"/>
        </w:rPr>
        <w:t>12</w:t>
      </w:r>
      <w:r>
        <w:rPr>
          <w:shd w:val="clear" w:color="auto" w:fill="FFFFFF"/>
        </w:rPr>
        <w:t>(2), pp.287-306.</w:t>
      </w:r>
    </w:p>
    <w:p w14:paraId="7B19DC5A" w14:textId="77777777" w:rsidR="003D718C" w:rsidRDefault="003D718C" w:rsidP="003D718C">
      <w:pPr>
        <w:rPr>
          <w:shd w:val="clear" w:color="auto" w:fill="FFFFFF"/>
        </w:rPr>
      </w:pPr>
      <w:r>
        <w:rPr>
          <w:shd w:val="clear" w:color="auto" w:fill="FFFFFF"/>
        </w:rPr>
        <w:t>Javangwe, J., Viljoen, A.H. and Kruger, M., 2023. Food Service Professionals' Competencies in Managing Food Allergies and Intolerances: A South African Perspective. </w:t>
      </w:r>
      <w:r>
        <w:rPr>
          <w:i/>
          <w:iCs/>
          <w:shd w:val="clear" w:color="auto" w:fill="FFFFFF"/>
        </w:rPr>
        <w:t>Journal of Gastronomy and Tourism</w:t>
      </w:r>
      <w:r>
        <w:rPr>
          <w:shd w:val="clear" w:color="auto" w:fill="FFFFFF"/>
        </w:rPr>
        <w:t>.</w:t>
      </w:r>
    </w:p>
    <w:p w14:paraId="2A275DA9" w14:textId="77777777" w:rsidR="003D718C" w:rsidRDefault="003D718C" w:rsidP="003D718C">
      <w:pPr>
        <w:rPr>
          <w:shd w:val="clear" w:color="auto" w:fill="FFFFFF"/>
        </w:rPr>
      </w:pPr>
      <w:r>
        <w:rPr>
          <w:shd w:val="clear" w:color="auto" w:fill="FFFFFF"/>
        </w:rPr>
        <w:t>Lee, K.S. and Ruck, K.J., 2022. Barista Diary: An autoethnography studying the operational experience of third-wave coffee shop baristas. </w:t>
      </w:r>
      <w:r>
        <w:rPr>
          <w:i/>
          <w:iCs/>
          <w:shd w:val="clear" w:color="auto" w:fill="FFFFFF"/>
        </w:rPr>
        <w:t>International Journal of Hospitality Management</w:t>
      </w:r>
      <w:r>
        <w:rPr>
          <w:shd w:val="clear" w:color="auto" w:fill="FFFFFF"/>
        </w:rPr>
        <w:t>, </w:t>
      </w:r>
      <w:r>
        <w:rPr>
          <w:i/>
          <w:iCs/>
          <w:shd w:val="clear" w:color="auto" w:fill="FFFFFF"/>
        </w:rPr>
        <w:t>102</w:t>
      </w:r>
      <w:r>
        <w:rPr>
          <w:shd w:val="clear" w:color="auto" w:fill="FFFFFF"/>
        </w:rPr>
        <w:t>, p.103182.</w:t>
      </w:r>
    </w:p>
    <w:p w14:paraId="4340E4B3" w14:textId="77777777" w:rsidR="003D718C" w:rsidRDefault="003D718C" w:rsidP="003D718C">
      <w:r>
        <w:rPr>
          <w:shd w:val="clear" w:color="auto" w:fill="FFFFFF"/>
        </w:rPr>
        <w:t>Long, T.B., Looijen, A. and Blok, V., 2018. Critical success factors for the transition to business models for sustainability in the food and beverage industry in the Netherlands. </w:t>
      </w:r>
      <w:r>
        <w:rPr>
          <w:i/>
          <w:iCs/>
          <w:shd w:val="clear" w:color="auto" w:fill="FFFFFF"/>
        </w:rPr>
        <w:t>Journal of cleaner production</w:t>
      </w:r>
      <w:r>
        <w:rPr>
          <w:shd w:val="clear" w:color="auto" w:fill="FFFFFF"/>
        </w:rPr>
        <w:t>, </w:t>
      </w:r>
      <w:r>
        <w:rPr>
          <w:i/>
          <w:iCs/>
          <w:shd w:val="clear" w:color="auto" w:fill="FFFFFF"/>
        </w:rPr>
        <w:t>175</w:t>
      </w:r>
      <w:r>
        <w:rPr>
          <w:shd w:val="clear" w:color="auto" w:fill="FFFFFF"/>
        </w:rPr>
        <w:t>, pp.82-95.</w:t>
      </w:r>
    </w:p>
    <w:p w14:paraId="2B928BBC" w14:textId="77777777" w:rsidR="003D718C" w:rsidRDefault="003D718C" w:rsidP="003D718C"/>
    <w:p w14:paraId="503C0707" w14:textId="77777777" w:rsidR="0069440E" w:rsidRPr="00176E05" w:rsidRDefault="0069440E" w:rsidP="00176E05"/>
    <w:sectPr w:rsidR="0069440E" w:rsidRPr="00176E05" w:rsidSect="00B1718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D9628A"/>
    <w:multiLevelType w:val="hybridMultilevel"/>
    <w:tmpl w:val="03DC6C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97F26B4"/>
    <w:multiLevelType w:val="hybridMultilevel"/>
    <w:tmpl w:val="2B18A4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33097843">
    <w:abstractNumId w:val="0"/>
  </w:num>
  <w:num w:numId="2" w16cid:durableId="107750935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SwMDMyNTc2NDU3MbNQ0lEKTi0uzszPAykwrAUA6O1a+iwAAAA="/>
  </w:docVars>
  <w:rsids>
    <w:rsidRoot w:val="00C020BE"/>
    <w:rsid w:val="00001715"/>
    <w:rsid w:val="000172AF"/>
    <w:rsid w:val="00024674"/>
    <w:rsid w:val="00025AF5"/>
    <w:rsid w:val="00030514"/>
    <w:rsid w:val="00035BCB"/>
    <w:rsid w:val="00035F53"/>
    <w:rsid w:val="00064FB7"/>
    <w:rsid w:val="000D306F"/>
    <w:rsid w:val="000D338D"/>
    <w:rsid w:val="000F5D46"/>
    <w:rsid w:val="001022CD"/>
    <w:rsid w:val="00115988"/>
    <w:rsid w:val="00157075"/>
    <w:rsid w:val="00157BB0"/>
    <w:rsid w:val="00176E05"/>
    <w:rsid w:val="00185E55"/>
    <w:rsid w:val="0018762B"/>
    <w:rsid w:val="0019775E"/>
    <w:rsid w:val="001D178F"/>
    <w:rsid w:val="001F0689"/>
    <w:rsid w:val="00203D79"/>
    <w:rsid w:val="0024398E"/>
    <w:rsid w:val="0026418B"/>
    <w:rsid w:val="00315EBB"/>
    <w:rsid w:val="00346626"/>
    <w:rsid w:val="0036071B"/>
    <w:rsid w:val="00380E44"/>
    <w:rsid w:val="003B44E7"/>
    <w:rsid w:val="003D0CF7"/>
    <w:rsid w:val="003D718C"/>
    <w:rsid w:val="00402050"/>
    <w:rsid w:val="00444100"/>
    <w:rsid w:val="004475B6"/>
    <w:rsid w:val="00461C44"/>
    <w:rsid w:val="004644E5"/>
    <w:rsid w:val="00512348"/>
    <w:rsid w:val="00571BDD"/>
    <w:rsid w:val="005C46C0"/>
    <w:rsid w:val="005C668A"/>
    <w:rsid w:val="005F0990"/>
    <w:rsid w:val="005F7C76"/>
    <w:rsid w:val="00605F9B"/>
    <w:rsid w:val="00607836"/>
    <w:rsid w:val="006401C7"/>
    <w:rsid w:val="00653DC5"/>
    <w:rsid w:val="00684090"/>
    <w:rsid w:val="00690374"/>
    <w:rsid w:val="0069440E"/>
    <w:rsid w:val="006F0412"/>
    <w:rsid w:val="00717801"/>
    <w:rsid w:val="00733EC0"/>
    <w:rsid w:val="007716FF"/>
    <w:rsid w:val="0078222C"/>
    <w:rsid w:val="007A2343"/>
    <w:rsid w:val="007A4643"/>
    <w:rsid w:val="007B0B60"/>
    <w:rsid w:val="007F1C0E"/>
    <w:rsid w:val="007F1CFD"/>
    <w:rsid w:val="008005B4"/>
    <w:rsid w:val="00835F04"/>
    <w:rsid w:val="008805F6"/>
    <w:rsid w:val="008B48A0"/>
    <w:rsid w:val="008D535A"/>
    <w:rsid w:val="008F1C86"/>
    <w:rsid w:val="00900114"/>
    <w:rsid w:val="00933872"/>
    <w:rsid w:val="00935806"/>
    <w:rsid w:val="00960487"/>
    <w:rsid w:val="00974104"/>
    <w:rsid w:val="00987A0A"/>
    <w:rsid w:val="0099030F"/>
    <w:rsid w:val="009A1F94"/>
    <w:rsid w:val="009A3E1B"/>
    <w:rsid w:val="009B23FE"/>
    <w:rsid w:val="009B762E"/>
    <w:rsid w:val="009C4E08"/>
    <w:rsid w:val="00A04AC3"/>
    <w:rsid w:val="00A34D8A"/>
    <w:rsid w:val="00A357F0"/>
    <w:rsid w:val="00A86CA6"/>
    <w:rsid w:val="00A91E24"/>
    <w:rsid w:val="00AB5E91"/>
    <w:rsid w:val="00AE7D0B"/>
    <w:rsid w:val="00B00689"/>
    <w:rsid w:val="00B048C9"/>
    <w:rsid w:val="00B17187"/>
    <w:rsid w:val="00B81CF6"/>
    <w:rsid w:val="00B86689"/>
    <w:rsid w:val="00BD1BA2"/>
    <w:rsid w:val="00BF0D89"/>
    <w:rsid w:val="00C020BE"/>
    <w:rsid w:val="00C11F8C"/>
    <w:rsid w:val="00C13C93"/>
    <w:rsid w:val="00C356EC"/>
    <w:rsid w:val="00C5143D"/>
    <w:rsid w:val="00C55CE9"/>
    <w:rsid w:val="00C63B24"/>
    <w:rsid w:val="00C86736"/>
    <w:rsid w:val="00C910FB"/>
    <w:rsid w:val="00C932EB"/>
    <w:rsid w:val="00C96DDC"/>
    <w:rsid w:val="00CA692E"/>
    <w:rsid w:val="00CB3E31"/>
    <w:rsid w:val="00CD7809"/>
    <w:rsid w:val="00D139DC"/>
    <w:rsid w:val="00D1516A"/>
    <w:rsid w:val="00D575C3"/>
    <w:rsid w:val="00D917A6"/>
    <w:rsid w:val="00DB32D1"/>
    <w:rsid w:val="00DD3BCE"/>
    <w:rsid w:val="00DF1E11"/>
    <w:rsid w:val="00E04EEF"/>
    <w:rsid w:val="00E120FC"/>
    <w:rsid w:val="00E2710B"/>
    <w:rsid w:val="00E361CA"/>
    <w:rsid w:val="00E41FD0"/>
    <w:rsid w:val="00E86FBE"/>
    <w:rsid w:val="00EF622D"/>
    <w:rsid w:val="00F20A36"/>
    <w:rsid w:val="00F6118A"/>
    <w:rsid w:val="00F64740"/>
    <w:rsid w:val="00F706FB"/>
    <w:rsid w:val="00FA10B8"/>
    <w:rsid w:val="00FC3F12"/>
    <w:rsid w:val="00FC5927"/>
    <w:rsid w:val="00FE23A7"/>
    <w:rsid w:val="00FF06FD"/>
    <w:rsid w:val="00FF0FB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A6A3954"/>
  <w15:docId w15:val="{3819055F-9CD4-4906-BEED-3D1BA602A5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20BE"/>
    <w:pPr>
      <w:spacing w:line="360" w:lineRule="auto"/>
      <w:jc w:val="both"/>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020BE"/>
    <w:pPr>
      <w:spacing w:before="100" w:beforeAutospacing="1" w:after="100" w:afterAutospacing="1" w:line="240" w:lineRule="auto"/>
      <w:jc w:val="left"/>
    </w:pPr>
    <w:rPr>
      <w:rFonts w:eastAsia="Times New Roman" w:cs="Times New Roman"/>
      <w:szCs w:val="24"/>
      <w:lang w:eastAsia="en-GB"/>
    </w:rPr>
  </w:style>
  <w:style w:type="paragraph" w:styleId="BalloonText">
    <w:name w:val="Balloon Text"/>
    <w:basedOn w:val="Normal"/>
    <w:link w:val="BalloonTextChar"/>
    <w:uiPriority w:val="99"/>
    <w:semiHidden/>
    <w:unhideWhenUsed/>
    <w:rsid w:val="00FF06F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F06FD"/>
    <w:rPr>
      <w:rFonts w:ascii="Tahoma" w:hAnsi="Tahoma" w:cs="Tahoma"/>
      <w:sz w:val="16"/>
      <w:szCs w:val="16"/>
    </w:rPr>
  </w:style>
  <w:style w:type="paragraph" w:styleId="Caption">
    <w:name w:val="caption"/>
    <w:basedOn w:val="Normal"/>
    <w:next w:val="Normal"/>
    <w:uiPriority w:val="35"/>
    <w:unhideWhenUsed/>
    <w:qFormat/>
    <w:rsid w:val="003D718C"/>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3D718C"/>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3D718C"/>
    <w:rPr>
      <w:rFonts w:asciiTheme="majorHAnsi" w:eastAsiaTheme="majorEastAsia" w:hAnsiTheme="majorHAnsi" w:cstheme="majorBidi"/>
      <w:color w:val="323E4F" w:themeColor="text2" w:themeShade="BF"/>
      <w:spacing w:val="5"/>
      <w:kern w:val="28"/>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1681925">
      <w:bodyDiv w:val="1"/>
      <w:marLeft w:val="0"/>
      <w:marRight w:val="0"/>
      <w:marTop w:val="0"/>
      <w:marBottom w:val="0"/>
      <w:divBdr>
        <w:top w:val="none" w:sz="0" w:space="0" w:color="auto"/>
        <w:left w:val="none" w:sz="0" w:space="0" w:color="auto"/>
        <w:bottom w:val="none" w:sz="0" w:space="0" w:color="auto"/>
        <w:right w:val="none" w:sz="0" w:space="0" w:color="auto"/>
      </w:divBdr>
    </w:div>
    <w:div w:id="441346420">
      <w:bodyDiv w:val="1"/>
      <w:marLeft w:val="0"/>
      <w:marRight w:val="0"/>
      <w:marTop w:val="0"/>
      <w:marBottom w:val="0"/>
      <w:divBdr>
        <w:top w:val="none" w:sz="0" w:space="0" w:color="auto"/>
        <w:left w:val="none" w:sz="0" w:space="0" w:color="auto"/>
        <w:bottom w:val="none" w:sz="0" w:space="0" w:color="auto"/>
        <w:right w:val="none" w:sz="0" w:space="0" w:color="auto"/>
      </w:divBdr>
    </w:div>
    <w:div w:id="730157993">
      <w:bodyDiv w:val="1"/>
      <w:marLeft w:val="0"/>
      <w:marRight w:val="0"/>
      <w:marTop w:val="0"/>
      <w:marBottom w:val="0"/>
      <w:divBdr>
        <w:top w:val="none" w:sz="0" w:space="0" w:color="auto"/>
        <w:left w:val="none" w:sz="0" w:space="0" w:color="auto"/>
        <w:bottom w:val="none" w:sz="0" w:space="0" w:color="auto"/>
        <w:right w:val="none" w:sz="0" w:space="0" w:color="auto"/>
      </w:divBdr>
    </w:div>
    <w:div w:id="20209601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457</TotalTime>
  <Pages>5</Pages>
  <Words>989</Words>
  <Characters>5295</Characters>
  <Application>Microsoft Office Word</Application>
  <DocSecurity>0</DocSecurity>
  <Lines>105</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Mihalcea</dc:creator>
  <cp:keywords/>
  <dc:description/>
  <cp:lastModifiedBy>Robert Mihalcea</cp:lastModifiedBy>
  <cp:revision>122</cp:revision>
  <dcterms:created xsi:type="dcterms:W3CDTF">2023-10-06T04:55:00Z</dcterms:created>
  <dcterms:modified xsi:type="dcterms:W3CDTF">2023-10-17T17:24:00Z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51293e35-f856-4db4-8880-791a65866be2</vt:lpwstr>
  </property>
</Properties>
</file>