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A84FC6" w14:textId="77777777" w:rsidR="005339CF" w:rsidRPr="005339CF" w:rsidRDefault="005339CF" w:rsidP="005339CF">
      <w:pPr>
        <w:spacing w:line="360" w:lineRule="auto"/>
        <w:rPr>
          <w:rFonts w:ascii="Times New Roman" w:eastAsia="Times New Roman" w:hAnsi="Times New Roman" w:cs="Times New Roman"/>
          <w:b/>
          <w:bCs/>
          <w:sz w:val="48"/>
          <w:szCs w:val="48"/>
          <w:lang w:eastAsia="en-GB"/>
        </w:rPr>
      </w:pPr>
      <w:r w:rsidRPr="005339CF">
        <w:rPr>
          <w:rFonts w:ascii="Times New Roman" w:eastAsia="Times New Roman" w:hAnsi="Times New Roman" w:cs="Times New Roman"/>
          <w:b/>
          <w:bCs/>
          <w:sz w:val="48"/>
          <w:szCs w:val="48"/>
          <w:lang w:eastAsia="en-GB"/>
        </w:rPr>
        <w:t xml:space="preserve">Name </w:t>
      </w:r>
      <w:r w:rsidRPr="005339CF">
        <w:rPr>
          <w:rFonts w:ascii="Times New Roman" w:eastAsia="Times New Roman" w:hAnsi="Times New Roman" w:cs="Times New Roman"/>
          <w:sz w:val="48"/>
          <w:szCs w:val="48"/>
          <w:lang w:eastAsia="en-GB"/>
        </w:rPr>
        <w:t xml:space="preserve">– </w:t>
      </w:r>
      <w:proofErr w:type="spellStart"/>
      <w:r w:rsidRPr="005339CF">
        <w:rPr>
          <w:rFonts w:ascii="Times New Roman" w:eastAsia="Times New Roman" w:hAnsi="Times New Roman" w:cs="Times New Roman"/>
          <w:sz w:val="48"/>
          <w:szCs w:val="48"/>
          <w:lang w:eastAsia="en-GB"/>
        </w:rPr>
        <w:t>Musammot</w:t>
      </w:r>
      <w:proofErr w:type="spellEnd"/>
      <w:r w:rsidRPr="005339CF">
        <w:rPr>
          <w:rFonts w:ascii="Times New Roman" w:eastAsia="Times New Roman" w:hAnsi="Times New Roman" w:cs="Times New Roman"/>
          <w:sz w:val="48"/>
          <w:szCs w:val="48"/>
          <w:lang w:eastAsia="en-GB"/>
        </w:rPr>
        <w:t xml:space="preserve"> Nasrin Shafi</w:t>
      </w:r>
      <w:r w:rsidRPr="005339CF">
        <w:rPr>
          <w:rFonts w:ascii="Times New Roman" w:eastAsia="Times New Roman" w:hAnsi="Times New Roman" w:cs="Times New Roman"/>
          <w:b/>
          <w:bCs/>
          <w:sz w:val="48"/>
          <w:szCs w:val="48"/>
          <w:lang w:eastAsia="en-GB"/>
        </w:rPr>
        <w:t xml:space="preserve"> </w:t>
      </w:r>
    </w:p>
    <w:p w14:paraId="41094163" w14:textId="77777777" w:rsidR="005339CF" w:rsidRPr="005339CF" w:rsidRDefault="005339CF" w:rsidP="005339CF">
      <w:pPr>
        <w:spacing w:line="360" w:lineRule="auto"/>
        <w:rPr>
          <w:rFonts w:ascii="Times New Roman" w:eastAsia="Times New Roman" w:hAnsi="Times New Roman" w:cs="Times New Roman"/>
          <w:b/>
          <w:bCs/>
          <w:sz w:val="48"/>
          <w:szCs w:val="48"/>
          <w:lang w:eastAsia="en-GB"/>
        </w:rPr>
      </w:pPr>
    </w:p>
    <w:p w14:paraId="1B1E405E" w14:textId="77777777" w:rsidR="005339CF" w:rsidRPr="005339CF" w:rsidRDefault="005339CF" w:rsidP="005339CF">
      <w:pPr>
        <w:spacing w:line="360" w:lineRule="auto"/>
        <w:rPr>
          <w:rFonts w:ascii="Times New Roman" w:eastAsia="Times New Roman" w:hAnsi="Times New Roman" w:cs="Times New Roman"/>
          <w:sz w:val="48"/>
          <w:szCs w:val="48"/>
          <w:lang w:val="en-US" w:eastAsia="en-GB"/>
        </w:rPr>
      </w:pPr>
      <w:r w:rsidRPr="005339CF">
        <w:rPr>
          <w:rFonts w:ascii="Times New Roman" w:eastAsia="Times New Roman" w:hAnsi="Times New Roman" w:cs="Times New Roman"/>
          <w:b/>
          <w:bCs/>
          <w:sz w:val="48"/>
          <w:szCs w:val="48"/>
          <w:lang w:eastAsia="en-GB"/>
        </w:rPr>
        <w:t xml:space="preserve">Student Number </w:t>
      </w:r>
      <w:r w:rsidRPr="005339CF">
        <w:rPr>
          <w:rFonts w:ascii="Times New Roman" w:eastAsia="Times New Roman" w:hAnsi="Times New Roman" w:cs="Times New Roman"/>
          <w:sz w:val="48"/>
          <w:szCs w:val="48"/>
          <w:lang w:eastAsia="en-GB"/>
        </w:rPr>
        <w:t>-</w:t>
      </w:r>
      <w:r w:rsidRPr="005339CF">
        <w:rPr>
          <w:rFonts w:ascii="Times New Roman" w:eastAsia="Times New Roman" w:hAnsi="Times New Roman" w:cs="Times New Roman"/>
          <w:sz w:val="48"/>
          <w:szCs w:val="48"/>
          <w:lang w:val="en-US" w:eastAsia="en-GB"/>
        </w:rPr>
        <w:t>2228093</w:t>
      </w:r>
    </w:p>
    <w:p w14:paraId="729821F9" w14:textId="77777777" w:rsidR="005339CF" w:rsidRPr="005339CF" w:rsidRDefault="005339CF" w:rsidP="005339CF">
      <w:pPr>
        <w:spacing w:line="360" w:lineRule="auto"/>
        <w:rPr>
          <w:rFonts w:ascii="Times New Roman" w:eastAsia="Times New Roman" w:hAnsi="Times New Roman" w:cs="Times New Roman"/>
          <w:b/>
          <w:bCs/>
          <w:sz w:val="48"/>
          <w:szCs w:val="48"/>
          <w:lang w:val="en-US" w:eastAsia="en-GB"/>
        </w:rPr>
      </w:pPr>
    </w:p>
    <w:p w14:paraId="515C46C4" w14:textId="77777777" w:rsidR="005339CF" w:rsidRPr="005339CF" w:rsidRDefault="005339CF" w:rsidP="005339CF">
      <w:pPr>
        <w:spacing w:line="360" w:lineRule="auto"/>
        <w:rPr>
          <w:rFonts w:ascii="Times New Roman" w:eastAsia="Times New Roman" w:hAnsi="Times New Roman" w:cs="Times New Roman"/>
          <w:b/>
          <w:bCs/>
          <w:sz w:val="48"/>
          <w:szCs w:val="48"/>
          <w:lang w:val="en-US" w:eastAsia="en-GB"/>
        </w:rPr>
      </w:pPr>
      <w:r w:rsidRPr="005339CF">
        <w:rPr>
          <w:rFonts w:ascii="Times New Roman" w:eastAsia="Times New Roman" w:hAnsi="Times New Roman" w:cs="Times New Roman"/>
          <w:b/>
          <w:bCs/>
          <w:sz w:val="48"/>
          <w:szCs w:val="48"/>
          <w:lang w:val="en-US" w:eastAsia="en-GB"/>
        </w:rPr>
        <w:t xml:space="preserve">Module Title </w:t>
      </w:r>
      <w:r w:rsidRPr="005339CF">
        <w:rPr>
          <w:rFonts w:ascii="Times New Roman" w:eastAsia="Times New Roman" w:hAnsi="Times New Roman" w:cs="Times New Roman"/>
          <w:sz w:val="48"/>
          <w:szCs w:val="48"/>
          <w:lang w:val="en-US" w:eastAsia="en-GB"/>
        </w:rPr>
        <w:t>- BMIH5006 Sustainable Hospitality &amp; Tourism Management</w:t>
      </w:r>
    </w:p>
    <w:p w14:paraId="5C13AA0A" w14:textId="77777777" w:rsidR="005339CF" w:rsidRPr="005339CF" w:rsidRDefault="005339CF" w:rsidP="005339CF">
      <w:pPr>
        <w:spacing w:line="360" w:lineRule="auto"/>
        <w:rPr>
          <w:rFonts w:ascii="Times New Roman" w:eastAsia="Times New Roman" w:hAnsi="Times New Roman" w:cs="Times New Roman"/>
          <w:b/>
          <w:bCs/>
          <w:sz w:val="48"/>
          <w:szCs w:val="48"/>
          <w:lang w:val="en-US" w:eastAsia="en-GB"/>
        </w:rPr>
      </w:pPr>
    </w:p>
    <w:p w14:paraId="796F1D7E" w14:textId="77777777" w:rsidR="005339CF" w:rsidRPr="005339CF" w:rsidRDefault="005339CF" w:rsidP="005339CF">
      <w:pPr>
        <w:spacing w:line="360" w:lineRule="auto"/>
        <w:rPr>
          <w:rFonts w:ascii="Times New Roman" w:eastAsia="Times New Roman" w:hAnsi="Times New Roman" w:cs="Times New Roman"/>
          <w:sz w:val="48"/>
          <w:szCs w:val="48"/>
          <w:lang w:val="en-US" w:eastAsia="en-GB"/>
        </w:rPr>
      </w:pPr>
      <w:r w:rsidRPr="005339CF">
        <w:rPr>
          <w:rFonts w:ascii="Times New Roman" w:eastAsia="Times New Roman" w:hAnsi="Times New Roman" w:cs="Times New Roman"/>
          <w:b/>
          <w:bCs/>
          <w:sz w:val="48"/>
          <w:szCs w:val="48"/>
          <w:lang w:val="en-US" w:eastAsia="en-GB"/>
        </w:rPr>
        <w:t xml:space="preserve">Lecturer – </w:t>
      </w:r>
      <w:r w:rsidRPr="005339CF">
        <w:rPr>
          <w:rFonts w:ascii="Times New Roman" w:eastAsia="Times New Roman" w:hAnsi="Times New Roman" w:cs="Times New Roman"/>
          <w:sz w:val="48"/>
          <w:szCs w:val="48"/>
          <w:lang w:val="en-US" w:eastAsia="en-GB"/>
        </w:rPr>
        <w:t>Lisa Knight</w:t>
      </w:r>
    </w:p>
    <w:p w14:paraId="36CB5F23" w14:textId="77777777" w:rsidR="005339CF" w:rsidRPr="005339CF" w:rsidRDefault="005339CF" w:rsidP="005339CF">
      <w:pPr>
        <w:spacing w:line="360" w:lineRule="auto"/>
        <w:rPr>
          <w:rFonts w:ascii="Times New Roman" w:eastAsia="Times New Roman" w:hAnsi="Times New Roman" w:cs="Times New Roman"/>
          <w:b/>
          <w:bCs/>
          <w:sz w:val="32"/>
          <w:szCs w:val="32"/>
          <w:lang w:eastAsia="en-GB"/>
        </w:rPr>
      </w:pPr>
    </w:p>
    <w:p w14:paraId="330D9F00" w14:textId="77777777" w:rsidR="005339CF" w:rsidRPr="005339CF" w:rsidRDefault="005339CF" w:rsidP="005339CF">
      <w:pPr>
        <w:spacing w:line="360" w:lineRule="auto"/>
        <w:rPr>
          <w:rFonts w:ascii="Ariel" w:hAnsi="Ariel"/>
          <w:b/>
          <w:bCs/>
          <w:sz w:val="32"/>
          <w:szCs w:val="32"/>
        </w:rPr>
      </w:pPr>
    </w:p>
    <w:p w14:paraId="2C99A24F" w14:textId="77777777" w:rsidR="005339CF" w:rsidRPr="005339CF" w:rsidRDefault="005339CF" w:rsidP="005339CF">
      <w:pPr>
        <w:spacing w:line="360" w:lineRule="auto"/>
        <w:jc w:val="both"/>
        <w:rPr>
          <w:rFonts w:ascii="Ariel" w:hAnsi="Ariel"/>
          <w:b/>
          <w:bCs/>
          <w:sz w:val="32"/>
          <w:szCs w:val="32"/>
        </w:rPr>
      </w:pPr>
      <w:r w:rsidRPr="005339CF">
        <w:rPr>
          <w:rFonts w:ascii="Ariel" w:hAnsi="Ariel"/>
          <w:b/>
          <w:bCs/>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2CB6931" w14:textId="77777777" w:rsidR="006B32CB" w:rsidRDefault="006B32CB" w:rsidP="002D6FEC">
      <w:pPr>
        <w:spacing w:line="360" w:lineRule="auto"/>
        <w:rPr>
          <w:rFonts w:ascii="Times New Roman" w:eastAsiaTheme="minorEastAsia" w:hAnsi="Times New Roman" w:cs="Times New Roman"/>
          <w:b/>
          <w:bCs/>
          <w:sz w:val="24"/>
          <w:szCs w:val="24"/>
        </w:rPr>
      </w:pPr>
    </w:p>
    <w:p w14:paraId="6285EEF9" w14:textId="46995129" w:rsidR="00E860ED" w:rsidRPr="00E860ED" w:rsidRDefault="00E860ED" w:rsidP="002D6FEC">
      <w:pPr>
        <w:spacing w:line="360" w:lineRule="auto"/>
        <w:rPr>
          <w:rFonts w:ascii="Times New Roman" w:eastAsiaTheme="minorEastAsia" w:hAnsi="Times New Roman" w:cs="Times New Roman"/>
          <w:b/>
          <w:bCs/>
          <w:sz w:val="24"/>
          <w:szCs w:val="24"/>
        </w:rPr>
      </w:pPr>
      <w:r w:rsidRPr="00E860ED">
        <w:rPr>
          <w:rFonts w:ascii="Times New Roman" w:eastAsiaTheme="minorEastAsia" w:hAnsi="Times New Roman" w:cs="Times New Roman"/>
          <w:b/>
          <w:bCs/>
          <w:sz w:val="24"/>
          <w:szCs w:val="24"/>
        </w:rPr>
        <w:lastRenderedPageBreak/>
        <w:t xml:space="preserve">Executive Summary </w:t>
      </w:r>
    </w:p>
    <w:p w14:paraId="4C06891D" w14:textId="2468C444" w:rsidR="00E860ED" w:rsidRPr="00E860ED" w:rsidRDefault="00E860ED" w:rsidP="002D6FEC">
      <w:pPr>
        <w:spacing w:line="360" w:lineRule="auto"/>
        <w:rPr>
          <w:rFonts w:ascii="Times New Roman" w:eastAsiaTheme="minorEastAsia" w:hAnsi="Times New Roman" w:cs="Times New Roman"/>
          <w:sz w:val="24"/>
          <w:szCs w:val="24"/>
        </w:rPr>
      </w:pPr>
      <w:r w:rsidRPr="00E860ED">
        <w:rPr>
          <w:rFonts w:ascii="Times New Roman" w:eastAsiaTheme="minorEastAsia" w:hAnsi="Times New Roman" w:cs="Times New Roman"/>
          <w:sz w:val="24"/>
          <w:szCs w:val="24"/>
        </w:rPr>
        <w:t>This report examines Hilton Garden Inn's progress in sustainability, aligning with Hilton’s Travel with Purpose</w:t>
      </w:r>
      <w:r w:rsidR="008C0D6B">
        <w:rPr>
          <w:rFonts w:ascii="Times New Roman" w:eastAsiaTheme="minorEastAsia" w:hAnsi="Times New Roman" w:cs="Times New Roman"/>
          <w:sz w:val="24"/>
          <w:szCs w:val="24"/>
        </w:rPr>
        <w:t xml:space="preserve"> </w:t>
      </w:r>
      <w:r w:rsidRPr="00E860ED">
        <w:rPr>
          <w:rFonts w:ascii="Times New Roman" w:eastAsiaTheme="minorEastAsia" w:hAnsi="Times New Roman" w:cs="Times New Roman"/>
          <w:sz w:val="24"/>
          <w:szCs w:val="24"/>
        </w:rPr>
        <w:t>initiative to halve its environmental impact by 2030. Significant efforts include energy-saving installations such as LED lighting, motion sensors, and smart management systems that help reduce electricity use. Water conservation is achieved through low-flow fixtures and linen reuse programs, which cut down on both water and energy demand. Waste reduction efforts extend to recycling programs, digital check-ins, and sustainable sourcing that minimi</w:t>
      </w:r>
      <w:r w:rsidR="00F53A6F">
        <w:rPr>
          <w:rFonts w:ascii="Times New Roman" w:eastAsiaTheme="minorEastAsia" w:hAnsi="Times New Roman" w:cs="Times New Roman"/>
          <w:sz w:val="24"/>
          <w:szCs w:val="24"/>
        </w:rPr>
        <w:t>s</w:t>
      </w:r>
      <w:r w:rsidRPr="00E860ED">
        <w:rPr>
          <w:rFonts w:ascii="Times New Roman" w:eastAsiaTheme="minorEastAsia" w:hAnsi="Times New Roman" w:cs="Times New Roman"/>
          <w:sz w:val="24"/>
          <w:szCs w:val="24"/>
        </w:rPr>
        <w:t>e waste and support local suppliers. However, food waste remains an area for growth. While Hilton Garden Inn has made efforts to address this, expanding initiatives like composting, donation programs, and waste-to-energy solutions would further reduce its environmental impact. Employee engagement is also essential for these sustainability goals. By implementing structured training, interactive workshops, and recognition programs, Hilton can build a strong culture of environmental responsibility among staff. Such measures empower employees to contribute to the company’s waste reduction objectives. Overall, Hilton Garden Inn’s sustainability initiatives advance its environmental mission, enhance operational efficiency, and strengthen its reputation as a socially responsible hospitality leader.</w:t>
      </w:r>
    </w:p>
    <w:p w14:paraId="3701C716" w14:textId="77777777" w:rsidR="00E860ED" w:rsidRDefault="00E860ED" w:rsidP="002D6FEC">
      <w:pPr>
        <w:spacing w:line="360" w:lineRule="auto"/>
        <w:rPr>
          <w:rFonts w:ascii="Times New Roman" w:eastAsiaTheme="minorEastAsia" w:hAnsi="Times New Roman" w:cs="Times New Roman"/>
          <w:b/>
          <w:bCs/>
          <w:sz w:val="24"/>
          <w:szCs w:val="24"/>
        </w:rPr>
      </w:pPr>
    </w:p>
    <w:p w14:paraId="4C320B92" w14:textId="77777777" w:rsidR="00E860ED" w:rsidRDefault="00E860ED" w:rsidP="002D6FEC">
      <w:pPr>
        <w:spacing w:line="360" w:lineRule="auto"/>
        <w:rPr>
          <w:rFonts w:ascii="Times New Roman" w:eastAsiaTheme="minorEastAsia" w:hAnsi="Times New Roman" w:cs="Times New Roman"/>
          <w:b/>
          <w:bCs/>
          <w:sz w:val="24"/>
          <w:szCs w:val="24"/>
        </w:rPr>
      </w:pPr>
    </w:p>
    <w:p w14:paraId="1AC5E7E9" w14:textId="77777777" w:rsidR="00E860ED" w:rsidRDefault="00E860ED" w:rsidP="002D6FEC">
      <w:pPr>
        <w:spacing w:line="360" w:lineRule="auto"/>
        <w:rPr>
          <w:rFonts w:ascii="Times New Roman" w:eastAsiaTheme="minorEastAsia" w:hAnsi="Times New Roman" w:cs="Times New Roman"/>
          <w:b/>
          <w:bCs/>
          <w:sz w:val="24"/>
          <w:szCs w:val="24"/>
        </w:rPr>
      </w:pPr>
    </w:p>
    <w:p w14:paraId="08742848" w14:textId="77777777" w:rsidR="00E860ED" w:rsidRDefault="00E860ED" w:rsidP="002D6FEC">
      <w:pPr>
        <w:spacing w:line="360" w:lineRule="auto"/>
        <w:rPr>
          <w:rFonts w:ascii="Times New Roman" w:eastAsiaTheme="minorEastAsia" w:hAnsi="Times New Roman" w:cs="Times New Roman"/>
          <w:b/>
          <w:bCs/>
          <w:sz w:val="24"/>
          <w:szCs w:val="24"/>
        </w:rPr>
      </w:pPr>
    </w:p>
    <w:p w14:paraId="2A02C007" w14:textId="77777777" w:rsidR="00E860ED" w:rsidRDefault="00E860ED" w:rsidP="002D6FEC">
      <w:pPr>
        <w:spacing w:line="360" w:lineRule="auto"/>
        <w:rPr>
          <w:rFonts w:ascii="Times New Roman" w:eastAsiaTheme="minorEastAsia" w:hAnsi="Times New Roman" w:cs="Times New Roman"/>
          <w:b/>
          <w:bCs/>
          <w:sz w:val="24"/>
          <w:szCs w:val="24"/>
        </w:rPr>
      </w:pPr>
    </w:p>
    <w:p w14:paraId="415D647C" w14:textId="77777777" w:rsidR="00E860ED" w:rsidRDefault="00E860ED" w:rsidP="002D6FEC">
      <w:pPr>
        <w:spacing w:line="360" w:lineRule="auto"/>
        <w:rPr>
          <w:rFonts w:ascii="Times New Roman" w:eastAsiaTheme="minorEastAsia" w:hAnsi="Times New Roman" w:cs="Times New Roman"/>
          <w:b/>
          <w:bCs/>
          <w:sz w:val="24"/>
          <w:szCs w:val="24"/>
        </w:rPr>
      </w:pPr>
    </w:p>
    <w:p w14:paraId="7ED0AA42" w14:textId="77777777" w:rsidR="00E860ED" w:rsidRDefault="00E860ED" w:rsidP="002D6FEC">
      <w:pPr>
        <w:spacing w:line="360" w:lineRule="auto"/>
        <w:rPr>
          <w:rFonts w:ascii="Times New Roman" w:eastAsiaTheme="minorEastAsia" w:hAnsi="Times New Roman" w:cs="Times New Roman"/>
          <w:b/>
          <w:bCs/>
          <w:sz w:val="24"/>
          <w:szCs w:val="24"/>
        </w:rPr>
      </w:pPr>
    </w:p>
    <w:p w14:paraId="4BC81926" w14:textId="77777777" w:rsidR="00E860ED" w:rsidRDefault="00E860ED" w:rsidP="002D6FEC">
      <w:pPr>
        <w:spacing w:line="360" w:lineRule="auto"/>
        <w:rPr>
          <w:rFonts w:ascii="Times New Roman" w:eastAsiaTheme="minorEastAsia" w:hAnsi="Times New Roman" w:cs="Times New Roman"/>
          <w:b/>
          <w:bCs/>
          <w:sz w:val="24"/>
          <w:szCs w:val="24"/>
        </w:rPr>
      </w:pPr>
    </w:p>
    <w:p w14:paraId="1522B3F3" w14:textId="77777777" w:rsidR="00E860ED" w:rsidRDefault="00E860ED" w:rsidP="002D6FEC">
      <w:pPr>
        <w:spacing w:line="360" w:lineRule="auto"/>
        <w:rPr>
          <w:rFonts w:ascii="Times New Roman" w:eastAsiaTheme="minorEastAsia" w:hAnsi="Times New Roman" w:cs="Times New Roman"/>
          <w:b/>
          <w:bCs/>
          <w:sz w:val="24"/>
          <w:szCs w:val="24"/>
        </w:rPr>
      </w:pPr>
    </w:p>
    <w:p w14:paraId="0B9A9BEF" w14:textId="77777777" w:rsidR="00E860ED" w:rsidRDefault="00E860ED" w:rsidP="002D6FEC">
      <w:pPr>
        <w:spacing w:line="360" w:lineRule="auto"/>
        <w:rPr>
          <w:rFonts w:ascii="Times New Roman" w:eastAsiaTheme="minorEastAsia" w:hAnsi="Times New Roman" w:cs="Times New Roman"/>
          <w:b/>
          <w:bCs/>
          <w:sz w:val="24"/>
          <w:szCs w:val="24"/>
        </w:rPr>
      </w:pPr>
    </w:p>
    <w:p w14:paraId="40A70487" w14:textId="77777777" w:rsidR="00E860ED" w:rsidRDefault="00E860ED" w:rsidP="002D6FEC">
      <w:pPr>
        <w:spacing w:line="360" w:lineRule="auto"/>
        <w:rPr>
          <w:rFonts w:ascii="Times New Roman" w:eastAsiaTheme="minorEastAsia" w:hAnsi="Times New Roman" w:cs="Times New Roman"/>
          <w:b/>
          <w:bCs/>
          <w:sz w:val="24"/>
          <w:szCs w:val="24"/>
        </w:rPr>
      </w:pPr>
    </w:p>
    <w:p w14:paraId="6E2CFC22" w14:textId="28DC4064" w:rsidR="00E6589D" w:rsidRDefault="00E6589D" w:rsidP="00122E6B">
      <w:pPr>
        <w:pStyle w:val="NormalWeb"/>
        <w:spacing w:line="276" w:lineRule="auto"/>
      </w:pPr>
      <w:r>
        <w:rPr>
          <w:rStyle w:val="Strong"/>
          <w:rFonts w:eastAsiaTheme="majorEastAsia"/>
        </w:rPr>
        <w:lastRenderedPageBreak/>
        <w:t>Contents page</w:t>
      </w:r>
    </w:p>
    <w:p w14:paraId="4ED186A8" w14:textId="77777777" w:rsidR="00E6589D" w:rsidRPr="00447AAB" w:rsidRDefault="00E6589D" w:rsidP="00122E6B">
      <w:pPr>
        <w:pStyle w:val="NormalWeb"/>
        <w:spacing w:line="276" w:lineRule="auto"/>
      </w:pPr>
      <w:r w:rsidRPr="00447AAB">
        <w:rPr>
          <w:rStyle w:val="Strong"/>
          <w:rFonts w:eastAsiaTheme="majorEastAsia"/>
        </w:rPr>
        <w:t>Introduction</w:t>
      </w:r>
      <w:r w:rsidRPr="00447AAB">
        <w:br/>
        <w:t>Overview of sustainability in the hotel industry and Hilton Garden Inn’s role in promoting eco-friendly practices.</w:t>
      </w:r>
    </w:p>
    <w:p w14:paraId="5727C0DC" w14:textId="77777777" w:rsidR="00E6589D" w:rsidRPr="00447AAB" w:rsidRDefault="00E6589D" w:rsidP="00122E6B">
      <w:pPr>
        <w:pStyle w:val="NormalWeb"/>
        <w:spacing w:line="276" w:lineRule="auto"/>
      </w:pPr>
      <w:r w:rsidRPr="00447AAB">
        <w:rPr>
          <w:rStyle w:val="Strong"/>
          <w:rFonts w:eastAsiaTheme="majorEastAsia"/>
        </w:rPr>
        <w:t>Main Findings</w:t>
      </w:r>
      <w:r w:rsidRPr="00447AAB">
        <w:br/>
        <w:t>Summary of Hilton Garden Inn’s current sustainable practices, with a focus on energy conservation, water efficiency, waste reduction, and food waste management.</w:t>
      </w:r>
    </w:p>
    <w:p w14:paraId="2B1E8BFE" w14:textId="77777777" w:rsidR="00E6589D" w:rsidRPr="00447AAB" w:rsidRDefault="00E6589D" w:rsidP="00122E6B">
      <w:pPr>
        <w:pStyle w:val="NormalWeb"/>
        <w:spacing w:line="276" w:lineRule="auto"/>
      </w:pPr>
      <w:r w:rsidRPr="00447AAB">
        <w:rPr>
          <w:rStyle w:val="Strong"/>
          <w:rFonts w:eastAsiaTheme="majorEastAsia"/>
        </w:rPr>
        <w:t>Hilton's Food Waste Reduction Efforts</w:t>
      </w:r>
      <w:r w:rsidRPr="00447AAB">
        <w:br/>
        <w:t>Detailed look at Hilton’s initiatives to reduce food waste and align with the “Travel with Purpose” goals.</w:t>
      </w:r>
    </w:p>
    <w:p w14:paraId="4DED6178" w14:textId="77777777" w:rsidR="00E6589D" w:rsidRPr="00447AAB" w:rsidRDefault="00E6589D" w:rsidP="00122E6B">
      <w:pPr>
        <w:pStyle w:val="NormalWeb"/>
        <w:spacing w:line="276" w:lineRule="auto"/>
      </w:pPr>
      <w:r w:rsidRPr="00447AAB">
        <w:rPr>
          <w:rStyle w:val="Strong"/>
          <w:rFonts w:eastAsiaTheme="majorEastAsia"/>
        </w:rPr>
        <w:t>Industry Comparison</w:t>
      </w:r>
      <w:r w:rsidRPr="00447AAB">
        <w:br/>
        <w:t>Examples of similar food waste reduction practices at other major hotel chains.</w:t>
      </w:r>
    </w:p>
    <w:p w14:paraId="26C11C66" w14:textId="77777777" w:rsidR="00E6589D" w:rsidRPr="00447AAB" w:rsidRDefault="00E6589D" w:rsidP="00122E6B">
      <w:pPr>
        <w:pStyle w:val="NormalWeb"/>
        <w:spacing w:line="276" w:lineRule="auto"/>
      </w:pPr>
      <w:r w:rsidRPr="00447AAB">
        <w:rPr>
          <w:rStyle w:val="Strong"/>
          <w:rFonts w:eastAsiaTheme="majorEastAsia"/>
        </w:rPr>
        <w:t>Benefits of Food Waste Reduction for Hilton</w:t>
      </w:r>
      <w:r w:rsidRPr="00447AAB">
        <w:br/>
        <w:t>Environmental, brand, and financial advantages of Hilton’s waste reduction initiatives.</w:t>
      </w:r>
    </w:p>
    <w:p w14:paraId="596B4CCB" w14:textId="77777777" w:rsidR="00E6589D" w:rsidRPr="00447AAB" w:rsidRDefault="00E6589D" w:rsidP="00122E6B">
      <w:pPr>
        <w:pStyle w:val="NormalWeb"/>
        <w:spacing w:line="276" w:lineRule="auto"/>
      </w:pPr>
      <w:r w:rsidRPr="00447AAB">
        <w:rPr>
          <w:rStyle w:val="Strong"/>
          <w:rFonts w:eastAsiaTheme="majorEastAsia"/>
        </w:rPr>
        <w:t>Challenges in Reducing Food Waste</w:t>
      </w:r>
      <w:r w:rsidRPr="00447AAB">
        <w:br/>
        <w:t>Key obstacles faced in implementing and maintaining food waste reduction practices.</w:t>
      </w:r>
    </w:p>
    <w:p w14:paraId="046DFC7D" w14:textId="77777777" w:rsidR="00E6589D" w:rsidRPr="00447AAB" w:rsidRDefault="00E6589D" w:rsidP="00122E6B">
      <w:pPr>
        <w:pStyle w:val="NormalWeb"/>
        <w:spacing w:line="276" w:lineRule="auto"/>
      </w:pPr>
      <w:r w:rsidRPr="00447AAB">
        <w:rPr>
          <w:rStyle w:val="Strong"/>
          <w:rFonts w:eastAsiaTheme="majorEastAsia"/>
        </w:rPr>
        <w:t>Sustainability Initiative Feasibility</w:t>
      </w:r>
      <w:r w:rsidRPr="00447AAB">
        <w:br/>
        <w:t>Evaluation of the practicality and cost-effectiveness of Hilton’s sustainability measures.</w:t>
      </w:r>
    </w:p>
    <w:p w14:paraId="0A7BFABD" w14:textId="77777777" w:rsidR="00E6589D" w:rsidRPr="00447AAB" w:rsidRDefault="00E6589D" w:rsidP="00122E6B">
      <w:pPr>
        <w:pStyle w:val="NormalWeb"/>
        <w:spacing w:line="276" w:lineRule="auto"/>
      </w:pPr>
      <w:r w:rsidRPr="00447AAB">
        <w:rPr>
          <w:rStyle w:val="Strong"/>
          <w:rFonts w:eastAsiaTheme="majorEastAsia"/>
        </w:rPr>
        <w:t>Environmental Impact of Food Waste Reduction</w:t>
      </w:r>
      <w:r w:rsidRPr="00447AAB">
        <w:br/>
        <w:t>Impact on greenhouse gas emissions, resource conservation, and biodiversity preservation.</w:t>
      </w:r>
    </w:p>
    <w:p w14:paraId="514EE865" w14:textId="77777777" w:rsidR="00E6589D" w:rsidRPr="00447AAB" w:rsidRDefault="00E6589D" w:rsidP="00122E6B">
      <w:pPr>
        <w:pStyle w:val="NormalWeb"/>
        <w:spacing w:line="276" w:lineRule="auto"/>
      </w:pPr>
      <w:r w:rsidRPr="00447AAB">
        <w:rPr>
          <w:rStyle w:val="Strong"/>
          <w:rFonts w:eastAsiaTheme="majorEastAsia"/>
        </w:rPr>
        <w:t>Identified Gaps in Hilton’s Sustainability Practices</w:t>
      </w:r>
      <w:r w:rsidRPr="00447AAB">
        <w:br/>
        <w:t>Areas needing improvement, particularly in employee engagement for food waste reduction.</w:t>
      </w:r>
    </w:p>
    <w:p w14:paraId="5B364C52" w14:textId="6D90D08C" w:rsidR="00E6589D" w:rsidRPr="00447AAB" w:rsidRDefault="00E6589D" w:rsidP="00122E6B">
      <w:pPr>
        <w:pStyle w:val="NormalWeb"/>
        <w:spacing w:line="276" w:lineRule="auto"/>
      </w:pPr>
      <w:r w:rsidRPr="00447AAB">
        <w:rPr>
          <w:rStyle w:val="Strong"/>
          <w:rFonts w:eastAsiaTheme="majorEastAsia"/>
        </w:rPr>
        <w:t>Conclusion</w:t>
      </w:r>
    </w:p>
    <w:p w14:paraId="40B0B3BE" w14:textId="77777777" w:rsidR="00470334" w:rsidRPr="00447AAB" w:rsidRDefault="00E6589D" w:rsidP="00122E6B">
      <w:pPr>
        <w:pStyle w:val="NormalWeb"/>
        <w:spacing w:line="276" w:lineRule="auto"/>
      </w:pPr>
      <w:r w:rsidRPr="00447AAB">
        <w:rPr>
          <w:rStyle w:val="Strong"/>
          <w:rFonts w:eastAsiaTheme="majorEastAsia"/>
        </w:rPr>
        <w:t>Recommendations</w:t>
      </w:r>
      <w:r w:rsidRPr="00447AAB">
        <w:br/>
      </w:r>
    </w:p>
    <w:p w14:paraId="1A1BC849" w14:textId="134E5F74" w:rsidR="00E6589D" w:rsidRDefault="00E6589D" w:rsidP="00122E6B">
      <w:pPr>
        <w:pStyle w:val="NormalWeb"/>
        <w:spacing w:line="276" w:lineRule="auto"/>
      </w:pPr>
      <w:r w:rsidRPr="00447AAB">
        <w:rPr>
          <w:rStyle w:val="Strong"/>
          <w:rFonts w:eastAsiaTheme="majorEastAsia"/>
        </w:rPr>
        <w:t>References</w:t>
      </w:r>
      <w:r w:rsidRPr="00447AAB">
        <w:br/>
      </w:r>
    </w:p>
    <w:p w14:paraId="58426175" w14:textId="77777777" w:rsidR="00552CD6" w:rsidRDefault="00552CD6" w:rsidP="002D6FEC">
      <w:pPr>
        <w:spacing w:line="360" w:lineRule="auto"/>
        <w:rPr>
          <w:rFonts w:ascii="Times New Roman" w:eastAsiaTheme="minorEastAsia" w:hAnsi="Times New Roman" w:cs="Times New Roman"/>
          <w:b/>
          <w:bCs/>
          <w:sz w:val="24"/>
          <w:szCs w:val="24"/>
        </w:rPr>
      </w:pPr>
    </w:p>
    <w:p w14:paraId="442E0D75" w14:textId="79554B9B" w:rsidR="00D56536" w:rsidRPr="000059FC" w:rsidRDefault="00D56536" w:rsidP="002D6FEC">
      <w:pPr>
        <w:spacing w:line="360" w:lineRule="auto"/>
        <w:rPr>
          <w:rFonts w:ascii="Times New Roman" w:eastAsiaTheme="minorEastAsia" w:hAnsi="Times New Roman" w:cs="Times New Roman"/>
          <w:b/>
          <w:bCs/>
          <w:sz w:val="24"/>
          <w:szCs w:val="24"/>
        </w:rPr>
      </w:pPr>
      <w:r w:rsidRPr="000059FC">
        <w:rPr>
          <w:rFonts w:ascii="Times New Roman" w:eastAsiaTheme="minorEastAsia" w:hAnsi="Times New Roman" w:cs="Times New Roman"/>
          <w:b/>
          <w:bCs/>
          <w:sz w:val="24"/>
          <w:szCs w:val="24"/>
        </w:rPr>
        <w:lastRenderedPageBreak/>
        <w:t xml:space="preserve">Introduction </w:t>
      </w:r>
    </w:p>
    <w:p w14:paraId="043BA32B" w14:textId="5AA13FA9" w:rsidR="00053BF8" w:rsidRPr="000059FC" w:rsidRDefault="00053BF8" w:rsidP="002D6FEC">
      <w:pPr>
        <w:spacing w:line="360" w:lineRule="auto"/>
        <w:rPr>
          <w:rFonts w:ascii="Times New Roman" w:eastAsiaTheme="minorEastAsia" w:hAnsi="Times New Roman" w:cs="Times New Roman"/>
          <w:b/>
          <w:bCs/>
          <w:sz w:val="24"/>
          <w:szCs w:val="24"/>
        </w:rPr>
      </w:pPr>
      <w:r w:rsidRPr="000059FC">
        <w:rPr>
          <w:rFonts w:ascii="Times New Roman" w:hAnsi="Times New Roman" w:cs="Times New Roman"/>
          <w:sz w:val="24"/>
          <w:szCs w:val="24"/>
        </w:rPr>
        <w:t xml:space="preserve">The hotel and hospitality industry are undergoing significant changes, with a growing focus on sustainability as environmental concerns rise. Given that hotels are substantial users of energy, water, and other resources, their role in advancing sustainability is critical. Greener practices encompass a range of methods, including energy-saving measures, waste reduction, water conservation, reliance on renewable energy, and eco-conscious construction. These initiatives not only aid in environmental protection but also improve operational efficiency, enhance brand image, and boost customer satisfaction, aligning with broader industry efforts to create sustainable travel options. One prominent eco-certification for hotels is the Green Key certificate, a globally acknowledged label of sustainable practice, which showcases a hotel’s dedication to eco-friendly operations. By adopting green initiatives, hotels not only promote environmental responsibility but also provide guests with a sustainable lodging experience, contributing to long-term goals for eco-friendly tourism and positive social impact. This report will explore the sustainable practices implemented by Hilton Garden Inn, part of the Hilton brand. It will highlight a specific green initiative, examine the advantages and challenges of incorporating sustainability into everyday operations, and propose a solution to address any identified gaps in their current environmental practices, ensuring ongoing improvements in sustainability efforts. </w:t>
      </w:r>
    </w:p>
    <w:p w14:paraId="2B5139F7" w14:textId="77777777" w:rsidR="00CB2A2E" w:rsidRPr="000059FC" w:rsidRDefault="00CB2A2E" w:rsidP="002D6FEC">
      <w:pPr>
        <w:spacing w:line="360" w:lineRule="auto"/>
        <w:rPr>
          <w:rFonts w:ascii="Times New Roman" w:eastAsiaTheme="minorEastAsia" w:hAnsi="Times New Roman" w:cs="Times New Roman"/>
          <w:b/>
          <w:bCs/>
          <w:sz w:val="24"/>
          <w:szCs w:val="24"/>
        </w:rPr>
      </w:pPr>
      <w:r w:rsidRPr="000059FC">
        <w:rPr>
          <w:rFonts w:ascii="Times New Roman" w:eastAsiaTheme="minorEastAsia" w:hAnsi="Times New Roman" w:cs="Times New Roman"/>
          <w:b/>
          <w:bCs/>
          <w:sz w:val="24"/>
          <w:szCs w:val="24"/>
        </w:rPr>
        <w:t xml:space="preserve">Main findings </w:t>
      </w:r>
    </w:p>
    <w:p w14:paraId="5F83260C" w14:textId="245D534B" w:rsidR="009F7983" w:rsidRPr="000059FC" w:rsidRDefault="00D56536" w:rsidP="002D6FEC">
      <w:pPr>
        <w:spacing w:line="360" w:lineRule="auto"/>
        <w:rPr>
          <w:rFonts w:ascii="Times New Roman" w:eastAsiaTheme="minorEastAsia" w:hAnsi="Times New Roman" w:cs="Times New Roman"/>
          <w:b/>
          <w:bCs/>
          <w:i/>
          <w:iCs/>
          <w:sz w:val="24"/>
          <w:szCs w:val="24"/>
        </w:rPr>
      </w:pPr>
      <w:r w:rsidRPr="000059FC">
        <w:rPr>
          <w:rFonts w:ascii="Times New Roman" w:eastAsiaTheme="minorEastAsia" w:hAnsi="Times New Roman" w:cs="Times New Roman"/>
          <w:b/>
          <w:bCs/>
          <w:i/>
          <w:iCs/>
          <w:sz w:val="24"/>
          <w:szCs w:val="24"/>
        </w:rPr>
        <w:t>Overview of Hilton Garden Inn’s Green Practices</w:t>
      </w:r>
    </w:p>
    <w:p w14:paraId="2724DACC" w14:textId="6F4E9A37" w:rsidR="00FC3632" w:rsidRPr="000059FC" w:rsidRDefault="00FC3632" w:rsidP="002D6FEC">
      <w:pPr>
        <w:spacing w:line="360" w:lineRule="auto"/>
        <w:rPr>
          <w:rFonts w:ascii="Times New Roman" w:eastAsiaTheme="minorEastAsia" w:hAnsi="Times New Roman" w:cs="Times New Roman"/>
          <w:sz w:val="24"/>
          <w:szCs w:val="24"/>
        </w:rPr>
      </w:pPr>
      <w:r w:rsidRPr="000059FC">
        <w:rPr>
          <w:rFonts w:ascii="Times New Roman" w:eastAsiaTheme="minorEastAsia" w:hAnsi="Times New Roman" w:cs="Times New Roman"/>
          <w:sz w:val="24"/>
          <w:szCs w:val="24"/>
        </w:rPr>
        <w:t>Hilton Garden Inn has made notable strides in sustainability, aligning with Hilton's Travel with Purpose initiative, which aims to cut the brand’s environmental impact by 50% by 2030.</w:t>
      </w:r>
      <w:r w:rsidR="008C0D6B" w:rsidRPr="008C0D6B">
        <w:t xml:space="preserve"> </w:t>
      </w:r>
      <w:r w:rsidR="008C0D6B" w:rsidRPr="008C0D6B">
        <w:rPr>
          <w:rFonts w:ascii="Times New Roman" w:eastAsiaTheme="minorEastAsia" w:hAnsi="Times New Roman" w:cs="Times New Roman"/>
          <w:sz w:val="24"/>
          <w:szCs w:val="24"/>
        </w:rPr>
        <w:t>(Hilton, 2022)</w:t>
      </w:r>
      <w:r w:rsidRPr="000059FC">
        <w:rPr>
          <w:rFonts w:ascii="Times New Roman" w:eastAsiaTheme="minorEastAsia" w:hAnsi="Times New Roman" w:cs="Times New Roman"/>
          <w:sz w:val="24"/>
          <w:szCs w:val="24"/>
        </w:rPr>
        <w:t xml:space="preserve"> To support this goal, Hilton Garden Inn has adopted energy-saving technologies, including LED lighting, motion sensors, and smart energy management systems, significantly reducing electricity consumption and promoting conservation.</w:t>
      </w:r>
      <w:r w:rsidR="00C534CB" w:rsidRPr="00C534CB">
        <w:t xml:space="preserve"> </w:t>
      </w:r>
      <w:r w:rsidR="00C534CB" w:rsidRPr="00C534CB">
        <w:rPr>
          <w:rFonts w:ascii="Times New Roman" w:eastAsiaTheme="minorEastAsia" w:hAnsi="Times New Roman" w:cs="Times New Roman"/>
          <w:sz w:val="24"/>
          <w:szCs w:val="24"/>
        </w:rPr>
        <w:t>(Hilton</w:t>
      </w:r>
      <w:r w:rsidR="00C534CB">
        <w:rPr>
          <w:rFonts w:ascii="Times New Roman" w:eastAsiaTheme="minorEastAsia" w:hAnsi="Times New Roman" w:cs="Times New Roman"/>
          <w:sz w:val="24"/>
          <w:szCs w:val="24"/>
        </w:rPr>
        <w:t>)</w:t>
      </w:r>
      <w:r w:rsidR="007C26BA">
        <w:rPr>
          <w:rFonts w:ascii="Times New Roman" w:eastAsiaTheme="minorEastAsia" w:hAnsi="Times New Roman" w:cs="Times New Roman"/>
          <w:sz w:val="24"/>
          <w:szCs w:val="24"/>
        </w:rPr>
        <w:t xml:space="preserve">. </w:t>
      </w:r>
      <w:r w:rsidRPr="000059FC">
        <w:rPr>
          <w:rFonts w:ascii="Times New Roman" w:hAnsi="Times New Roman" w:cs="Times New Roman"/>
          <w:sz w:val="24"/>
          <w:szCs w:val="24"/>
        </w:rPr>
        <w:t>In addition to energy efficiency, Hilton Garden Inn has implemented various water conservation strategies. These include installing low-flow showerheads, faucets, and toilets in guest rooms and public restrooms. The hotel’s linen and towel reuse programs further contribute to water savings by reducing the frequency of laundry, which decreases both water usage and energy consumption associated with washing and drying linens.</w:t>
      </w:r>
      <w:r w:rsidR="007C26BA">
        <w:rPr>
          <w:rFonts w:ascii="Times New Roman" w:hAnsi="Times New Roman" w:cs="Times New Roman"/>
          <w:sz w:val="24"/>
          <w:szCs w:val="24"/>
        </w:rPr>
        <w:t xml:space="preserve"> </w:t>
      </w:r>
      <w:r w:rsidR="007C26BA" w:rsidRPr="007C26BA">
        <w:rPr>
          <w:rFonts w:ascii="Times New Roman" w:hAnsi="Times New Roman" w:cs="Times New Roman"/>
          <w:sz w:val="24"/>
          <w:szCs w:val="24"/>
        </w:rPr>
        <w:t>(Styles et al., 2015)</w:t>
      </w:r>
    </w:p>
    <w:p w14:paraId="40174869" w14:textId="56DFF444" w:rsidR="009F7983" w:rsidRPr="000059FC" w:rsidRDefault="009F7983" w:rsidP="002D6FEC">
      <w:pPr>
        <w:pStyle w:val="NormalWeb"/>
        <w:spacing w:line="360" w:lineRule="auto"/>
      </w:pPr>
      <w:r w:rsidRPr="000059FC">
        <w:lastRenderedPageBreak/>
        <w:t>The brand is also tackling waste reduction on multiple fronts. Recycling programs are in place at many locations, allowing waste to be separated into recyclable and non-recyclable categories, thereby diverting more materials from landfills. The digital check-in and digital key options, available through the Hilton app, cut down on paper waste and offer guests a seamless and eco-friendly experience. Hilton Garden Inn also practices sustainable sourcing, often selecting locally grown food and locally made products to support regional suppliers, reduce transportation emissions, and enhance local economic growth.</w:t>
      </w:r>
      <w:r w:rsidR="00473E42" w:rsidRPr="00473E42">
        <w:rPr>
          <w:rFonts w:asciiTheme="minorHAnsi" w:eastAsiaTheme="minorHAnsi" w:hAnsiTheme="minorHAnsi" w:cstheme="minorBidi"/>
          <w:kern w:val="2"/>
          <w:sz w:val="22"/>
          <w:szCs w:val="22"/>
          <w:lang w:eastAsia="en-US"/>
          <w14:ligatures w14:val="standardContextual"/>
        </w:rPr>
        <w:t xml:space="preserve"> </w:t>
      </w:r>
      <w:r w:rsidR="00473E42" w:rsidRPr="00473E42">
        <w:t>(Kinderlerer, 1997)</w:t>
      </w:r>
    </w:p>
    <w:p w14:paraId="0E992260" w14:textId="06712903" w:rsidR="00B80E85" w:rsidRPr="000059FC" w:rsidRDefault="009F7983" w:rsidP="002D6FEC">
      <w:pPr>
        <w:pStyle w:val="NormalWeb"/>
        <w:spacing w:line="360" w:lineRule="auto"/>
      </w:pPr>
      <w:r w:rsidRPr="000059FC">
        <w:t>The newer Hilton Garden Inn properties are designed with sustainability in mind. These hotels incorporate environmentally responsible building materials and, whenever possible, aim to meet LEED (Leadership in Energy and Environmental Design) certification standards, which set benchmarks for eco-friendly construction.</w:t>
      </w:r>
      <w:r w:rsidR="000B4657" w:rsidRPr="000B4657">
        <w:t>(Hilton,</w:t>
      </w:r>
      <w:r w:rsidR="000B4657">
        <w:t xml:space="preserve"> </w:t>
      </w:r>
      <w:r w:rsidR="000B4657" w:rsidRPr="000B4657">
        <w:t>2023)</w:t>
      </w:r>
      <w:r w:rsidR="000B4657">
        <w:t xml:space="preserve"> </w:t>
      </w:r>
      <w:r w:rsidRPr="000059FC">
        <w:t>However, one area where further development is needed is food waste management</w:t>
      </w:r>
      <w:r w:rsidR="000B4657">
        <w:t xml:space="preserve"> </w:t>
      </w:r>
      <w:r w:rsidRPr="000059FC">
        <w:t>a persistent issue within the hospitality industry. Excess food often ends up in landfills, where it decomposes and releases methane, a potent greenhouse gas. By implementing more effective food waste reduction practices, such as composting, donation programs, or converting waste into energy, Hilton Garden Inn can take further strides in minimi</w:t>
      </w:r>
      <w:r w:rsidR="00F53A6F">
        <w:t>s</w:t>
      </w:r>
      <w:r w:rsidRPr="000059FC">
        <w:t>ing its environmental impact and leading in sustainable hospitality practices.</w:t>
      </w:r>
      <w:r w:rsidR="00FC3632" w:rsidRPr="000059FC">
        <w:t xml:space="preserve"> </w:t>
      </w:r>
      <w:r w:rsidR="00326F3A" w:rsidRPr="00326F3A">
        <w:t>(Despoudi et al., 2021)</w:t>
      </w:r>
    </w:p>
    <w:p w14:paraId="51C3265A" w14:textId="77777777" w:rsidR="006F58BF" w:rsidRPr="000059FC" w:rsidRDefault="00B80E85" w:rsidP="002D6FEC">
      <w:pPr>
        <w:pStyle w:val="NormalWeb"/>
        <w:spacing w:line="360" w:lineRule="auto"/>
        <w:rPr>
          <w:b/>
          <w:bCs/>
          <w:i/>
          <w:iCs/>
        </w:rPr>
      </w:pPr>
      <w:r w:rsidRPr="000059FC">
        <w:rPr>
          <w:b/>
          <w:bCs/>
          <w:i/>
          <w:iCs/>
        </w:rPr>
        <w:t>Food Waste Reduction in Hilton Hotels</w:t>
      </w:r>
    </w:p>
    <w:p w14:paraId="1265C1FF" w14:textId="50C09721" w:rsidR="00E9250A" w:rsidRDefault="00B80E85" w:rsidP="002D6FEC">
      <w:pPr>
        <w:pStyle w:val="NormalWeb"/>
        <w:spacing w:line="360" w:lineRule="auto"/>
      </w:pPr>
      <w:r w:rsidRPr="000059FC">
        <w:t xml:space="preserve">Reducing food waste has become an essential green initiative in the hospitality sector, especially among leading hotel chains like Hilton, which are increasingly acknowledging the significance of sustainable practices. This initiative includes a variety of innovative strategies designed to decrease the volume of food discarded by hotels, which not only mitigates the environmental consequences of waste but also meets the rising consumer demand for sustainability and corporate accountability. </w:t>
      </w:r>
      <w:r w:rsidR="00CC70C1">
        <w:t xml:space="preserve">(Huang et al., 2021) </w:t>
      </w:r>
      <w:r w:rsidRPr="000059FC">
        <w:t>To implement effective food waste reduction practices, hotels can focus on several key elements, such as optimi</w:t>
      </w:r>
      <w:r w:rsidR="004F61DA">
        <w:t>s</w:t>
      </w:r>
      <w:r w:rsidRPr="000059FC">
        <w:t>ing inventory management for better food utili</w:t>
      </w:r>
      <w:r w:rsidR="004F61DA">
        <w:t>s</w:t>
      </w:r>
      <w:r w:rsidRPr="000059FC">
        <w:t>ation, implementing portion control to avoid over-serving, establishing donation programs to share surplus food with those in need, and adopting composting methods that convert food waste into beneficial resources. By emphasi</w:t>
      </w:r>
      <w:r w:rsidR="004F61DA">
        <w:t>s</w:t>
      </w:r>
      <w:r w:rsidRPr="000059FC">
        <w:t xml:space="preserve">ing these initiatives, hotels can </w:t>
      </w:r>
      <w:r w:rsidRPr="000059FC">
        <w:lastRenderedPageBreak/>
        <w:t xml:space="preserve">play a role in fostering a healthier environment while simultaneously boosting their brand image and customer loyalty. </w:t>
      </w:r>
      <w:bookmarkStart w:id="0" w:name="_Hlk182240414"/>
      <w:r w:rsidR="00CC70C1" w:rsidRPr="00CC70C1">
        <w:t>(Filimonau &amp; De Coteau, 2019)</w:t>
      </w:r>
    </w:p>
    <w:bookmarkEnd w:id="0"/>
    <w:p w14:paraId="7C41A77D" w14:textId="77777777" w:rsidR="006F58BF" w:rsidRPr="000059FC" w:rsidRDefault="008F01BC" w:rsidP="002D6FEC">
      <w:pPr>
        <w:pStyle w:val="NormalWeb"/>
        <w:spacing w:line="360" w:lineRule="auto"/>
      </w:pPr>
      <w:r w:rsidRPr="000059FC">
        <w:rPr>
          <w:b/>
          <w:bCs/>
          <w:i/>
          <w:iCs/>
        </w:rPr>
        <w:t>Hilton's Commitment to Food Waste Reduction</w:t>
      </w:r>
      <w:r w:rsidRPr="000059FC">
        <w:rPr>
          <w:b/>
          <w:bCs/>
        </w:rPr>
        <w:t xml:space="preserve">  </w:t>
      </w:r>
    </w:p>
    <w:p w14:paraId="45FE7A05" w14:textId="3364529A" w:rsidR="0048395B" w:rsidRDefault="008F01BC" w:rsidP="002D6FEC">
      <w:pPr>
        <w:pStyle w:val="NormalWeb"/>
        <w:spacing w:line="360" w:lineRule="auto"/>
      </w:pPr>
      <w:r w:rsidRPr="000059FC">
        <w:t xml:space="preserve">Hilton demonstrates its dedication to sustainability through the "Travel with Purpose" initiative, which seeks to halve its environmental impact by 2030. </w:t>
      </w:r>
      <w:r w:rsidR="00832878">
        <w:t>(</w:t>
      </w:r>
      <w:r w:rsidR="00832878" w:rsidRPr="008C0D6B">
        <w:rPr>
          <w:rFonts w:eastAsiaTheme="minorEastAsia"/>
        </w:rPr>
        <w:t>Hilton, 2022)</w:t>
      </w:r>
      <w:r w:rsidR="00832878" w:rsidRPr="000059FC">
        <w:rPr>
          <w:rFonts w:eastAsiaTheme="minorEastAsia"/>
        </w:rPr>
        <w:t xml:space="preserve"> </w:t>
      </w:r>
      <w:r w:rsidRPr="000059FC">
        <w:t>A key aspect of this initiative involves substantial efforts to reduce food waste. For example, Hilton hotels utili</w:t>
      </w:r>
      <w:r w:rsidR="002454FC">
        <w:t>s</w:t>
      </w:r>
      <w:r w:rsidRPr="000059FC">
        <w:t xml:space="preserve">e technology to monitor food waste, enabling them to pinpoint patterns and sources of waste in their operations. By examining this information, hotels can modify their purchasing habits and menus, which helps </w:t>
      </w:r>
      <w:r w:rsidR="002454FC">
        <w:t>to reduce</w:t>
      </w:r>
      <w:r w:rsidRPr="000059FC">
        <w:t xml:space="preserve"> overproduction and waste.</w:t>
      </w:r>
      <w:r w:rsidR="00CC2F78" w:rsidRPr="00CC2F78">
        <w:rPr>
          <w:rFonts w:asciiTheme="minorHAnsi" w:eastAsiaTheme="minorHAnsi" w:hAnsiTheme="minorHAnsi" w:cstheme="minorBidi"/>
          <w:kern w:val="2"/>
          <w:sz w:val="22"/>
          <w:szCs w:val="22"/>
          <w:lang w:eastAsia="en-US"/>
          <w14:ligatures w14:val="standardContextual"/>
        </w:rPr>
        <w:t xml:space="preserve"> </w:t>
      </w:r>
      <w:r w:rsidR="00CC2F78" w:rsidRPr="00CC2F78">
        <w:t>(Nazir, 2022)</w:t>
      </w:r>
      <w:r w:rsidRPr="000059FC">
        <w:t xml:space="preserve"> Furthermore, Hilton promotes smaller portion sizes in its restaurants, allowing guests to order based on their appetites and reducing leftovers. Additionally, Hilton has formed partnerships with local food banks and charities to donate excess food, thereby not only reducing waste but also benefiting the community. </w:t>
      </w:r>
      <w:r w:rsidR="00CC2F78" w:rsidRPr="00CC2F78">
        <w:t>(Pirani &amp; Arafat, 2014)</w:t>
      </w:r>
    </w:p>
    <w:p w14:paraId="4C8963AD" w14:textId="77777777" w:rsidR="006F58BF" w:rsidRPr="000059FC" w:rsidRDefault="00E9250A" w:rsidP="002D6FEC">
      <w:pPr>
        <w:pStyle w:val="NormalWeb"/>
        <w:spacing w:line="360" w:lineRule="auto"/>
        <w:rPr>
          <w:b/>
          <w:bCs/>
          <w:i/>
          <w:iCs/>
        </w:rPr>
      </w:pPr>
      <w:r w:rsidRPr="000059FC">
        <w:rPr>
          <w:b/>
          <w:bCs/>
          <w:i/>
          <w:iCs/>
        </w:rPr>
        <w:t>Other Hotels Implementing food waste reduction</w:t>
      </w:r>
      <w:r w:rsidR="00CC626A" w:rsidRPr="000059FC">
        <w:rPr>
          <w:b/>
          <w:bCs/>
          <w:i/>
          <w:iCs/>
        </w:rPr>
        <w:t xml:space="preserve"> </w:t>
      </w:r>
    </w:p>
    <w:p w14:paraId="75AE9F8E" w14:textId="0AAA9B48" w:rsidR="00764D84" w:rsidRDefault="00764D84" w:rsidP="002D6FEC">
      <w:pPr>
        <w:pStyle w:val="NormalWeb"/>
        <w:spacing w:line="360" w:lineRule="auto"/>
      </w:pPr>
      <w:r w:rsidRPr="00890BF2">
        <w:t>A growing number of hotels and businesses are recogni</w:t>
      </w:r>
      <w:r w:rsidR="00631208">
        <w:t>s</w:t>
      </w:r>
      <w:r w:rsidRPr="00890BF2">
        <w:t>ing the importance of reducing food waste and are actively implementing initiatives to tackle this issue. For instance, Marriott International has developed an extensive food waste management program that encompasses waste audits to assess the volume of food being discarded, thorough staff training to educate employees on best practices, and collaborations with local food recovery organi</w:t>
      </w:r>
      <w:r w:rsidR="00631208">
        <w:t>s</w:t>
      </w:r>
      <w:r w:rsidRPr="00890BF2">
        <w:t>ations to ensure surplus food is redirected to those in need.</w:t>
      </w:r>
      <w:r w:rsidR="006F593C" w:rsidRPr="006F593C">
        <w:rPr>
          <w:rFonts w:asciiTheme="minorHAnsi" w:eastAsiaTheme="minorHAnsi" w:hAnsiTheme="minorHAnsi" w:cstheme="minorBidi"/>
          <w:kern w:val="2"/>
          <w:sz w:val="22"/>
          <w:szCs w:val="22"/>
          <w:lang w:eastAsia="en-US"/>
          <w14:ligatures w14:val="standardContextual"/>
        </w:rPr>
        <w:t xml:space="preserve"> </w:t>
      </w:r>
      <w:r w:rsidR="006F593C" w:rsidRPr="006F593C">
        <w:t>(Ruiz Molina et al., 2021)</w:t>
      </w:r>
      <w:r w:rsidRPr="00890BF2">
        <w:t xml:space="preserve"> Similarly, Accor</w:t>
      </w:r>
      <w:r w:rsidR="00631208">
        <w:t xml:space="preserve"> </w:t>
      </w:r>
      <w:r w:rsidRPr="00890BF2">
        <w:t>Hotels has set an ambitious goal of cutting food waste by 30% by the year 2025. This initiative involves not only training employees to handle food responsibly but also engaging guests in the effort and exploring innovative food storage solutions to extend the life of perishable items.</w:t>
      </w:r>
      <w:r w:rsidR="009C22B5" w:rsidRPr="009C22B5">
        <w:rPr>
          <w:rFonts w:asciiTheme="minorHAnsi" w:eastAsiaTheme="minorHAnsi" w:hAnsiTheme="minorHAnsi" w:cstheme="minorBidi"/>
          <w:kern w:val="2"/>
          <w:sz w:val="22"/>
          <w:szCs w:val="22"/>
          <w:lang w:eastAsia="en-US"/>
          <w14:ligatures w14:val="standardContextual"/>
        </w:rPr>
        <w:t xml:space="preserve"> </w:t>
      </w:r>
      <w:r w:rsidR="009C22B5" w:rsidRPr="009C22B5">
        <w:t>(Accor, 2022)</w:t>
      </w:r>
      <w:r w:rsidRPr="00890BF2">
        <w:t xml:space="preserve"> These efforts reflect a significant shift within the hospitality sector, where addressing food waste is increasingly</w:t>
      </w:r>
      <w:r w:rsidR="00CC38C4">
        <w:t xml:space="preserve"> </w:t>
      </w:r>
      <w:r w:rsidRPr="00890BF2">
        <w:t xml:space="preserve"> viewed as an essential aspect of sustainable operations, </w:t>
      </w:r>
      <w:r w:rsidR="00631208" w:rsidRPr="00890BF2">
        <w:t>stressing</w:t>
      </w:r>
      <w:r w:rsidRPr="00890BF2">
        <w:t xml:space="preserve"> the industry's commitment to environmental responsibility and social impact.</w:t>
      </w:r>
      <w:r w:rsidR="0048395B" w:rsidRPr="000059FC">
        <w:t xml:space="preserve"> </w:t>
      </w:r>
      <w:r w:rsidR="00671BC9" w:rsidRPr="00671BC9">
        <w:t>(Papargyropoulou et al., 2014)</w:t>
      </w:r>
    </w:p>
    <w:p w14:paraId="0FB735AD" w14:textId="77777777" w:rsidR="00020591" w:rsidRDefault="00020591" w:rsidP="002D6FEC">
      <w:pPr>
        <w:pStyle w:val="NormalWeb"/>
        <w:spacing w:line="360" w:lineRule="auto"/>
        <w:rPr>
          <w:color w:val="FF0000"/>
        </w:rPr>
      </w:pPr>
    </w:p>
    <w:p w14:paraId="2000B34C" w14:textId="2A2CB20C" w:rsidR="006F58BF" w:rsidRPr="000059FC" w:rsidRDefault="0048395B" w:rsidP="002D6FEC">
      <w:pPr>
        <w:pStyle w:val="NormalWeb"/>
        <w:spacing w:line="360" w:lineRule="auto"/>
        <w:rPr>
          <w:b/>
          <w:bCs/>
        </w:rPr>
      </w:pPr>
      <w:r w:rsidRPr="000059FC">
        <w:rPr>
          <w:b/>
          <w:bCs/>
          <w:i/>
          <w:iCs/>
        </w:rPr>
        <w:lastRenderedPageBreak/>
        <w:t>Benefits of Food waste Reduction for hotels</w:t>
      </w:r>
      <w:r w:rsidR="00F2380A" w:rsidRPr="000059FC">
        <w:rPr>
          <w:b/>
          <w:bCs/>
        </w:rPr>
        <w:t xml:space="preserve"> </w:t>
      </w:r>
    </w:p>
    <w:p w14:paraId="6D5730EE" w14:textId="68EA0F53" w:rsidR="0020402B" w:rsidRDefault="0048395B" w:rsidP="002D6FEC">
      <w:pPr>
        <w:pStyle w:val="NormalWeb"/>
        <w:spacing w:line="360" w:lineRule="auto"/>
      </w:pPr>
      <w:r w:rsidRPr="000059FC">
        <w:t>Implementing food waste reduction initiatives offers numerous advantages for hotels like Hilton. One of the most significant benefits is the positive impact on the environment. By cutting down on food waste, hotels can greatly reduce their carbon footprint, as food waste in landfills produces methane, a powerful greenhouse gas that contributes to climate change</w:t>
      </w:r>
      <w:r w:rsidR="00BB2F57" w:rsidRPr="00BB2F57">
        <w:rPr>
          <w:rFonts w:asciiTheme="minorHAnsi" w:eastAsiaTheme="minorHAnsi" w:hAnsiTheme="minorHAnsi" w:cstheme="minorBidi"/>
          <w:kern w:val="2"/>
          <w:sz w:val="22"/>
          <w:szCs w:val="22"/>
          <w:lang w:eastAsia="en-US"/>
          <w14:ligatures w14:val="standardContextual"/>
        </w:rPr>
        <w:t xml:space="preserve"> </w:t>
      </w:r>
      <w:r w:rsidR="00BB2F57" w:rsidRPr="00BB2F57">
        <w:t>(Omar et al., 2024)</w:t>
      </w:r>
      <w:r w:rsidRPr="000059FC">
        <w:t>. Additionally, reducing food waste can lead to lower water consumption and decreased energy use associated with food production and disposal</w:t>
      </w:r>
      <w:r w:rsidR="00CD66DA" w:rsidRPr="00CD66DA">
        <w:t>(Papargyropoulou et al., 2014)</w:t>
      </w:r>
      <w:r w:rsidRPr="000059FC">
        <w:t xml:space="preserve">. This approach not only aligns with Hilton’s sustainability objectives but also strengthens its brand appeal among environmentally conscious </w:t>
      </w:r>
      <w:r w:rsidR="00A47E49" w:rsidRPr="000059FC">
        <w:t>travellers</w:t>
      </w:r>
      <w:r w:rsidRPr="000059FC">
        <w:t xml:space="preserve">, positioning the hotel as a leader in sustainable practices </w:t>
      </w:r>
      <w:r w:rsidR="0020402B" w:rsidRPr="0020402B">
        <w:t>(Jones et al., 2014)</w:t>
      </w:r>
      <w:r w:rsidR="0020402B">
        <w:t xml:space="preserve">. </w:t>
      </w:r>
      <w:r w:rsidRPr="000059FC">
        <w:t>From an economic standpoint, reducing food waste can result in considerable cost savings for hotels. By refining purchasing strategies and minimi</w:t>
      </w:r>
      <w:r w:rsidR="00B02E8A">
        <w:t>si</w:t>
      </w:r>
      <w:r w:rsidRPr="000059FC">
        <w:t>ng overproduction, hotels can lower their food expenses significantly.</w:t>
      </w:r>
      <w:r w:rsidR="0020402B" w:rsidRPr="0020402B">
        <w:rPr>
          <w:rFonts w:asciiTheme="minorHAnsi" w:eastAsiaTheme="minorHAnsi" w:hAnsiTheme="minorHAnsi" w:cstheme="minorBidi"/>
          <w:kern w:val="2"/>
          <w:sz w:val="22"/>
          <w:szCs w:val="22"/>
          <w:lang w:eastAsia="en-US"/>
          <w14:ligatures w14:val="standardContextual"/>
        </w:rPr>
        <w:t xml:space="preserve"> </w:t>
      </w:r>
      <w:r w:rsidR="0020402B" w:rsidRPr="0020402B">
        <w:t>(Pirani &amp; Arafat, 2016)</w:t>
      </w:r>
      <w:r w:rsidR="0020402B">
        <w:t>.</w:t>
      </w:r>
      <w:r w:rsidRPr="000059FC">
        <w:t xml:space="preserve"> Moreover, implementing food donation programs can provide tax benefits, further enhancing the financial advantages of waste reduction. Improved inventory management and accurate forecasting not only minimi</w:t>
      </w:r>
      <w:r w:rsidR="00B02E8A">
        <w:t>s</w:t>
      </w:r>
      <w:r w:rsidRPr="000059FC">
        <w:t xml:space="preserve">e waste but also streamline operations, thereby boosting overall efficiency. This focus on reducing food waste not only helps the environment but also positively affects the hotel's financial performance, ultimately contributing to a healthier bottom line. </w:t>
      </w:r>
    </w:p>
    <w:p w14:paraId="5CF42C87" w14:textId="5D003DFE" w:rsidR="006F58BF" w:rsidRPr="0020402B" w:rsidRDefault="0048395B" w:rsidP="002D6FEC">
      <w:pPr>
        <w:pStyle w:val="NormalWeb"/>
        <w:spacing w:line="360" w:lineRule="auto"/>
      </w:pPr>
      <w:r w:rsidRPr="000059FC">
        <w:rPr>
          <w:b/>
          <w:bCs/>
          <w:i/>
          <w:iCs/>
        </w:rPr>
        <w:t>Challenges of Implementing Food Waste Reduction Initiatives</w:t>
      </w:r>
      <w:r w:rsidR="00810C15" w:rsidRPr="000059FC">
        <w:rPr>
          <w:b/>
          <w:bCs/>
          <w:i/>
          <w:iCs/>
        </w:rPr>
        <w:t xml:space="preserve"> </w:t>
      </w:r>
    </w:p>
    <w:p w14:paraId="2C2CB29C" w14:textId="77777777" w:rsidR="00500AB8" w:rsidRPr="00500AB8" w:rsidRDefault="0048395B" w:rsidP="002D6FEC">
      <w:pPr>
        <w:pStyle w:val="NormalWeb"/>
        <w:spacing w:line="360" w:lineRule="auto"/>
      </w:pPr>
      <w:r w:rsidRPr="000059FC">
        <w:t>Implementing initiatives to reduce food waste presents several challenges. A major obstacle is the upfront investment required for technology and training to effectively monitor and manage food waste. Hotels might need to purchase software for tracking food inventory and waste, which can be expensive</w:t>
      </w:r>
      <w:r w:rsidR="004972B3" w:rsidRPr="004972B3">
        <w:rPr>
          <w:rFonts w:asciiTheme="minorHAnsi" w:eastAsiaTheme="minorHAnsi" w:hAnsiTheme="minorHAnsi" w:cstheme="minorBidi"/>
          <w:kern w:val="2"/>
          <w:sz w:val="22"/>
          <w:szCs w:val="22"/>
          <w:lang w:eastAsia="en-US"/>
          <w14:ligatures w14:val="standardContextual"/>
        </w:rPr>
        <w:t xml:space="preserve"> </w:t>
      </w:r>
      <w:r w:rsidR="004972B3" w:rsidRPr="004972B3">
        <w:t>(Martin-Rios et al., 2018)</w:t>
      </w:r>
      <w:r w:rsidRPr="000059FC">
        <w:t>. Furthermore, training staff is essential to ensure they recognize the importance of reducing food waste and can effectively adopt new practices</w:t>
      </w:r>
      <w:r w:rsidR="004972B3" w:rsidRPr="004972B3">
        <w:rPr>
          <w:rFonts w:asciiTheme="minorHAnsi" w:eastAsiaTheme="minorHAnsi" w:hAnsiTheme="minorHAnsi" w:cstheme="minorBidi"/>
          <w:kern w:val="2"/>
          <w:sz w:val="22"/>
          <w:szCs w:val="22"/>
          <w:lang w:eastAsia="en-US"/>
          <w14:ligatures w14:val="standardContextual"/>
        </w:rPr>
        <w:t xml:space="preserve"> </w:t>
      </w:r>
      <w:r w:rsidR="004972B3" w:rsidRPr="004972B3">
        <w:t>(Annosi et al., 2021)</w:t>
      </w:r>
      <w:r w:rsidRPr="000059FC">
        <w:t xml:space="preserve">. There may also be resistance to change among employees who are used to traditional methods. Another difficulty involves the logistics of food donation. Although many hotels are willing to donate excess food, they often encounter issues such as local food safety regulations and liability concerns that can hinder these efforts. </w:t>
      </w:r>
      <w:r w:rsidR="00500AB8" w:rsidRPr="00500AB8">
        <w:t>(Filimonau &amp; De Coteau, 2019)</w:t>
      </w:r>
    </w:p>
    <w:p w14:paraId="4636BED9" w14:textId="49CCD959" w:rsidR="00DB17E3" w:rsidRDefault="0048395B" w:rsidP="002D6FEC">
      <w:pPr>
        <w:pStyle w:val="NormalWeb"/>
        <w:spacing w:line="360" w:lineRule="auto"/>
      </w:pPr>
      <w:r w:rsidRPr="000059FC">
        <w:lastRenderedPageBreak/>
        <w:t xml:space="preserve">Additionally, </w:t>
      </w:r>
      <w:r w:rsidR="00A47E49" w:rsidRPr="000059FC">
        <w:t>building,</w:t>
      </w:r>
      <w:r w:rsidRPr="000059FC">
        <w:t xml:space="preserve"> and sustaining partnerships with food banks and charities demands continuous effort and dedication.</w:t>
      </w:r>
      <w:r w:rsidR="005A079F" w:rsidRPr="000059FC">
        <w:t xml:space="preserve"> </w:t>
      </w:r>
    </w:p>
    <w:p w14:paraId="75320AB1" w14:textId="77777777" w:rsidR="006F58BF" w:rsidRPr="000059FC" w:rsidRDefault="00D57D2E" w:rsidP="002D6FEC">
      <w:pPr>
        <w:pStyle w:val="NormalWeb"/>
        <w:spacing w:line="360" w:lineRule="auto"/>
        <w:rPr>
          <w:b/>
          <w:bCs/>
          <w:i/>
          <w:iCs/>
        </w:rPr>
      </w:pPr>
      <w:r w:rsidRPr="000059FC">
        <w:rPr>
          <w:b/>
          <w:bCs/>
          <w:i/>
          <w:iCs/>
        </w:rPr>
        <w:t>Cost Effective and Realism of the Initiative</w:t>
      </w:r>
    </w:p>
    <w:p w14:paraId="1B30BDFE" w14:textId="5ABA1BCB" w:rsidR="00DF7603" w:rsidRDefault="00D57D2E" w:rsidP="002D6FEC">
      <w:pPr>
        <w:pStyle w:val="NormalWeb"/>
        <w:spacing w:line="360" w:lineRule="auto"/>
      </w:pPr>
      <w:r w:rsidRPr="000059FC">
        <w:t>Hilton Hotels' initiative remains feasible and economically viable over time. The hospitality sector is increasingly acknowledging the significance of sustainability, while consumers are becoming more selective regarding the environmental practices of the businesses they support. Consequently, Hilton Hotels implementing food waste reduction strategies could gain a competitive edge by attracting a rising segment of the market that values sustainability.</w:t>
      </w:r>
      <w:r w:rsidR="00626956" w:rsidRPr="000059FC">
        <w:t xml:space="preserve"> </w:t>
      </w:r>
      <w:r w:rsidR="0060537A" w:rsidRPr="0060537A">
        <w:t>(Meng et al., 2024)</w:t>
      </w:r>
    </w:p>
    <w:p w14:paraId="39D6ADAE" w14:textId="77777777" w:rsidR="006F58BF" w:rsidRPr="000059FC" w:rsidRDefault="00E76402" w:rsidP="002D6FEC">
      <w:pPr>
        <w:pStyle w:val="NormalWeb"/>
        <w:spacing w:line="360" w:lineRule="auto"/>
      </w:pPr>
      <w:r w:rsidRPr="000059FC">
        <w:rPr>
          <w:b/>
          <w:bCs/>
          <w:i/>
          <w:iCs/>
        </w:rPr>
        <w:t>Environmental Benefits of Food Waste Reduction</w:t>
      </w:r>
      <w:r w:rsidR="00765386" w:rsidRPr="000059FC">
        <w:rPr>
          <w:b/>
          <w:bCs/>
        </w:rPr>
        <w:t xml:space="preserve"> </w:t>
      </w:r>
    </w:p>
    <w:p w14:paraId="24671785" w14:textId="35B86855" w:rsidR="003B0317" w:rsidRPr="000059FC" w:rsidRDefault="00765386" w:rsidP="002D6FEC">
      <w:pPr>
        <w:pStyle w:val="NormalWeb"/>
        <w:spacing w:line="360" w:lineRule="auto"/>
      </w:pPr>
      <w:r w:rsidRPr="000059FC">
        <w:t>Reducing food waste at Hilton Hotels can have substantial environmental advantages, contributing to sustainability initiatives and enhancing the hotel’s image. A key benefit is the decrease in greenhouse gas emissions, as food waste in landfills produces methane, a powerful greenhouse gas.</w:t>
      </w:r>
      <w:r w:rsidR="008142BB" w:rsidRPr="008142BB">
        <w:rPr>
          <w:rFonts w:asciiTheme="minorHAnsi" w:eastAsiaTheme="minorHAnsi" w:hAnsiTheme="minorHAnsi" w:cstheme="minorBidi"/>
          <w:kern w:val="2"/>
          <w:sz w:val="22"/>
          <w:szCs w:val="22"/>
          <w:lang w:eastAsia="en-US"/>
          <w14:ligatures w14:val="standardContextual"/>
        </w:rPr>
        <w:t xml:space="preserve"> </w:t>
      </w:r>
      <w:r w:rsidR="008142BB" w:rsidRPr="008142BB">
        <w:t>(Singh et al., 2014)</w:t>
      </w:r>
      <w:r w:rsidR="008142BB">
        <w:t xml:space="preserve"> </w:t>
      </w:r>
      <w:r w:rsidRPr="000059FC">
        <w:t>By implementing better inventory management, portion control, and donation programs, Hilton can help lower these emissions. Additionally, cutting down on food waste conserves valuable resources like water, energy, and land used in food production, aligning with broader sustainability objectives. It also aids in preserving biodiversity by lessening the impact of food production on ecosystems.</w:t>
      </w:r>
      <w:r w:rsidR="008142BB" w:rsidRPr="008142BB">
        <w:rPr>
          <w:rFonts w:asciiTheme="minorHAnsi" w:eastAsiaTheme="minorHAnsi" w:hAnsiTheme="minorHAnsi" w:cstheme="minorBidi"/>
          <w:kern w:val="2"/>
          <w:sz w:val="22"/>
          <w:szCs w:val="22"/>
          <w:lang w:eastAsia="en-US"/>
          <w14:ligatures w14:val="standardContextual"/>
        </w:rPr>
        <w:t xml:space="preserve"> </w:t>
      </w:r>
      <w:r w:rsidR="008142BB" w:rsidRPr="008142BB">
        <w:t>(Cesareo, 2019)</w:t>
      </w:r>
      <w:r w:rsidRPr="000059FC">
        <w:t xml:space="preserve"> Moreover, adopting waste reduction strategies can result in cost savings for the hotel, as it reduces expenses related to purchasing, preparing, and disposing of food.</w:t>
      </w:r>
      <w:r w:rsidR="00977D52" w:rsidRPr="00977D52">
        <w:rPr>
          <w:rFonts w:asciiTheme="minorHAnsi" w:eastAsiaTheme="minorHAnsi" w:hAnsiTheme="minorHAnsi" w:cstheme="minorBidi"/>
          <w:kern w:val="2"/>
          <w:sz w:val="22"/>
          <w:szCs w:val="22"/>
          <w:lang w:eastAsia="en-US"/>
          <w14:ligatures w14:val="standardContextual"/>
        </w:rPr>
        <w:t xml:space="preserve"> </w:t>
      </w:r>
      <w:r w:rsidR="00977D52" w:rsidRPr="00977D52">
        <w:t>(Kasim, 2007)</w:t>
      </w:r>
      <w:r w:rsidR="005C4F1F">
        <w:t xml:space="preserve">. </w:t>
      </w:r>
      <w:r w:rsidR="00977D52">
        <w:t>E</w:t>
      </w:r>
      <w:r w:rsidRPr="000059FC">
        <w:t>mbracing food waste reduction not only strengthens Hilton’s environmental efforts but also fosters a culture of sustainability that can resonate positively with guests and employees.</w:t>
      </w:r>
      <w:r w:rsidR="00422EA8" w:rsidRPr="000059FC">
        <w:t xml:space="preserve"> </w:t>
      </w:r>
    </w:p>
    <w:p w14:paraId="22FFC58F" w14:textId="4E5E5E21" w:rsidR="003B0317" w:rsidRPr="000059FC" w:rsidRDefault="003E799C" w:rsidP="002D6FEC">
      <w:pPr>
        <w:pStyle w:val="NormalWeb"/>
        <w:spacing w:line="360" w:lineRule="auto"/>
      </w:pPr>
      <w:r w:rsidRPr="000059FC">
        <w:rPr>
          <w:b/>
          <w:bCs/>
        </w:rPr>
        <w:t>Gap in Sustainable Practices at Hilton Hotels</w:t>
      </w:r>
      <w:r w:rsidR="003B0317" w:rsidRPr="000059FC">
        <w:rPr>
          <w:b/>
          <w:bCs/>
        </w:rPr>
        <w:t xml:space="preserve">  </w:t>
      </w:r>
      <w:r w:rsidR="008142BB">
        <w:rPr>
          <w:b/>
          <w:bCs/>
        </w:rPr>
        <w:t xml:space="preserve"> </w:t>
      </w:r>
    </w:p>
    <w:p w14:paraId="59D466F9" w14:textId="4C35AC02" w:rsidR="003B0317" w:rsidRDefault="003B0317" w:rsidP="002D6FEC">
      <w:pPr>
        <w:pStyle w:val="NormalWeb"/>
        <w:spacing w:line="360" w:lineRule="auto"/>
      </w:pPr>
      <w:r w:rsidRPr="000059FC">
        <w:t>Hilton Hotels has made commendable efforts to combat food waste, utili</w:t>
      </w:r>
      <w:r w:rsidR="00B02E8A">
        <w:t>si</w:t>
      </w:r>
      <w:r w:rsidRPr="000059FC">
        <w:t xml:space="preserve">ng innovative solutions such as waste-tracking technology and forming partnerships with local charities to divert surplus food from landfills. </w:t>
      </w:r>
      <w:r w:rsidR="009F00BF" w:rsidRPr="009F00BF">
        <w:t xml:space="preserve">(Mourad, 2016) </w:t>
      </w:r>
      <w:r w:rsidRPr="000059FC">
        <w:t xml:space="preserve">However, a significant gap remains in their sustainable practices: the lack of a thorough employee engagement program specifically </w:t>
      </w:r>
      <w:r w:rsidRPr="000059FC">
        <w:lastRenderedPageBreak/>
        <w:t>designed to address food waste reduction. While technological advancements and strategic partnerships play crucial roles in minimi</w:t>
      </w:r>
      <w:r w:rsidR="00B02E8A">
        <w:t>s</w:t>
      </w:r>
      <w:r w:rsidRPr="000059FC">
        <w:t xml:space="preserve">ing waste, the success of these initiatives hinges on the active involvement and understanding of the staff. </w:t>
      </w:r>
      <w:r w:rsidR="00830E08" w:rsidRPr="00830E08">
        <w:t>(Dhir et al., 2020)</w:t>
      </w:r>
      <w:r w:rsidR="00830E08">
        <w:t xml:space="preserve">. </w:t>
      </w:r>
      <w:r w:rsidRPr="000059FC">
        <w:t>Without a structured program to educate and engage employees, there is a risk that they may not fully comprehend the importance of these efforts or how to effectively integrate them into their daily operations</w:t>
      </w:r>
      <w:r w:rsidR="00346808">
        <w:t xml:space="preserve"> </w:t>
      </w:r>
      <w:r w:rsidR="00346808" w:rsidRPr="00346808">
        <w:t>(Cannon &amp; Edmondson, 2005)</w:t>
      </w:r>
      <w:r w:rsidR="00346808">
        <w:t>.</w:t>
      </w:r>
      <w:r w:rsidR="00346808" w:rsidRPr="00346808">
        <w:t xml:space="preserve"> </w:t>
      </w:r>
      <w:r w:rsidRPr="000059FC">
        <w:t>To bridge this gap, Hilton could take a proactive approach by developing a comprehensive training and engagement program aimed at informing employees about the multifaceted impacts of food waste</w:t>
      </w:r>
      <w:r w:rsidR="00B02E8A">
        <w:t xml:space="preserve">, </w:t>
      </w:r>
      <w:r w:rsidRPr="000059FC">
        <w:t>both environmentally and economically. This program could encompass various interactive components, such as workshops that allow employees to explore best practices in food management and waste reduction strategies hands</w:t>
      </w:r>
      <w:r w:rsidR="00BC510A">
        <w:t xml:space="preserve"> </w:t>
      </w:r>
      <w:r w:rsidRPr="000059FC">
        <w:t>on</w:t>
      </w:r>
      <w:r w:rsidR="00BC510A" w:rsidRPr="00BC510A">
        <w:rPr>
          <w:rFonts w:asciiTheme="minorHAnsi" w:eastAsiaTheme="minorHAnsi" w:hAnsiTheme="minorHAnsi" w:cstheme="minorBidi"/>
          <w:kern w:val="2"/>
          <w:sz w:val="22"/>
          <w:szCs w:val="22"/>
          <w:lang w:eastAsia="en-US"/>
          <w14:ligatures w14:val="standardContextual"/>
        </w:rPr>
        <w:t xml:space="preserve"> </w:t>
      </w:r>
      <w:bookmarkStart w:id="1" w:name="_Hlk182242642"/>
      <w:r w:rsidR="00BC510A" w:rsidRPr="00BC510A">
        <w:t>(Redman &amp; Redman, 2014)</w:t>
      </w:r>
      <w:bookmarkEnd w:id="1"/>
      <w:r w:rsidRPr="000059FC">
        <w:t>. Gamified learning experiences could also be incorporated to enhance engagement, making the learning process more enjoyable and memorable. Regular communication campaigns could serve to keep food waste reduction at the forefront of employees' minds, emphasi</w:t>
      </w:r>
      <w:r w:rsidR="00B02E8A">
        <w:t>s</w:t>
      </w:r>
      <w:r w:rsidRPr="000059FC">
        <w:t>ing its significance and fostering a sense of collective responsibility</w:t>
      </w:r>
      <w:r w:rsidR="00096954" w:rsidRPr="00096954">
        <w:rPr>
          <w:rFonts w:asciiTheme="minorHAnsi" w:eastAsiaTheme="minorHAnsi" w:hAnsiTheme="minorHAnsi" w:cstheme="minorBidi"/>
          <w:kern w:val="2"/>
          <w:sz w:val="22"/>
          <w:szCs w:val="22"/>
          <w:lang w:eastAsia="en-US"/>
          <w14:ligatures w14:val="standardContextual"/>
        </w:rPr>
        <w:t xml:space="preserve"> </w:t>
      </w:r>
      <w:r w:rsidR="00096954" w:rsidRPr="00096954">
        <w:t>(Pasca et al., 2021)</w:t>
      </w:r>
      <w:r w:rsidRPr="000059FC">
        <w:t>. In addition to education, Hilton could create a robust recognition system to celebrate and reward teams or individuals who demonstrate exceptional commitment to reducing food waste. This could involve monthly or quarterly awards for the best-performing teams, providing public recognition that encourages friendly competition. By establishing such a culture of sustainability, Hilton can strengthen employee buy-in, motivating staff to take proactive measures that align with the company’s waste reduction goals</w:t>
      </w:r>
      <w:r w:rsidR="00230879">
        <w:t xml:space="preserve"> </w:t>
      </w:r>
      <w:r w:rsidR="00230879" w:rsidRPr="00230879">
        <w:t>(Legrand et al., 2022</w:t>
      </w:r>
      <w:r w:rsidR="00230879">
        <w:t>).</w:t>
      </w:r>
      <w:r w:rsidR="00230879" w:rsidRPr="00230879">
        <w:t xml:space="preserve"> </w:t>
      </w:r>
      <w:r w:rsidR="00230879">
        <w:t>T</w:t>
      </w:r>
      <w:r w:rsidRPr="000059FC">
        <w:t>his comprehensive approach not only addresses the existing gap in employee engagement but also cultivates a more informed and passionate workforce committed to sustainability. By empowering employees with knowledge and recogni</w:t>
      </w:r>
      <w:r w:rsidR="00B02E8A">
        <w:t>s</w:t>
      </w:r>
      <w:r w:rsidRPr="000059FC">
        <w:t xml:space="preserve">ing their efforts, Hilton can enhance its overall sustainability initiatives, creating a lasting impact on food waste reduction efforts. Ultimately, this commitment to building a sustainable workforce reinforces Hilton's dedication to environmental responsibility and positions the company as a leader in sustainable practices within the hospitality industry. </w:t>
      </w:r>
      <w:r w:rsidR="00D92008" w:rsidRPr="00D92008">
        <w:t>(Pereira et al., 2021)</w:t>
      </w:r>
    </w:p>
    <w:p w14:paraId="7156E693" w14:textId="6B62D422" w:rsidR="009E2E03" w:rsidRPr="000059FC" w:rsidRDefault="00E76402" w:rsidP="002D6FEC">
      <w:pPr>
        <w:pStyle w:val="NormalWeb"/>
        <w:spacing w:line="360" w:lineRule="auto"/>
        <w:rPr>
          <w:b/>
          <w:bCs/>
        </w:rPr>
      </w:pPr>
      <w:r w:rsidRPr="000059FC">
        <w:rPr>
          <w:b/>
          <w:bCs/>
        </w:rPr>
        <w:t>Conclusion</w:t>
      </w:r>
    </w:p>
    <w:p w14:paraId="6FC214FE" w14:textId="4E299400" w:rsidR="009E2E03" w:rsidRPr="000059FC" w:rsidRDefault="009E2E03" w:rsidP="002D6FEC">
      <w:pPr>
        <w:pStyle w:val="NormalWeb"/>
        <w:spacing w:line="360" w:lineRule="auto"/>
      </w:pPr>
      <w:r w:rsidRPr="000059FC">
        <w:t xml:space="preserve">Hilton Garden Inn has integrated several impactful sustainability initiatives that align with Hilton’s broader “Travel with Purpose” initiative, which aims to reduce the company’s </w:t>
      </w:r>
      <w:r w:rsidRPr="000059FC">
        <w:lastRenderedPageBreak/>
        <w:t>environmental impact by 50% by 2030. Key efforts include the installation of energy-saving technologies, such as LED lighting, motion sensors, and smart energy management systems, which have significantly lowered electricity consumption across locations. Water conservation is also a priority, with low-flow fixtures and linen reuse programs that collectively reduce water and energy demands associated with laundry and guest use. Waste reduction strategies further support environmental goals through recycling programs, digital check-ins, and sustainable sourcing that reduces paper waste and supports local economies.</w:t>
      </w:r>
    </w:p>
    <w:p w14:paraId="6EB283FA" w14:textId="77777777" w:rsidR="009E2E03" w:rsidRPr="000059FC" w:rsidRDefault="009E2E03" w:rsidP="002D6FEC">
      <w:pPr>
        <w:spacing w:line="360" w:lineRule="auto"/>
        <w:rPr>
          <w:rFonts w:ascii="Times New Roman" w:hAnsi="Times New Roman" w:cs="Times New Roman"/>
          <w:b/>
          <w:bCs/>
          <w:sz w:val="24"/>
          <w:szCs w:val="24"/>
        </w:rPr>
      </w:pPr>
      <w:r w:rsidRPr="000059FC">
        <w:rPr>
          <w:rFonts w:ascii="Times New Roman" w:hAnsi="Times New Roman" w:cs="Times New Roman"/>
          <w:b/>
          <w:bCs/>
          <w:sz w:val="24"/>
          <w:szCs w:val="24"/>
        </w:rPr>
        <w:t xml:space="preserve">Recommendation </w:t>
      </w:r>
    </w:p>
    <w:p w14:paraId="50C1D83C" w14:textId="24BBFD20" w:rsidR="009E2E03" w:rsidRDefault="009E2E03" w:rsidP="002D6FEC">
      <w:pPr>
        <w:pStyle w:val="NormalWeb"/>
        <w:spacing w:line="360" w:lineRule="auto"/>
      </w:pPr>
      <w:r w:rsidRPr="000059FC">
        <w:t>To address these areas, Hilton Garden Inn could adopt a comprehensive food waste management strategy that includes composting, food donation partnerships, and waste-to-energy solutions, all of which would align with its environmental goals</w:t>
      </w:r>
      <w:r w:rsidR="00FD242E" w:rsidRPr="00FD242E">
        <w:rPr>
          <w:rFonts w:asciiTheme="minorHAnsi" w:eastAsiaTheme="minorHAnsi" w:hAnsiTheme="minorHAnsi" w:cstheme="minorBidi"/>
          <w:kern w:val="2"/>
          <w:sz w:val="22"/>
          <w:szCs w:val="22"/>
          <w:lang w:eastAsia="en-US"/>
          <w14:ligatures w14:val="standardContextual"/>
        </w:rPr>
        <w:t xml:space="preserve"> </w:t>
      </w:r>
      <w:r w:rsidR="00FD242E" w:rsidRPr="00FD242E">
        <w:t>(Phonthanukitithaworn et al., 2024)</w:t>
      </w:r>
      <w:r w:rsidRPr="000059FC">
        <w:t>. Additionally, employee engagement is crucial to the success of these initiatives. Developing a structured program that educates employees about the impacts of food waste</w:t>
      </w:r>
      <w:r w:rsidR="009C07AE">
        <w:t xml:space="preserve"> </w:t>
      </w:r>
      <w:r w:rsidRPr="000059FC">
        <w:t>environmentally, socially, and economically</w:t>
      </w:r>
      <w:r w:rsidR="009C07AE">
        <w:t xml:space="preserve"> </w:t>
      </w:r>
      <w:r w:rsidRPr="000059FC">
        <w:t>could empower staff to make more sustainable choices</w:t>
      </w:r>
      <w:r w:rsidR="00B45BA8">
        <w:t xml:space="preserve"> </w:t>
      </w:r>
      <w:r w:rsidR="00B45BA8" w:rsidRPr="00B45BA8">
        <w:t>(Redman &amp; Redman, 2014)</w:t>
      </w:r>
      <w:r w:rsidRPr="000059FC">
        <w:t>. Interactive training workshops, gamified learning experiences, and regular communication campaigns could keep food waste reduction top of mind and foster a sense of collective responsibility</w:t>
      </w:r>
      <w:r w:rsidR="00B55CEF">
        <w:t xml:space="preserve"> </w:t>
      </w:r>
      <w:r w:rsidR="00B55CEF" w:rsidRPr="00B55CEF">
        <w:t>(Soma et al., 2020)</w:t>
      </w:r>
      <w:r w:rsidR="00B55CEF">
        <w:t>.</w:t>
      </w:r>
      <w:r w:rsidRPr="000059FC">
        <w:t xml:space="preserve"> Recogni</w:t>
      </w:r>
      <w:r w:rsidR="00E26C51">
        <w:t>s</w:t>
      </w:r>
      <w:r w:rsidRPr="000059FC">
        <w:t>ing and rewarding employees who demonstrate commitment to these goals can further enhance participation and morale.</w:t>
      </w:r>
      <w:r w:rsidR="00B55CEF" w:rsidRPr="00B55CEF">
        <w:rPr>
          <w:rFonts w:asciiTheme="minorHAnsi" w:eastAsiaTheme="minorHAnsi" w:hAnsiTheme="minorHAnsi" w:cstheme="minorBidi"/>
          <w:kern w:val="2"/>
          <w:sz w:val="22"/>
          <w:szCs w:val="22"/>
          <w:lang w:eastAsia="en-US"/>
          <w14:ligatures w14:val="standardContextual"/>
        </w:rPr>
        <w:t xml:space="preserve"> </w:t>
      </w:r>
      <w:r w:rsidR="00B55CEF" w:rsidRPr="00B55CEF">
        <w:t>(Appiah, 2019)</w:t>
      </w:r>
    </w:p>
    <w:p w14:paraId="45AE9479" w14:textId="77777777" w:rsidR="00B55CEF" w:rsidRDefault="00B55CEF" w:rsidP="00B55CEF">
      <w:pPr>
        <w:pStyle w:val="NormalWeb"/>
        <w:spacing w:line="360" w:lineRule="auto"/>
        <w:jc w:val="both"/>
      </w:pPr>
    </w:p>
    <w:p w14:paraId="12F692F1" w14:textId="77777777" w:rsidR="00B55CEF" w:rsidRDefault="00B55CEF" w:rsidP="00B55CEF">
      <w:pPr>
        <w:pStyle w:val="NormalWeb"/>
        <w:spacing w:line="360" w:lineRule="auto"/>
        <w:jc w:val="both"/>
      </w:pPr>
    </w:p>
    <w:p w14:paraId="16B0E787" w14:textId="77777777" w:rsidR="00B55CEF" w:rsidRDefault="00B55CEF" w:rsidP="00B55CEF">
      <w:pPr>
        <w:pStyle w:val="NormalWeb"/>
        <w:spacing w:line="360" w:lineRule="auto"/>
        <w:jc w:val="both"/>
      </w:pPr>
    </w:p>
    <w:p w14:paraId="1F5CC3A9" w14:textId="77777777" w:rsidR="00B55CEF" w:rsidRDefault="00B55CEF" w:rsidP="00B55CEF">
      <w:pPr>
        <w:pStyle w:val="NormalWeb"/>
        <w:spacing w:line="360" w:lineRule="auto"/>
        <w:jc w:val="both"/>
      </w:pPr>
    </w:p>
    <w:p w14:paraId="39185E5F" w14:textId="77777777" w:rsidR="00B55CEF" w:rsidRDefault="00B55CEF" w:rsidP="00B55CEF">
      <w:pPr>
        <w:pStyle w:val="NormalWeb"/>
        <w:spacing w:line="360" w:lineRule="auto"/>
        <w:jc w:val="both"/>
      </w:pPr>
    </w:p>
    <w:p w14:paraId="15E25514" w14:textId="77777777" w:rsidR="00DA46B8" w:rsidRDefault="00DA46B8" w:rsidP="00DA46B8">
      <w:pPr>
        <w:rPr>
          <w:rFonts w:ascii="Times New Roman" w:hAnsi="Times New Roman" w:cs="Times New Roman"/>
          <w:b/>
          <w:bCs/>
          <w:sz w:val="24"/>
          <w:szCs w:val="24"/>
        </w:rPr>
      </w:pPr>
    </w:p>
    <w:p w14:paraId="7950F414" w14:textId="77777777" w:rsidR="00DA46B8" w:rsidRDefault="00DA46B8" w:rsidP="00DA46B8">
      <w:pPr>
        <w:rPr>
          <w:rFonts w:ascii="Times New Roman" w:hAnsi="Times New Roman" w:cs="Times New Roman"/>
          <w:b/>
          <w:bCs/>
          <w:sz w:val="24"/>
          <w:szCs w:val="24"/>
        </w:rPr>
      </w:pPr>
    </w:p>
    <w:p w14:paraId="4E386E45" w14:textId="65EB2F98" w:rsidR="00E35ABC" w:rsidRPr="00643C3B" w:rsidRDefault="00DA46B8" w:rsidP="00DA46B8">
      <w:pPr>
        <w:rPr>
          <w:rFonts w:ascii="Times New Roman" w:hAnsi="Times New Roman" w:cs="Times New Roman"/>
          <w:b/>
          <w:bCs/>
          <w:sz w:val="24"/>
          <w:szCs w:val="24"/>
        </w:rPr>
      </w:pPr>
      <w:r w:rsidRPr="00643C3B">
        <w:rPr>
          <w:rFonts w:ascii="Times New Roman" w:hAnsi="Times New Roman" w:cs="Times New Roman"/>
          <w:b/>
          <w:bCs/>
          <w:sz w:val="24"/>
          <w:szCs w:val="24"/>
        </w:rPr>
        <w:lastRenderedPageBreak/>
        <w:t xml:space="preserve">References </w:t>
      </w:r>
    </w:p>
    <w:p w14:paraId="03D800E9" w14:textId="3A289EB1" w:rsidR="00E35ABC" w:rsidRDefault="00DA46B8" w:rsidP="00E35ABC">
      <w:pPr>
        <w:pStyle w:val="NormalWeb"/>
      </w:pPr>
      <w:r w:rsidRPr="00643C3B">
        <w:t xml:space="preserve">(2022) </w:t>
      </w:r>
      <w:r w:rsidRPr="00643C3B">
        <w:rPr>
          <w:i/>
          <w:iCs/>
        </w:rPr>
        <w:t>Hilton 2022 environmental, social and governance report</w:t>
      </w:r>
      <w:r w:rsidRPr="00643C3B">
        <w:t xml:space="preserve">. Available at: </w:t>
      </w:r>
      <w:hyperlink r:id="rId5" w:history="1">
        <w:r w:rsidRPr="005A02FF">
          <w:rPr>
            <w:rStyle w:val="Hyperlink"/>
          </w:rPr>
          <w:t>https://esg.hilton.com/wp-content/uploads/sites/4/2023/04/Hilton-2022-Environmental-Social-</w:t>
        </w:r>
      </w:hyperlink>
      <w:r>
        <w:t xml:space="preserve">      </w:t>
      </w:r>
      <w:r w:rsidRPr="00643C3B">
        <w:t>and-Governance-Report.pdf (Accessed: 05 November 2024).</w:t>
      </w:r>
    </w:p>
    <w:p w14:paraId="196090F3" w14:textId="79F695A6" w:rsidR="00DA46B8" w:rsidRPr="00C15CF1" w:rsidRDefault="00DA46B8" w:rsidP="00C15CF1">
      <w:pPr>
        <w:pStyle w:val="NormalWeb"/>
        <w:ind w:left="360"/>
        <w:jc w:val="both"/>
        <w:rPr>
          <w:i/>
          <w:iCs/>
        </w:rPr>
      </w:pPr>
      <w:r w:rsidRPr="00643C3B">
        <w:t xml:space="preserve">(2022) </w:t>
      </w:r>
      <w:r w:rsidRPr="00643C3B">
        <w:rPr>
          <w:i/>
          <w:iCs/>
        </w:rPr>
        <w:t xml:space="preserve">Putting sustainability on the table every day: How we are future-proofing our food &amp; </w:t>
      </w:r>
      <w:r w:rsidR="00C15CF1">
        <w:rPr>
          <w:i/>
          <w:iCs/>
        </w:rPr>
        <w:t xml:space="preserve">  </w:t>
      </w:r>
      <w:r w:rsidRPr="00643C3B">
        <w:rPr>
          <w:i/>
          <w:iCs/>
        </w:rPr>
        <w:t>beverage strategy</w:t>
      </w:r>
      <w:r w:rsidRPr="00643C3B">
        <w:t>. Availableat:https://group.accor.com/en/Actualites/2022/04/food-beverage-sustainability (Accessed: 11 November 2024).</w:t>
      </w:r>
    </w:p>
    <w:p w14:paraId="28A573F9" w14:textId="581A7643" w:rsidR="00DA46B8" w:rsidRPr="00643C3B" w:rsidRDefault="00DA46B8" w:rsidP="00C01FFB">
      <w:pPr>
        <w:pStyle w:val="NormalWeb"/>
        <w:ind w:left="360"/>
        <w:jc w:val="both"/>
      </w:pPr>
      <w:r w:rsidRPr="00643C3B">
        <w:t xml:space="preserve">(No date) </w:t>
      </w:r>
      <w:r w:rsidRPr="00643C3B">
        <w:rPr>
          <w:i/>
          <w:iCs/>
        </w:rPr>
        <w:t>Energy stewardship policy statement</w:t>
      </w:r>
      <w:r w:rsidRPr="00643C3B">
        <w:t>. Available at: https://cr.hilton.com/wp-content/uploads/2021/04/Hilton-Energy-Stewardship-Statement.pdf (Accessed: 07 November 2024).</w:t>
      </w:r>
    </w:p>
    <w:p w14:paraId="6E5EEC0C" w14:textId="0A37CC00" w:rsidR="00DA46B8" w:rsidRPr="00643C3B" w:rsidRDefault="00DA46B8" w:rsidP="00C01FFB">
      <w:pPr>
        <w:pStyle w:val="NormalWeb"/>
        <w:ind w:left="360"/>
        <w:jc w:val="both"/>
      </w:pPr>
      <w:r w:rsidRPr="00643C3B">
        <w:t xml:space="preserve">Annosi, M.C. </w:t>
      </w:r>
      <w:r w:rsidRPr="00643C3B">
        <w:rPr>
          <w:i/>
          <w:iCs/>
        </w:rPr>
        <w:t>et al.</w:t>
      </w:r>
      <w:r w:rsidRPr="00643C3B">
        <w:t xml:space="preserve"> (2021) ‘Digitalization within food supply chains to prevent food waste. drivers, barriers and collaboration practices’, </w:t>
      </w:r>
      <w:r w:rsidRPr="00643C3B">
        <w:rPr>
          <w:i/>
          <w:iCs/>
        </w:rPr>
        <w:t>Industrial Marketing Management</w:t>
      </w:r>
      <w:r w:rsidRPr="00643C3B">
        <w:t>, 93, pp. 208–220. doi:10.1016/j.indmarman.2021.01.005.</w:t>
      </w:r>
    </w:p>
    <w:p w14:paraId="4A928B55" w14:textId="1999BF72" w:rsidR="00DA46B8" w:rsidRPr="00643C3B" w:rsidRDefault="00DA46B8" w:rsidP="00C01FFB">
      <w:pPr>
        <w:pStyle w:val="NormalWeb"/>
        <w:ind w:left="360"/>
        <w:jc w:val="both"/>
      </w:pPr>
      <w:r w:rsidRPr="00643C3B">
        <w:t xml:space="preserve">Appiah, J.K. (2019a) ‘Community-based corporate social responsibility activities and employee job satisfaction in the U.S. Hotel Industry: An explanatory study’, </w:t>
      </w:r>
      <w:r w:rsidRPr="00643C3B">
        <w:rPr>
          <w:i/>
          <w:iCs/>
        </w:rPr>
        <w:t>Journal of Hospitality and Tourism Management</w:t>
      </w:r>
      <w:r w:rsidRPr="00643C3B">
        <w:t>, 38, pp. 140–148. doi:10.1016/j.jhtm.2019.01.002.</w:t>
      </w:r>
    </w:p>
    <w:p w14:paraId="72F82932" w14:textId="3A5228AB" w:rsidR="00DA46B8" w:rsidRPr="00643C3B" w:rsidRDefault="00DA46B8" w:rsidP="00C01FFB">
      <w:pPr>
        <w:pStyle w:val="NormalWeb"/>
        <w:ind w:left="360"/>
        <w:jc w:val="both"/>
      </w:pPr>
      <w:r w:rsidRPr="00643C3B">
        <w:t xml:space="preserve">Appiah, J.K. (2019b) ‘Community-based corporate social responsibility activities and employee job satisfaction in the U.S. Hotel Industry: An explanatory study’, </w:t>
      </w:r>
      <w:r w:rsidRPr="00643C3B">
        <w:rPr>
          <w:i/>
          <w:iCs/>
        </w:rPr>
        <w:t>Journal of Hospitality and Tourism Management</w:t>
      </w:r>
      <w:r w:rsidRPr="00643C3B">
        <w:t>, 38, pp. 140–148. doi:10.1016/j.jhtm.2019.01.002.</w:t>
      </w:r>
    </w:p>
    <w:p w14:paraId="355163E4" w14:textId="7CEF010F" w:rsidR="00DA46B8" w:rsidRPr="00643C3B" w:rsidRDefault="00DA46B8" w:rsidP="00C01FFB">
      <w:pPr>
        <w:pStyle w:val="NormalWeb"/>
        <w:ind w:left="360"/>
        <w:jc w:val="both"/>
      </w:pPr>
      <w:r w:rsidRPr="00643C3B">
        <w:t xml:space="preserve">Cannon, M.D. and Edmondson, A.C. (2005) ‘Failing to learn and learning to fail (intelligently)’, </w:t>
      </w:r>
      <w:r w:rsidRPr="00643C3B">
        <w:rPr>
          <w:i/>
          <w:iCs/>
        </w:rPr>
        <w:t>Long Range Planning</w:t>
      </w:r>
      <w:r w:rsidRPr="00643C3B">
        <w:t>, 38(3), pp. 299–319. doi:10.1016/j.lrp.2005.04.005.</w:t>
      </w:r>
    </w:p>
    <w:p w14:paraId="0E71FE11" w14:textId="78088D96" w:rsidR="00DA46B8" w:rsidRPr="00643C3B" w:rsidRDefault="00DA46B8" w:rsidP="00C01FFB">
      <w:pPr>
        <w:pStyle w:val="NormalWeb"/>
        <w:ind w:left="360"/>
        <w:jc w:val="both"/>
      </w:pPr>
      <w:r w:rsidRPr="00643C3B">
        <w:t xml:space="preserve">Cesareo, M. (2019) ‘No waste by default: Nudging to prevent food waste in restaurants’, </w:t>
      </w:r>
      <w:r w:rsidRPr="00643C3B">
        <w:rPr>
          <w:i/>
          <w:iCs/>
        </w:rPr>
        <w:t>Ergonomics International Journal</w:t>
      </w:r>
      <w:r w:rsidRPr="00643C3B">
        <w:t>, 3(1). doi:10.23880/eoij-16000191.</w:t>
      </w:r>
    </w:p>
    <w:p w14:paraId="462C9CA8" w14:textId="7B2CBE7B" w:rsidR="00DA46B8" w:rsidRPr="00643C3B" w:rsidRDefault="00DA46B8" w:rsidP="00C01FFB">
      <w:pPr>
        <w:pStyle w:val="NormalWeb"/>
        <w:ind w:left="360"/>
        <w:jc w:val="both"/>
      </w:pPr>
      <w:r w:rsidRPr="00643C3B">
        <w:t xml:space="preserve">Despoudi, S. </w:t>
      </w:r>
      <w:r w:rsidRPr="00643C3B">
        <w:rPr>
          <w:i/>
          <w:iCs/>
        </w:rPr>
        <w:t>et al.</w:t>
      </w:r>
      <w:r w:rsidRPr="00643C3B">
        <w:t xml:space="preserve"> (2021) ‘Food Waste Management, valorization, and sustainability in the Food Industry’, </w:t>
      </w:r>
      <w:r w:rsidRPr="00643C3B">
        <w:rPr>
          <w:i/>
          <w:iCs/>
        </w:rPr>
        <w:t>Food Waste Recovery</w:t>
      </w:r>
      <w:r w:rsidRPr="00643C3B">
        <w:t>, pp. 3–19. doi:10.1016/b978-0-12-820563-1.00008-1.</w:t>
      </w:r>
    </w:p>
    <w:p w14:paraId="3882A1A3" w14:textId="7E9472C9" w:rsidR="00DA46B8" w:rsidRPr="00643C3B" w:rsidRDefault="00DA46B8" w:rsidP="00C01FFB">
      <w:pPr>
        <w:pStyle w:val="NormalWeb"/>
        <w:ind w:left="360"/>
        <w:jc w:val="both"/>
      </w:pPr>
      <w:r w:rsidRPr="00643C3B">
        <w:t xml:space="preserve">Dhir, A. </w:t>
      </w:r>
      <w:r w:rsidRPr="00643C3B">
        <w:rPr>
          <w:i/>
          <w:iCs/>
        </w:rPr>
        <w:t>et al.</w:t>
      </w:r>
      <w:r w:rsidRPr="00643C3B">
        <w:t xml:space="preserve"> (2020) ‘Food waste in hospitality and Food Services: A systematic literature review and framework development approach’, </w:t>
      </w:r>
      <w:r w:rsidRPr="00643C3B">
        <w:rPr>
          <w:i/>
          <w:iCs/>
        </w:rPr>
        <w:t>Journal of Cleaner Production</w:t>
      </w:r>
      <w:r w:rsidRPr="00643C3B">
        <w:t>, 270, p. 122861. doi:10.1016/j.jclepro.2020.122861.</w:t>
      </w:r>
    </w:p>
    <w:p w14:paraId="067FC46F" w14:textId="20047DD6" w:rsidR="00DA46B8" w:rsidRPr="00643C3B" w:rsidRDefault="00DA46B8" w:rsidP="00C01FFB">
      <w:pPr>
        <w:pStyle w:val="NormalWeb"/>
        <w:ind w:left="360"/>
        <w:jc w:val="both"/>
      </w:pPr>
      <w:r w:rsidRPr="00643C3B">
        <w:rPr>
          <w:i/>
          <w:iCs/>
        </w:rPr>
        <w:t>Environmental impact: Travel with purpose: Hilton ESG</w:t>
      </w:r>
      <w:r w:rsidRPr="00643C3B">
        <w:t xml:space="preserve"> (2024) </w:t>
      </w:r>
      <w:r w:rsidRPr="00643C3B">
        <w:rPr>
          <w:i/>
          <w:iCs/>
        </w:rPr>
        <w:t>Travel With Purpose | Hilton ESG</w:t>
      </w:r>
      <w:r w:rsidRPr="00643C3B">
        <w:t>. Available at: https://esg.hilton.com/environment/ (Accessed: 07 November 2024).</w:t>
      </w:r>
    </w:p>
    <w:p w14:paraId="6E9F7E1C" w14:textId="675C351C" w:rsidR="00DA46B8" w:rsidRPr="00643C3B" w:rsidRDefault="00DA46B8" w:rsidP="00C01FFB">
      <w:pPr>
        <w:pStyle w:val="NormalWeb"/>
        <w:ind w:left="360"/>
        <w:jc w:val="both"/>
      </w:pPr>
      <w:r w:rsidRPr="00643C3B">
        <w:t xml:space="preserve">Filimonau, V. and De Coteau, D.A. (2019) ‘Food Waste Management in hospitality operations: A critical review’, </w:t>
      </w:r>
      <w:r w:rsidRPr="00643C3B">
        <w:rPr>
          <w:i/>
          <w:iCs/>
        </w:rPr>
        <w:t>Tourism Management</w:t>
      </w:r>
      <w:r w:rsidRPr="00643C3B">
        <w:t>, 71, pp. 234–245. doi:10.1016/j.tourman.2018.10.009.</w:t>
      </w:r>
    </w:p>
    <w:p w14:paraId="77B5E351" w14:textId="576E601E" w:rsidR="00DA46B8" w:rsidRPr="00643C3B" w:rsidRDefault="00DA46B8" w:rsidP="00C01FFB">
      <w:pPr>
        <w:pStyle w:val="NormalWeb"/>
        <w:ind w:left="360"/>
        <w:jc w:val="both"/>
      </w:pPr>
      <w:r w:rsidRPr="00643C3B">
        <w:lastRenderedPageBreak/>
        <w:t xml:space="preserve">Huang, I.Y. </w:t>
      </w:r>
      <w:r w:rsidRPr="00643C3B">
        <w:rPr>
          <w:i/>
          <w:iCs/>
        </w:rPr>
        <w:t>et al.</w:t>
      </w:r>
      <w:r w:rsidRPr="00643C3B">
        <w:t xml:space="preserve"> (2021) ‘Food Waste Management: A review of retailers’ business practices and their implications for sustainable value’, </w:t>
      </w:r>
      <w:r w:rsidRPr="00643C3B">
        <w:rPr>
          <w:i/>
          <w:iCs/>
        </w:rPr>
        <w:t>Journal of Cleaner Production</w:t>
      </w:r>
      <w:r w:rsidRPr="00643C3B">
        <w:t>, 285, p. 125484. doi:10.1016/j.jclepro.2020.125484.</w:t>
      </w:r>
    </w:p>
    <w:p w14:paraId="17DE910A" w14:textId="406A3CC9" w:rsidR="00DA46B8" w:rsidRPr="00643C3B" w:rsidRDefault="00DA46B8" w:rsidP="00C01FFB">
      <w:pPr>
        <w:pStyle w:val="NormalWeb"/>
        <w:ind w:left="360"/>
        <w:jc w:val="both"/>
      </w:pPr>
      <w:r w:rsidRPr="00643C3B">
        <w:t xml:space="preserve">Jones, P., Hillier, D. and Comfort, D. (2014) ‘Sustainability in the Global Hotel Industry’, </w:t>
      </w:r>
      <w:r w:rsidRPr="00643C3B">
        <w:rPr>
          <w:i/>
          <w:iCs/>
        </w:rPr>
        <w:t>International Journal of Contemporary Hospitality Management</w:t>
      </w:r>
      <w:r w:rsidRPr="00643C3B">
        <w:t>, 26(1), pp. 5–17. doi:10.1108/ijchm-10-2012-0180.</w:t>
      </w:r>
    </w:p>
    <w:p w14:paraId="506EF4CA" w14:textId="46AAB559" w:rsidR="00DA46B8" w:rsidRPr="00643C3B" w:rsidRDefault="00DA46B8" w:rsidP="00C01FFB">
      <w:pPr>
        <w:pStyle w:val="NormalWeb"/>
        <w:ind w:left="360"/>
        <w:jc w:val="both"/>
      </w:pPr>
      <w:r w:rsidRPr="00643C3B">
        <w:t xml:space="preserve">Kasim, A. (2007) ‘Towards a wider adoption of environmental responsibility in the Hotel Sector’, </w:t>
      </w:r>
      <w:r w:rsidRPr="00643C3B">
        <w:rPr>
          <w:i/>
          <w:iCs/>
        </w:rPr>
        <w:t>International Journal of Hospitality &amp;amp; Tourism Administration</w:t>
      </w:r>
      <w:r w:rsidRPr="00643C3B">
        <w:t>, 8(2), pp. 25–49. doi:10.1300/j149v08n02_02.</w:t>
      </w:r>
    </w:p>
    <w:p w14:paraId="4BB1C026" w14:textId="1DFBF85E" w:rsidR="00DA46B8" w:rsidRPr="00643C3B" w:rsidRDefault="00DA46B8" w:rsidP="00C01FFB">
      <w:pPr>
        <w:pStyle w:val="NormalWeb"/>
        <w:ind w:left="360"/>
        <w:jc w:val="both"/>
      </w:pPr>
      <w:r w:rsidRPr="00643C3B">
        <w:t xml:space="preserve">Kinderlerer, J. (1997) ‘Responsible hospitality: Microbiology for the hospitality industry’, </w:t>
      </w:r>
      <w:r w:rsidRPr="00643C3B">
        <w:rPr>
          <w:i/>
          <w:iCs/>
        </w:rPr>
        <w:t>International Journal of Hospitality Management</w:t>
      </w:r>
      <w:r w:rsidRPr="00643C3B">
        <w:t>, 16(3), pp. 313–315. doi:10.1016/s0278-4319(97)89038-x.</w:t>
      </w:r>
    </w:p>
    <w:p w14:paraId="7D2558AE" w14:textId="6673EA3D" w:rsidR="00DA46B8" w:rsidRPr="00643C3B" w:rsidRDefault="00DA46B8" w:rsidP="00C01FFB">
      <w:pPr>
        <w:pStyle w:val="NormalWeb"/>
        <w:ind w:left="360"/>
        <w:jc w:val="both"/>
      </w:pPr>
      <w:r w:rsidRPr="00643C3B">
        <w:t xml:space="preserve">Legrand, W., Chen, J.S. and Laeis, G.C. (2022) ‘Sustainable development and the hospitality industry’, </w:t>
      </w:r>
      <w:r w:rsidRPr="00643C3B">
        <w:rPr>
          <w:i/>
          <w:iCs/>
        </w:rPr>
        <w:t>Sustainability in the Hospitality Industry</w:t>
      </w:r>
      <w:r w:rsidRPr="00643C3B">
        <w:t>, pp. 15–61. doi:10.4324/9781003081128-2.</w:t>
      </w:r>
    </w:p>
    <w:p w14:paraId="1CC7F41D" w14:textId="07EE19EE" w:rsidR="00DA46B8" w:rsidRPr="00643C3B" w:rsidRDefault="00DA46B8" w:rsidP="00C01FFB">
      <w:pPr>
        <w:pStyle w:val="NormalWeb"/>
        <w:ind w:left="360"/>
        <w:jc w:val="both"/>
      </w:pPr>
      <w:r w:rsidRPr="00643C3B">
        <w:t xml:space="preserve">Martin-Rios, C. </w:t>
      </w:r>
      <w:r w:rsidRPr="00643C3B">
        <w:rPr>
          <w:i/>
          <w:iCs/>
        </w:rPr>
        <w:t>et al.</w:t>
      </w:r>
      <w:r w:rsidRPr="00643C3B">
        <w:t xml:space="preserve"> (2018) ‘Food Waste Management Innovations in the foodservice industry’, </w:t>
      </w:r>
      <w:r w:rsidRPr="00643C3B">
        <w:rPr>
          <w:i/>
          <w:iCs/>
        </w:rPr>
        <w:t>Waste Management</w:t>
      </w:r>
      <w:r w:rsidRPr="00643C3B">
        <w:t>, 79, pp. 196–206. doi:10.1016/j.wasman.2018.07.033.</w:t>
      </w:r>
    </w:p>
    <w:p w14:paraId="3DECBB67" w14:textId="546564ED" w:rsidR="00DA46B8" w:rsidRPr="00643C3B" w:rsidRDefault="00DA46B8" w:rsidP="00C01FFB">
      <w:pPr>
        <w:pStyle w:val="NormalWeb"/>
        <w:ind w:left="360"/>
        <w:jc w:val="both"/>
      </w:pPr>
      <w:r w:rsidRPr="00643C3B">
        <w:t xml:space="preserve">Meng, Z. </w:t>
      </w:r>
      <w:r w:rsidRPr="00643C3B">
        <w:rPr>
          <w:i/>
          <w:iCs/>
        </w:rPr>
        <w:t>et al.</w:t>
      </w:r>
      <w:r w:rsidRPr="00643C3B">
        <w:t xml:space="preserve"> (2024) ‘Green Sustainability in the hotel sector: The role of CSR, Intrinsic Green motivation, and personal environmental norms’, </w:t>
      </w:r>
      <w:r w:rsidRPr="00643C3B">
        <w:rPr>
          <w:i/>
          <w:iCs/>
        </w:rPr>
        <w:t>PLOS ONE</w:t>
      </w:r>
      <w:r w:rsidRPr="00643C3B">
        <w:t>, 19(6). doi:10.1371/journal.pone.0295850.</w:t>
      </w:r>
    </w:p>
    <w:p w14:paraId="3DDE211B" w14:textId="50DDAB0B" w:rsidR="00DA46B8" w:rsidRPr="00643C3B" w:rsidRDefault="00DA46B8" w:rsidP="00C01FFB">
      <w:pPr>
        <w:pStyle w:val="NormalWeb"/>
        <w:ind w:left="360"/>
        <w:jc w:val="both"/>
      </w:pPr>
      <w:r w:rsidRPr="00643C3B">
        <w:t xml:space="preserve">Mourad, M. (2016) ‘Recycling, recovering and preventing “food waste”: Competing solutions for Food Systems Sustainability in the United States and France’, </w:t>
      </w:r>
      <w:r w:rsidRPr="00643C3B">
        <w:rPr>
          <w:i/>
          <w:iCs/>
        </w:rPr>
        <w:t>Journal of Cleaner Production</w:t>
      </w:r>
      <w:r w:rsidRPr="00643C3B">
        <w:t>, 126, pp. 461–477. doi:10.1016/j.jclepro.2016.03.084.</w:t>
      </w:r>
    </w:p>
    <w:p w14:paraId="0DA8D59D" w14:textId="62F7A1C1" w:rsidR="00DA46B8" w:rsidRPr="00643C3B" w:rsidRDefault="00DA46B8" w:rsidP="00C01FFB">
      <w:pPr>
        <w:pStyle w:val="NormalWeb"/>
        <w:ind w:left="360"/>
        <w:jc w:val="both"/>
      </w:pPr>
      <w:r w:rsidRPr="00643C3B">
        <w:t xml:space="preserve">Nazir, S. (2022) ‘A framework development of food wastage and its prevention strategies in the hospitality industry of Pakistan’, </w:t>
      </w:r>
      <w:r w:rsidRPr="00643C3B">
        <w:rPr>
          <w:i/>
          <w:iCs/>
        </w:rPr>
        <w:t>International Journal of Circular Economy and Waste Management</w:t>
      </w:r>
      <w:r w:rsidRPr="00643C3B">
        <w:t>, 2(1), pp. 1–19. doi:10.4018/ijcewm.302206.</w:t>
      </w:r>
    </w:p>
    <w:p w14:paraId="2117A27B" w14:textId="5105645F" w:rsidR="00DA46B8" w:rsidRPr="00643C3B" w:rsidRDefault="00DA46B8" w:rsidP="00C01FFB">
      <w:pPr>
        <w:pStyle w:val="NormalWeb"/>
        <w:ind w:left="360"/>
        <w:jc w:val="both"/>
      </w:pPr>
      <w:r w:rsidRPr="00643C3B">
        <w:t xml:space="preserve">Omar, I.A. </w:t>
      </w:r>
      <w:r w:rsidRPr="00643C3B">
        <w:rPr>
          <w:i/>
          <w:iCs/>
        </w:rPr>
        <w:t>et al.</w:t>
      </w:r>
      <w:r w:rsidRPr="00643C3B">
        <w:t xml:space="preserve"> (2024) ‘Using blockchain technology to achieve sustainability in the hospitality industry by reducing food waste’, </w:t>
      </w:r>
      <w:r w:rsidRPr="00643C3B">
        <w:rPr>
          <w:i/>
          <w:iCs/>
        </w:rPr>
        <w:t>Computers &amp;amp; Industrial Engineering</w:t>
      </w:r>
      <w:r w:rsidRPr="00643C3B">
        <w:t>, 197, p. 110586. doi:10.1016/j.cie.2024.110586.</w:t>
      </w:r>
    </w:p>
    <w:p w14:paraId="22C1163D" w14:textId="56E862A2" w:rsidR="00DA46B8" w:rsidRPr="00643C3B" w:rsidRDefault="00DA46B8" w:rsidP="00C01FFB">
      <w:pPr>
        <w:pStyle w:val="NormalWeb"/>
        <w:ind w:left="360"/>
        <w:jc w:val="both"/>
      </w:pPr>
      <w:r w:rsidRPr="00643C3B">
        <w:t xml:space="preserve">Papargyropoulou, E. </w:t>
      </w:r>
      <w:r w:rsidRPr="00643C3B">
        <w:rPr>
          <w:i/>
          <w:iCs/>
        </w:rPr>
        <w:t>et al.</w:t>
      </w:r>
      <w:r w:rsidRPr="00643C3B">
        <w:t xml:space="preserve"> (2014) ‘The food waste hierarchy as a framework for the management of food surplus and Food Waste’, </w:t>
      </w:r>
      <w:r w:rsidRPr="00643C3B">
        <w:rPr>
          <w:i/>
          <w:iCs/>
        </w:rPr>
        <w:t>Journal of Cleaner Production</w:t>
      </w:r>
      <w:r w:rsidRPr="00643C3B">
        <w:t>, 76, pp. 106–115. doi:10.1016/j.jclepro.2014.04.020.</w:t>
      </w:r>
    </w:p>
    <w:p w14:paraId="647ED58F" w14:textId="2C1CBDB0" w:rsidR="00DA46B8" w:rsidRPr="00643C3B" w:rsidRDefault="00DA46B8" w:rsidP="00C01FFB">
      <w:pPr>
        <w:pStyle w:val="NormalWeb"/>
        <w:ind w:left="360"/>
        <w:jc w:val="both"/>
      </w:pPr>
      <w:r w:rsidRPr="00643C3B">
        <w:t xml:space="preserve">Pasca, M.G. </w:t>
      </w:r>
      <w:r w:rsidRPr="00643C3B">
        <w:rPr>
          <w:i/>
          <w:iCs/>
        </w:rPr>
        <w:t>et al.</w:t>
      </w:r>
      <w:r w:rsidRPr="00643C3B">
        <w:t xml:space="preserve"> (2021) ‘Gamification in tourism and Hospitality Research in the era of Digital Platforms: A systematic literature review’, </w:t>
      </w:r>
      <w:r w:rsidRPr="00643C3B">
        <w:rPr>
          <w:i/>
          <w:iCs/>
        </w:rPr>
        <w:t>Journal of Service Theory and Practice</w:t>
      </w:r>
      <w:r w:rsidRPr="00643C3B">
        <w:t>, 31(5), pp. 691–737. doi:10.1108/jstp-05-2020-0094.</w:t>
      </w:r>
    </w:p>
    <w:p w14:paraId="70D3C003" w14:textId="65A5E4CC" w:rsidR="00DA46B8" w:rsidRPr="00643C3B" w:rsidRDefault="00DA46B8" w:rsidP="00C01FFB">
      <w:pPr>
        <w:pStyle w:val="NormalWeb"/>
        <w:ind w:left="360"/>
        <w:jc w:val="both"/>
      </w:pPr>
      <w:r w:rsidRPr="00643C3B">
        <w:lastRenderedPageBreak/>
        <w:t xml:space="preserve">Pereira, V., Silva, G.M. and Dias, Á. (2021) ‘Sustainability Practices in hospitality: Case study of a luxury hotel in Arrábida Natural park’, </w:t>
      </w:r>
      <w:r w:rsidRPr="00643C3B">
        <w:rPr>
          <w:i/>
          <w:iCs/>
        </w:rPr>
        <w:t>Sustainability</w:t>
      </w:r>
      <w:r w:rsidRPr="00643C3B">
        <w:t>, 13(6), p. 3164. doi:10.3390/su13063164.</w:t>
      </w:r>
    </w:p>
    <w:p w14:paraId="067A36F8" w14:textId="28475A7A" w:rsidR="00DA46B8" w:rsidRPr="00643C3B" w:rsidRDefault="00DA46B8" w:rsidP="00C01FFB">
      <w:pPr>
        <w:pStyle w:val="NormalWeb"/>
        <w:ind w:left="360"/>
        <w:jc w:val="both"/>
      </w:pPr>
      <w:r w:rsidRPr="00643C3B">
        <w:t xml:space="preserve">Phonthanukitithaworn, C., Maitree, N. and Naruetharadhol, P. (2024) ‘Eco-innovation policies for Food Waste Management: A european union-ASEAN comparison’, </w:t>
      </w:r>
      <w:r w:rsidRPr="00643C3B">
        <w:rPr>
          <w:i/>
          <w:iCs/>
        </w:rPr>
        <w:t>Journal of Open Innovation: Technology, Market, and Complexity</w:t>
      </w:r>
      <w:r w:rsidRPr="00643C3B">
        <w:t>, 10(2), p. 100295. doi:10.1016/j.joitmc.2024.100295.</w:t>
      </w:r>
    </w:p>
    <w:p w14:paraId="199B6F95" w14:textId="5466B12B" w:rsidR="00DA46B8" w:rsidRPr="00643C3B" w:rsidRDefault="00DA46B8" w:rsidP="00C01FFB">
      <w:pPr>
        <w:pStyle w:val="NormalWeb"/>
        <w:ind w:left="360"/>
        <w:jc w:val="both"/>
      </w:pPr>
      <w:r w:rsidRPr="00643C3B">
        <w:t xml:space="preserve">Pirani, S.I. and Arafat, H.A. (2014) ‘Solid waste management in the hospitality industry: A Review’, </w:t>
      </w:r>
      <w:r w:rsidRPr="00643C3B">
        <w:rPr>
          <w:i/>
          <w:iCs/>
        </w:rPr>
        <w:t>Journal of Environmental Management</w:t>
      </w:r>
      <w:r w:rsidRPr="00643C3B">
        <w:t>, 146, pp. 320–336. doi:10.1016/j.jenvman.2014.07.038.</w:t>
      </w:r>
    </w:p>
    <w:p w14:paraId="7B147666" w14:textId="02A796F7" w:rsidR="00DA46B8" w:rsidRPr="00643C3B" w:rsidRDefault="00DA46B8" w:rsidP="00C01FFB">
      <w:pPr>
        <w:pStyle w:val="NormalWeb"/>
        <w:ind w:left="360"/>
        <w:jc w:val="both"/>
      </w:pPr>
      <w:r w:rsidRPr="00643C3B">
        <w:t xml:space="preserve">Pirani, S.I. and Arafat, H.A. (2016) ‘Reduction of food waste generation in the hospitality industry’, </w:t>
      </w:r>
      <w:r w:rsidRPr="00643C3B">
        <w:rPr>
          <w:i/>
          <w:iCs/>
        </w:rPr>
        <w:t>Journal of Cleaner Production</w:t>
      </w:r>
      <w:r w:rsidRPr="00643C3B">
        <w:t>, 132, pp. 129–145. doi:10.1016/j.jclepro.2015.07.146.</w:t>
      </w:r>
    </w:p>
    <w:p w14:paraId="5B0F2E00" w14:textId="72573B1F" w:rsidR="00DA46B8" w:rsidRPr="00643C3B" w:rsidRDefault="00DA46B8" w:rsidP="00C01FFB">
      <w:pPr>
        <w:pStyle w:val="NormalWeb"/>
        <w:ind w:left="360"/>
        <w:jc w:val="both"/>
      </w:pPr>
      <w:r w:rsidRPr="00643C3B">
        <w:t xml:space="preserve">Redman, E. and Redman, A. (2014) ‘Transforming Sustainable Food and waste behaviors by realigning domains of knowledge in our education system’, </w:t>
      </w:r>
      <w:r w:rsidRPr="00643C3B">
        <w:rPr>
          <w:i/>
          <w:iCs/>
        </w:rPr>
        <w:t>Journal of Cleaner Production</w:t>
      </w:r>
      <w:r w:rsidRPr="00643C3B">
        <w:t>, 64, pp. 147–157. doi:10.1016/j.jclepro.2013.09.016.</w:t>
      </w:r>
    </w:p>
    <w:p w14:paraId="5DB833B9" w14:textId="178419B7" w:rsidR="00DA46B8" w:rsidRPr="00643C3B" w:rsidRDefault="00DA46B8" w:rsidP="00C01FFB">
      <w:pPr>
        <w:pStyle w:val="NormalWeb"/>
        <w:ind w:left="360"/>
        <w:jc w:val="both"/>
      </w:pPr>
      <w:r w:rsidRPr="00643C3B">
        <w:t xml:space="preserve">Ruiz Molina, M.E. </w:t>
      </w:r>
      <w:r w:rsidRPr="00643C3B">
        <w:rPr>
          <w:i/>
          <w:iCs/>
        </w:rPr>
        <w:t>et al.</w:t>
      </w:r>
      <w:r w:rsidRPr="00643C3B">
        <w:t xml:space="preserve"> (2021) ‘Addressing sustainable food management in hotels: Proposing a framework and examining hotel groups’, </w:t>
      </w:r>
      <w:r w:rsidRPr="00643C3B">
        <w:rPr>
          <w:i/>
          <w:iCs/>
        </w:rPr>
        <w:t>British Food Journal</w:t>
      </w:r>
      <w:r w:rsidRPr="00643C3B">
        <w:t>, 124(2), pp. 462–492. doi:10.1108/bfj-12-2020-1171.</w:t>
      </w:r>
    </w:p>
    <w:p w14:paraId="7EA52C06" w14:textId="41DB38DA" w:rsidR="00DA46B8" w:rsidRPr="00643C3B" w:rsidRDefault="00DA46B8" w:rsidP="00C01FFB">
      <w:pPr>
        <w:pStyle w:val="NormalWeb"/>
        <w:ind w:left="360"/>
        <w:jc w:val="both"/>
      </w:pPr>
      <w:r w:rsidRPr="00643C3B">
        <w:t xml:space="preserve">Singh, N., Cranage, D. and Lee, S. (2014) ‘Green strategies for Hotels: Estimation of Recycling Benefits’, </w:t>
      </w:r>
      <w:r w:rsidRPr="00643C3B">
        <w:rPr>
          <w:i/>
          <w:iCs/>
        </w:rPr>
        <w:t>International Journal of Hospitality Management</w:t>
      </w:r>
      <w:r w:rsidRPr="00643C3B">
        <w:t>, 43, pp. 13–22. doi:10.1016/j.ijhm.2014.07.006.</w:t>
      </w:r>
    </w:p>
    <w:p w14:paraId="2196F0FF" w14:textId="1220E5F4" w:rsidR="00DA46B8" w:rsidRPr="00643C3B" w:rsidRDefault="00DA46B8" w:rsidP="00C01FFB">
      <w:pPr>
        <w:pStyle w:val="NormalWeb"/>
        <w:ind w:left="360"/>
        <w:jc w:val="both"/>
      </w:pPr>
      <w:r w:rsidRPr="00643C3B">
        <w:t xml:space="preserve">Soma, T., Li, B. and Maclaren, V. (2020) ‘Food waste reduction: A test of three consumer awareness interventions’, </w:t>
      </w:r>
      <w:r w:rsidRPr="00643C3B">
        <w:rPr>
          <w:i/>
          <w:iCs/>
        </w:rPr>
        <w:t>Sustainability</w:t>
      </w:r>
      <w:r w:rsidRPr="00643C3B">
        <w:t>, 12(3), p. 907. doi:10.3390/su12030907.</w:t>
      </w:r>
    </w:p>
    <w:p w14:paraId="36A82235" w14:textId="1322848E" w:rsidR="00DA46B8" w:rsidRPr="00643C3B" w:rsidRDefault="00DA46B8" w:rsidP="00C01FFB">
      <w:pPr>
        <w:pStyle w:val="NormalWeb"/>
        <w:ind w:left="360"/>
        <w:jc w:val="both"/>
      </w:pPr>
      <w:r w:rsidRPr="00643C3B">
        <w:t xml:space="preserve">Styles, D., Schoenberger, H. and Galvez-Martos, J.L. (2015) ‘Water management in the European hospitality sector: Best practice, performance benchmarks and improvement potential’, </w:t>
      </w:r>
      <w:r w:rsidRPr="00643C3B">
        <w:rPr>
          <w:i/>
          <w:iCs/>
        </w:rPr>
        <w:t>Tourism Management</w:t>
      </w:r>
      <w:r w:rsidRPr="00643C3B">
        <w:t>, 46, pp. 187–202. doi:10.1016/j.tourman.2014.07.005.</w:t>
      </w:r>
    </w:p>
    <w:p w14:paraId="6B350E3D" w14:textId="77777777" w:rsidR="00DA46B8" w:rsidRPr="00643C3B" w:rsidRDefault="00DA46B8">
      <w:pPr>
        <w:pStyle w:val="NormalWeb"/>
        <w:ind w:left="360"/>
      </w:pPr>
    </w:p>
    <w:sectPr w:rsidR="00DA46B8" w:rsidRPr="00643C3B" w:rsidSect="00D5653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100DC"/>
    <w:multiLevelType w:val="hybridMultilevel"/>
    <w:tmpl w:val="466AC7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74EFF"/>
    <w:multiLevelType w:val="hybridMultilevel"/>
    <w:tmpl w:val="D470430E"/>
    <w:lvl w:ilvl="0" w:tplc="5B1CD856">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F9D1E97"/>
    <w:multiLevelType w:val="hybridMultilevel"/>
    <w:tmpl w:val="7DE0A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579E6"/>
    <w:multiLevelType w:val="multilevel"/>
    <w:tmpl w:val="9C782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3669AE"/>
    <w:multiLevelType w:val="hybridMultilevel"/>
    <w:tmpl w:val="3FA645A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A9D1416"/>
    <w:multiLevelType w:val="hybridMultilevel"/>
    <w:tmpl w:val="60D077C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65601FB"/>
    <w:multiLevelType w:val="hybridMultilevel"/>
    <w:tmpl w:val="B630E5F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18B08D0"/>
    <w:multiLevelType w:val="hybridMultilevel"/>
    <w:tmpl w:val="4450395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EA24828"/>
    <w:multiLevelType w:val="hybridMultilevel"/>
    <w:tmpl w:val="69F43B9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FA97C83"/>
    <w:multiLevelType w:val="hybridMultilevel"/>
    <w:tmpl w:val="25F4432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9964035">
    <w:abstractNumId w:val="9"/>
  </w:num>
  <w:num w:numId="2" w16cid:durableId="1313365159">
    <w:abstractNumId w:val="5"/>
  </w:num>
  <w:num w:numId="3" w16cid:durableId="867447951">
    <w:abstractNumId w:val="7"/>
  </w:num>
  <w:num w:numId="4" w16cid:durableId="1994721881">
    <w:abstractNumId w:val="4"/>
  </w:num>
  <w:num w:numId="5" w16cid:durableId="1682396957">
    <w:abstractNumId w:val="8"/>
  </w:num>
  <w:num w:numId="6" w16cid:durableId="536045116">
    <w:abstractNumId w:val="6"/>
  </w:num>
  <w:num w:numId="7" w16cid:durableId="741951229">
    <w:abstractNumId w:val="1"/>
  </w:num>
  <w:num w:numId="8" w16cid:durableId="288359113">
    <w:abstractNumId w:val="0"/>
  </w:num>
  <w:num w:numId="9" w16cid:durableId="1141310707">
    <w:abstractNumId w:val="2"/>
  </w:num>
  <w:num w:numId="10" w16cid:durableId="2091953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536"/>
    <w:rsid w:val="000059FC"/>
    <w:rsid w:val="00016348"/>
    <w:rsid w:val="00020591"/>
    <w:rsid w:val="00053BF8"/>
    <w:rsid w:val="00096954"/>
    <w:rsid w:val="000B4657"/>
    <w:rsid w:val="00120544"/>
    <w:rsid w:val="00122E6B"/>
    <w:rsid w:val="0020402B"/>
    <w:rsid w:val="00222084"/>
    <w:rsid w:val="00230879"/>
    <w:rsid w:val="002454FC"/>
    <w:rsid w:val="002B7673"/>
    <w:rsid w:val="002D6FEC"/>
    <w:rsid w:val="002E542F"/>
    <w:rsid w:val="002E590F"/>
    <w:rsid w:val="00300BE4"/>
    <w:rsid w:val="00326F3A"/>
    <w:rsid w:val="00346808"/>
    <w:rsid w:val="00390B54"/>
    <w:rsid w:val="003B0317"/>
    <w:rsid w:val="003E799C"/>
    <w:rsid w:val="00422EA8"/>
    <w:rsid w:val="00432861"/>
    <w:rsid w:val="00447AAB"/>
    <w:rsid w:val="004628E3"/>
    <w:rsid w:val="00470334"/>
    <w:rsid w:val="00473E42"/>
    <w:rsid w:val="0048395B"/>
    <w:rsid w:val="004972B3"/>
    <w:rsid w:val="004A0211"/>
    <w:rsid w:val="004F61DA"/>
    <w:rsid w:val="00500AB8"/>
    <w:rsid w:val="005339CF"/>
    <w:rsid w:val="00546BEB"/>
    <w:rsid w:val="00552CD6"/>
    <w:rsid w:val="00554692"/>
    <w:rsid w:val="005A079F"/>
    <w:rsid w:val="005C4F1F"/>
    <w:rsid w:val="005F49C3"/>
    <w:rsid w:val="0060537A"/>
    <w:rsid w:val="00621C52"/>
    <w:rsid w:val="00626956"/>
    <w:rsid w:val="00631208"/>
    <w:rsid w:val="00643C3B"/>
    <w:rsid w:val="00665062"/>
    <w:rsid w:val="00671BC9"/>
    <w:rsid w:val="00693DAF"/>
    <w:rsid w:val="006B32CB"/>
    <w:rsid w:val="006F1A00"/>
    <w:rsid w:val="006F58BF"/>
    <w:rsid w:val="006F593C"/>
    <w:rsid w:val="006F6F42"/>
    <w:rsid w:val="00764D84"/>
    <w:rsid w:val="00765386"/>
    <w:rsid w:val="007A72BF"/>
    <w:rsid w:val="007C26BA"/>
    <w:rsid w:val="008019F7"/>
    <w:rsid w:val="00810C15"/>
    <w:rsid w:val="008142BB"/>
    <w:rsid w:val="00830B4D"/>
    <w:rsid w:val="00830E08"/>
    <w:rsid w:val="00832878"/>
    <w:rsid w:val="00890BF2"/>
    <w:rsid w:val="008C0D6B"/>
    <w:rsid w:val="008D0491"/>
    <w:rsid w:val="008F01BC"/>
    <w:rsid w:val="00977D52"/>
    <w:rsid w:val="009807F4"/>
    <w:rsid w:val="009C07AE"/>
    <w:rsid w:val="009C22B5"/>
    <w:rsid w:val="009E2E03"/>
    <w:rsid w:val="009F00BF"/>
    <w:rsid w:val="009F3414"/>
    <w:rsid w:val="009F7983"/>
    <w:rsid w:val="00A160FE"/>
    <w:rsid w:val="00A47E49"/>
    <w:rsid w:val="00AB230D"/>
    <w:rsid w:val="00B02E8A"/>
    <w:rsid w:val="00B36804"/>
    <w:rsid w:val="00B45BA8"/>
    <w:rsid w:val="00B55CEF"/>
    <w:rsid w:val="00B664A9"/>
    <w:rsid w:val="00B80E85"/>
    <w:rsid w:val="00BA5289"/>
    <w:rsid w:val="00BB1FBF"/>
    <w:rsid w:val="00BB2F57"/>
    <w:rsid w:val="00BC510A"/>
    <w:rsid w:val="00C01FFB"/>
    <w:rsid w:val="00C02C75"/>
    <w:rsid w:val="00C15CF1"/>
    <w:rsid w:val="00C1686E"/>
    <w:rsid w:val="00C534CB"/>
    <w:rsid w:val="00C67892"/>
    <w:rsid w:val="00CB2A2E"/>
    <w:rsid w:val="00CC2F78"/>
    <w:rsid w:val="00CC38C4"/>
    <w:rsid w:val="00CC626A"/>
    <w:rsid w:val="00CC70C1"/>
    <w:rsid w:val="00CD66DA"/>
    <w:rsid w:val="00D45C25"/>
    <w:rsid w:val="00D56536"/>
    <w:rsid w:val="00D57D2E"/>
    <w:rsid w:val="00D92008"/>
    <w:rsid w:val="00DA1EE2"/>
    <w:rsid w:val="00DA46B8"/>
    <w:rsid w:val="00DA79A7"/>
    <w:rsid w:val="00DB10B4"/>
    <w:rsid w:val="00DB17E3"/>
    <w:rsid w:val="00DF7603"/>
    <w:rsid w:val="00E031DB"/>
    <w:rsid w:val="00E124C1"/>
    <w:rsid w:val="00E26C51"/>
    <w:rsid w:val="00E35ABC"/>
    <w:rsid w:val="00E54111"/>
    <w:rsid w:val="00E6589D"/>
    <w:rsid w:val="00E76402"/>
    <w:rsid w:val="00E860ED"/>
    <w:rsid w:val="00E9250A"/>
    <w:rsid w:val="00F2380A"/>
    <w:rsid w:val="00F311E3"/>
    <w:rsid w:val="00F53A6F"/>
    <w:rsid w:val="00F54576"/>
    <w:rsid w:val="00F87455"/>
    <w:rsid w:val="00FC3632"/>
    <w:rsid w:val="00FC59BE"/>
    <w:rsid w:val="00FD2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DE094"/>
  <w15:chartTrackingRefBased/>
  <w15:docId w15:val="{4D4F4661-2128-4BA9-8CF3-2A5983103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5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65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65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65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65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65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65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65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65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5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65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65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65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65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65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65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65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6536"/>
    <w:rPr>
      <w:rFonts w:eastAsiaTheme="majorEastAsia" w:cstheme="majorBidi"/>
      <w:color w:val="272727" w:themeColor="text1" w:themeTint="D8"/>
    </w:rPr>
  </w:style>
  <w:style w:type="paragraph" w:styleId="Title">
    <w:name w:val="Title"/>
    <w:basedOn w:val="Normal"/>
    <w:next w:val="Normal"/>
    <w:link w:val="TitleChar"/>
    <w:uiPriority w:val="10"/>
    <w:qFormat/>
    <w:rsid w:val="00D565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5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65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65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6536"/>
    <w:pPr>
      <w:spacing w:before="160"/>
      <w:jc w:val="center"/>
    </w:pPr>
    <w:rPr>
      <w:i/>
      <w:iCs/>
      <w:color w:val="404040" w:themeColor="text1" w:themeTint="BF"/>
    </w:rPr>
  </w:style>
  <w:style w:type="character" w:customStyle="1" w:styleId="QuoteChar">
    <w:name w:val="Quote Char"/>
    <w:basedOn w:val="DefaultParagraphFont"/>
    <w:link w:val="Quote"/>
    <w:uiPriority w:val="29"/>
    <w:rsid w:val="00D56536"/>
    <w:rPr>
      <w:i/>
      <w:iCs/>
      <w:color w:val="404040" w:themeColor="text1" w:themeTint="BF"/>
    </w:rPr>
  </w:style>
  <w:style w:type="paragraph" w:styleId="ListParagraph">
    <w:name w:val="List Paragraph"/>
    <w:basedOn w:val="Normal"/>
    <w:uiPriority w:val="34"/>
    <w:qFormat/>
    <w:rsid w:val="00D56536"/>
    <w:pPr>
      <w:ind w:left="720"/>
      <w:contextualSpacing/>
    </w:pPr>
  </w:style>
  <w:style w:type="character" w:styleId="IntenseEmphasis">
    <w:name w:val="Intense Emphasis"/>
    <w:basedOn w:val="DefaultParagraphFont"/>
    <w:uiPriority w:val="21"/>
    <w:qFormat/>
    <w:rsid w:val="00D56536"/>
    <w:rPr>
      <w:i/>
      <w:iCs/>
      <w:color w:val="0F4761" w:themeColor="accent1" w:themeShade="BF"/>
    </w:rPr>
  </w:style>
  <w:style w:type="paragraph" w:styleId="IntenseQuote">
    <w:name w:val="Intense Quote"/>
    <w:basedOn w:val="Normal"/>
    <w:next w:val="Normal"/>
    <w:link w:val="IntenseQuoteChar"/>
    <w:uiPriority w:val="30"/>
    <w:qFormat/>
    <w:rsid w:val="00D565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6536"/>
    <w:rPr>
      <w:i/>
      <w:iCs/>
      <w:color w:val="0F4761" w:themeColor="accent1" w:themeShade="BF"/>
    </w:rPr>
  </w:style>
  <w:style w:type="character" w:styleId="IntenseReference">
    <w:name w:val="Intense Reference"/>
    <w:basedOn w:val="DefaultParagraphFont"/>
    <w:uiPriority w:val="32"/>
    <w:qFormat/>
    <w:rsid w:val="00D56536"/>
    <w:rPr>
      <w:b/>
      <w:bCs/>
      <w:smallCaps/>
      <w:color w:val="0F4761" w:themeColor="accent1" w:themeShade="BF"/>
      <w:spacing w:val="5"/>
    </w:rPr>
  </w:style>
  <w:style w:type="character" w:styleId="Emphasis">
    <w:name w:val="Emphasis"/>
    <w:basedOn w:val="DefaultParagraphFont"/>
    <w:uiPriority w:val="20"/>
    <w:qFormat/>
    <w:rsid w:val="009F7983"/>
    <w:rPr>
      <w:i/>
      <w:iCs/>
    </w:rPr>
  </w:style>
  <w:style w:type="paragraph" w:styleId="NormalWeb">
    <w:name w:val="Normal (Web)"/>
    <w:basedOn w:val="Normal"/>
    <w:uiPriority w:val="99"/>
    <w:unhideWhenUsed/>
    <w:rsid w:val="009F79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A46B8"/>
    <w:rPr>
      <w:color w:val="467886" w:themeColor="hyperlink"/>
      <w:u w:val="single"/>
    </w:rPr>
  </w:style>
  <w:style w:type="character" w:styleId="UnresolvedMention">
    <w:name w:val="Unresolved Mention"/>
    <w:basedOn w:val="DefaultParagraphFont"/>
    <w:uiPriority w:val="99"/>
    <w:semiHidden/>
    <w:unhideWhenUsed/>
    <w:rsid w:val="00DA46B8"/>
    <w:rPr>
      <w:color w:val="605E5C"/>
      <w:shd w:val="clear" w:color="auto" w:fill="E1DFDD"/>
    </w:rPr>
  </w:style>
  <w:style w:type="character" w:styleId="Strong">
    <w:name w:val="Strong"/>
    <w:basedOn w:val="DefaultParagraphFont"/>
    <w:uiPriority w:val="22"/>
    <w:qFormat/>
    <w:rsid w:val="00E658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120502">
      <w:bodyDiv w:val="1"/>
      <w:marLeft w:val="0"/>
      <w:marRight w:val="0"/>
      <w:marTop w:val="0"/>
      <w:marBottom w:val="0"/>
      <w:divBdr>
        <w:top w:val="none" w:sz="0" w:space="0" w:color="auto"/>
        <w:left w:val="none" w:sz="0" w:space="0" w:color="auto"/>
        <w:bottom w:val="none" w:sz="0" w:space="0" w:color="auto"/>
        <w:right w:val="none" w:sz="0" w:space="0" w:color="auto"/>
      </w:divBdr>
    </w:div>
    <w:div w:id="177741914">
      <w:bodyDiv w:val="1"/>
      <w:marLeft w:val="0"/>
      <w:marRight w:val="0"/>
      <w:marTop w:val="0"/>
      <w:marBottom w:val="0"/>
      <w:divBdr>
        <w:top w:val="none" w:sz="0" w:space="0" w:color="auto"/>
        <w:left w:val="none" w:sz="0" w:space="0" w:color="auto"/>
        <w:bottom w:val="none" w:sz="0" w:space="0" w:color="auto"/>
        <w:right w:val="none" w:sz="0" w:space="0" w:color="auto"/>
      </w:divBdr>
    </w:div>
    <w:div w:id="210115420">
      <w:bodyDiv w:val="1"/>
      <w:marLeft w:val="0"/>
      <w:marRight w:val="0"/>
      <w:marTop w:val="0"/>
      <w:marBottom w:val="0"/>
      <w:divBdr>
        <w:top w:val="none" w:sz="0" w:space="0" w:color="auto"/>
        <w:left w:val="none" w:sz="0" w:space="0" w:color="auto"/>
        <w:bottom w:val="none" w:sz="0" w:space="0" w:color="auto"/>
        <w:right w:val="none" w:sz="0" w:space="0" w:color="auto"/>
      </w:divBdr>
    </w:div>
    <w:div w:id="518663204">
      <w:bodyDiv w:val="1"/>
      <w:marLeft w:val="0"/>
      <w:marRight w:val="0"/>
      <w:marTop w:val="0"/>
      <w:marBottom w:val="0"/>
      <w:divBdr>
        <w:top w:val="none" w:sz="0" w:space="0" w:color="auto"/>
        <w:left w:val="none" w:sz="0" w:space="0" w:color="auto"/>
        <w:bottom w:val="none" w:sz="0" w:space="0" w:color="auto"/>
        <w:right w:val="none" w:sz="0" w:space="0" w:color="auto"/>
      </w:divBdr>
    </w:div>
    <w:div w:id="610085927">
      <w:bodyDiv w:val="1"/>
      <w:marLeft w:val="0"/>
      <w:marRight w:val="0"/>
      <w:marTop w:val="0"/>
      <w:marBottom w:val="0"/>
      <w:divBdr>
        <w:top w:val="none" w:sz="0" w:space="0" w:color="auto"/>
        <w:left w:val="none" w:sz="0" w:space="0" w:color="auto"/>
        <w:bottom w:val="none" w:sz="0" w:space="0" w:color="auto"/>
        <w:right w:val="none" w:sz="0" w:space="0" w:color="auto"/>
      </w:divBdr>
    </w:div>
    <w:div w:id="660892902">
      <w:bodyDiv w:val="1"/>
      <w:marLeft w:val="0"/>
      <w:marRight w:val="0"/>
      <w:marTop w:val="0"/>
      <w:marBottom w:val="0"/>
      <w:divBdr>
        <w:top w:val="none" w:sz="0" w:space="0" w:color="auto"/>
        <w:left w:val="none" w:sz="0" w:space="0" w:color="auto"/>
        <w:bottom w:val="none" w:sz="0" w:space="0" w:color="auto"/>
        <w:right w:val="none" w:sz="0" w:space="0" w:color="auto"/>
      </w:divBdr>
    </w:div>
    <w:div w:id="685398800">
      <w:bodyDiv w:val="1"/>
      <w:marLeft w:val="0"/>
      <w:marRight w:val="0"/>
      <w:marTop w:val="0"/>
      <w:marBottom w:val="0"/>
      <w:divBdr>
        <w:top w:val="none" w:sz="0" w:space="0" w:color="auto"/>
        <w:left w:val="none" w:sz="0" w:space="0" w:color="auto"/>
        <w:bottom w:val="none" w:sz="0" w:space="0" w:color="auto"/>
        <w:right w:val="none" w:sz="0" w:space="0" w:color="auto"/>
      </w:divBdr>
    </w:div>
    <w:div w:id="935359556">
      <w:bodyDiv w:val="1"/>
      <w:marLeft w:val="0"/>
      <w:marRight w:val="0"/>
      <w:marTop w:val="0"/>
      <w:marBottom w:val="0"/>
      <w:divBdr>
        <w:top w:val="none" w:sz="0" w:space="0" w:color="auto"/>
        <w:left w:val="none" w:sz="0" w:space="0" w:color="auto"/>
        <w:bottom w:val="none" w:sz="0" w:space="0" w:color="auto"/>
        <w:right w:val="none" w:sz="0" w:space="0" w:color="auto"/>
      </w:divBdr>
    </w:div>
    <w:div w:id="983118411">
      <w:bodyDiv w:val="1"/>
      <w:marLeft w:val="0"/>
      <w:marRight w:val="0"/>
      <w:marTop w:val="0"/>
      <w:marBottom w:val="0"/>
      <w:divBdr>
        <w:top w:val="none" w:sz="0" w:space="0" w:color="auto"/>
        <w:left w:val="none" w:sz="0" w:space="0" w:color="auto"/>
        <w:bottom w:val="none" w:sz="0" w:space="0" w:color="auto"/>
        <w:right w:val="none" w:sz="0" w:space="0" w:color="auto"/>
      </w:divBdr>
    </w:div>
    <w:div w:id="1094476321">
      <w:bodyDiv w:val="1"/>
      <w:marLeft w:val="0"/>
      <w:marRight w:val="0"/>
      <w:marTop w:val="0"/>
      <w:marBottom w:val="0"/>
      <w:divBdr>
        <w:top w:val="none" w:sz="0" w:space="0" w:color="auto"/>
        <w:left w:val="none" w:sz="0" w:space="0" w:color="auto"/>
        <w:bottom w:val="none" w:sz="0" w:space="0" w:color="auto"/>
        <w:right w:val="none" w:sz="0" w:space="0" w:color="auto"/>
      </w:divBdr>
    </w:div>
    <w:div w:id="1489663632">
      <w:bodyDiv w:val="1"/>
      <w:marLeft w:val="0"/>
      <w:marRight w:val="0"/>
      <w:marTop w:val="0"/>
      <w:marBottom w:val="0"/>
      <w:divBdr>
        <w:top w:val="none" w:sz="0" w:space="0" w:color="auto"/>
        <w:left w:val="none" w:sz="0" w:space="0" w:color="auto"/>
        <w:bottom w:val="none" w:sz="0" w:space="0" w:color="auto"/>
        <w:right w:val="none" w:sz="0" w:space="0" w:color="auto"/>
      </w:divBdr>
    </w:div>
    <w:div w:id="1492407298">
      <w:bodyDiv w:val="1"/>
      <w:marLeft w:val="0"/>
      <w:marRight w:val="0"/>
      <w:marTop w:val="0"/>
      <w:marBottom w:val="0"/>
      <w:divBdr>
        <w:top w:val="none" w:sz="0" w:space="0" w:color="auto"/>
        <w:left w:val="none" w:sz="0" w:space="0" w:color="auto"/>
        <w:bottom w:val="none" w:sz="0" w:space="0" w:color="auto"/>
        <w:right w:val="none" w:sz="0" w:space="0" w:color="auto"/>
      </w:divBdr>
    </w:div>
    <w:div w:id="1689140721">
      <w:bodyDiv w:val="1"/>
      <w:marLeft w:val="0"/>
      <w:marRight w:val="0"/>
      <w:marTop w:val="0"/>
      <w:marBottom w:val="0"/>
      <w:divBdr>
        <w:top w:val="none" w:sz="0" w:space="0" w:color="auto"/>
        <w:left w:val="none" w:sz="0" w:space="0" w:color="auto"/>
        <w:bottom w:val="none" w:sz="0" w:space="0" w:color="auto"/>
        <w:right w:val="none" w:sz="0" w:space="0" w:color="auto"/>
      </w:divBdr>
    </w:div>
    <w:div w:id="1879900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sg.hilton.com/wp-content/uploads/sites/4/2023/04/Hilton-2022-Environmental-Socia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508</TotalTime>
  <Pages>13</Pages>
  <Words>3909</Words>
  <Characters>22282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 Shafi (2228093)</dc:creator>
  <cp:keywords/>
  <dc:description/>
  <cp:lastModifiedBy>Nasrin Shafi (2228093)</cp:lastModifiedBy>
  <cp:revision>111</cp:revision>
  <dcterms:created xsi:type="dcterms:W3CDTF">2024-11-04T17:18:00Z</dcterms:created>
  <dcterms:modified xsi:type="dcterms:W3CDTF">2024-11-14T00:14:00Z</dcterms:modified>
</cp:coreProperties>
</file>