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60D8E" w:rsidRDefault="00360D8E">
      <w:pPr>
        <w:pStyle w:val="normal0"/>
        <w:spacing w:line="360" w:lineRule="auto"/>
        <w:jc w:val="center"/>
        <w:rPr>
          <w:rFonts w:ascii="Times New Roman" w:eastAsia="Times New Roman" w:hAnsi="Times New Roman" w:cs="Times New Roman"/>
          <w:b/>
          <w:sz w:val="32"/>
          <w:szCs w:val="32"/>
          <w:lang w:val="en-GB"/>
        </w:rPr>
      </w:pPr>
    </w:p>
    <w:p w:rsidR="00360D8E" w:rsidRDefault="00360D8E">
      <w:pPr>
        <w:pStyle w:val="normal0"/>
        <w:spacing w:line="360" w:lineRule="auto"/>
        <w:jc w:val="center"/>
        <w:rPr>
          <w:rFonts w:ascii="Times New Roman" w:eastAsia="Times New Roman" w:hAnsi="Times New Roman" w:cs="Times New Roman"/>
          <w:b/>
          <w:sz w:val="32"/>
          <w:szCs w:val="32"/>
          <w:lang w:val="en-GB"/>
        </w:rPr>
      </w:pPr>
    </w:p>
    <w:p w:rsidR="00360D8E" w:rsidRDefault="00360D8E">
      <w:pPr>
        <w:pStyle w:val="normal0"/>
        <w:spacing w:line="360" w:lineRule="auto"/>
        <w:jc w:val="center"/>
        <w:rPr>
          <w:rFonts w:ascii="Times New Roman" w:eastAsia="Times New Roman" w:hAnsi="Times New Roman" w:cs="Times New Roman"/>
          <w:b/>
          <w:sz w:val="32"/>
          <w:szCs w:val="32"/>
          <w:lang w:val="en-GB"/>
        </w:rPr>
      </w:pPr>
    </w:p>
    <w:p w:rsidR="00360D8E" w:rsidRDefault="00360D8E">
      <w:pPr>
        <w:pStyle w:val="normal0"/>
        <w:spacing w:line="360" w:lineRule="auto"/>
        <w:jc w:val="center"/>
        <w:rPr>
          <w:rFonts w:ascii="Times New Roman" w:eastAsia="Times New Roman" w:hAnsi="Times New Roman" w:cs="Times New Roman"/>
          <w:b/>
          <w:sz w:val="32"/>
          <w:szCs w:val="32"/>
          <w:lang w:val="en-GB"/>
        </w:rPr>
      </w:pPr>
    </w:p>
    <w:p w:rsidR="00360D8E" w:rsidRDefault="00360D8E">
      <w:pPr>
        <w:pStyle w:val="normal0"/>
        <w:spacing w:line="360" w:lineRule="auto"/>
        <w:jc w:val="center"/>
        <w:rPr>
          <w:rFonts w:ascii="Times New Roman" w:eastAsia="Times New Roman" w:hAnsi="Times New Roman" w:cs="Times New Roman"/>
          <w:b/>
          <w:sz w:val="32"/>
          <w:szCs w:val="32"/>
          <w:lang w:val="en-GB"/>
        </w:rPr>
      </w:pPr>
    </w:p>
    <w:p w:rsidR="002D318C" w:rsidRDefault="0000550D">
      <w:pPr>
        <w:pStyle w:val="normal0"/>
        <w:spacing w:line="360" w:lineRule="auto"/>
        <w:jc w:val="center"/>
        <w:rPr>
          <w:rFonts w:ascii="Times New Roman" w:eastAsia="Times New Roman" w:hAnsi="Times New Roman" w:cs="Times New Roman"/>
          <w:b/>
          <w:sz w:val="32"/>
          <w:szCs w:val="32"/>
          <w:lang w:val="en-GB"/>
        </w:rPr>
      </w:pPr>
      <w:r w:rsidRPr="00101C15">
        <w:rPr>
          <w:rFonts w:ascii="Times New Roman" w:eastAsia="Times New Roman" w:hAnsi="Times New Roman" w:cs="Times New Roman"/>
          <w:b/>
          <w:sz w:val="32"/>
          <w:szCs w:val="32"/>
          <w:lang w:val="en-GB"/>
        </w:rPr>
        <w:t xml:space="preserve">COMMON LAW </w:t>
      </w:r>
    </w:p>
    <w:p w:rsidR="002D318C" w:rsidRDefault="002D318C">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rPr>
        <w:id w:val="15783552"/>
        <w:docPartObj>
          <w:docPartGallery w:val="Table of Contents"/>
          <w:docPartUnique/>
        </w:docPartObj>
      </w:sdtPr>
      <w:sdtContent>
        <w:p w:rsidR="002D318C" w:rsidRPr="002D318C" w:rsidRDefault="002D318C" w:rsidP="002D318C">
          <w:pPr>
            <w:pStyle w:val="TOCHeading"/>
            <w:spacing w:line="360" w:lineRule="auto"/>
            <w:jc w:val="center"/>
            <w:rPr>
              <w:rFonts w:ascii="Times New Roman" w:hAnsi="Times New Roman" w:cs="Times New Roman"/>
              <w:color w:val="auto"/>
              <w:sz w:val="24"/>
              <w:szCs w:val="24"/>
            </w:rPr>
          </w:pPr>
          <w:r w:rsidRPr="002D318C">
            <w:rPr>
              <w:rFonts w:ascii="Times New Roman" w:hAnsi="Times New Roman" w:cs="Times New Roman"/>
              <w:color w:val="auto"/>
              <w:sz w:val="24"/>
              <w:szCs w:val="24"/>
            </w:rPr>
            <w:t>Table of Contents</w:t>
          </w:r>
        </w:p>
        <w:p w:rsidR="002D318C" w:rsidRPr="002D318C" w:rsidRDefault="005D32A2" w:rsidP="002D318C">
          <w:pPr>
            <w:pStyle w:val="TOC1"/>
            <w:tabs>
              <w:tab w:val="right" w:leader="dot" w:pos="9019"/>
            </w:tabs>
            <w:spacing w:line="360" w:lineRule="auto"/>
            <w:jc w:val="both"/>
            <w:rPr>
              <w:rFonts w:ascii="Times New Roman" w:hAnsi="Times New Roman" w:cs="Times New Roman"/>
              <w:noProof/>
              <w:sz w:val="24"/>
              <w:szCs w:val="24"/>
            </w:rPr>
          </w:pPr>
          <w:r w:rsidRPr="002D318C">
            <w:rPr>
              <w:rFonts w:ascii="Times New Roman" w:hAnsi="Times New Roman" w:cs="Times New Roman"/>
              <w:sz w:val="24"/>
              <w:szCs w:val="24"/>
            </w:rPr>
            <w:fldChar w:fldCharType="begin"/>
          </w:r>
          <w:r w:rsidR="002D318C" w:rsidRPr="002D318C">
            <w:rPr>
              <w:rFonts w:ascii="Times New Roman" w:hAnsi="Times New Roman" w:cs="Times New Roman"/>
              <w:sz w:val="24"/>
              <w:szCs w:val="24"/>
            </w:rPr>
            <w:instrText xml:space="preserve"> TOC \o "1-3" \h \z \u </w:instrText>
          </w:r>
          <w:r w:rsidRPr="002D318C">
            <w:rPr>
              <w:rFonts w:ascii="Times New Roman" w:hAnsi="Times New Roman" w:cs="Times New Roman"/>
              <w:sz w:val="24"/>
              <w:szCs w:val="24"/>
            </w:rPr>
            <w:fldChar w:fldCharType="separate"/>
          </w:r>
          <w:hyperlink w:anchor="_Toc129282454" w:history="1">
            <w:r w:rsidR="002D318C" w:rsidRPr="002D318C">
              <w:rPr>
                <w:rStyle w:val="Hyperlink"/>
                <w:rFonts w:ascii="Times New Roman" w:hAnsi="Times New Roman" w:cs="Times New Roman"/>
                <w:noProof/>
                <w:color w:val="auto"/>
                <w:sz w:val="24"/>
                <w:szCs w:val="24"/>
              </w:rPr>
              <w:t>Introduction</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_Toc129282454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3</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1"/>
            <w:tabs>
              <w:tab w:val="right" w:leader="dot" w:pos="9019"/>
            </w:tabs>
            <w:spacing w:line="360" w:lineRule="auto"/>
            <w:jc w:val="both"/>
            <w:rPr>
              <w:rFonts w:ascii="Times New Roman" w:hAnsi="Times New Roman" w:cs="Times New Roman"/>
              <w:noProof/>
              <w:sz w:val="24"/>
              <w:szCs w:val="24"/>
            </w:rPr>
          </w:pPr>
          <w:hyperlink w:anchor="_Toc129282455" w:history="1">
            <w:r w:rsidR="002D318C" w:rsidRPr="002D318C">
              <w:rPr>
                <w:rStyle w:val="Hyperlink"/>
                <w:rFonts w:ascii="Times New Roman" w:hAnsi="Times New Roman" w:cs="Times New Roman"/>
                <w:noProof/>
                <w:color w:val="auto"/>
                <w:sz w:val="24"/>
                <w:szCs w:val="24"/>
              </w:rPr>
              <w:t>Main body</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_Toc129282455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3</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2"/>
            <w:tabs>
              <w:tab w:val="right" w:leader="dot" w:pos="9019"/>
            </w:tabs>
            <w:spacing w:line="360" w:lineRule="auto"/>
            <w:jc w:val="both"/>
            <w:rPr>
              <w:rFonts w:ascii="Times New Roman" w:hAnsi="Times New Roman" w:cs="Times New Roman"/>
              <w:noProof/>
              <w:sz w:val="24"/>
              <w:szCs w:val="24"/>
            </w:rPr>
          </w:pPr>
          <w:hyperlink w:anchor="_Toc129282456" w:history="1">
            <w:r w:rsidR="002D318C" w:rsidRPr="002D318C">
              <w:rPr>
                <w:rStyle w:val="Hyperlink"/>
                <w:rFonts w:ascii="Times New Roman" w:hAnsi="Times New Roman" w:cs="Times New Roman"/>
                <w:noProof/>
                <w:color w:val="auto"/>
                <w:sz w:val="24"/>
                <w:szCs w:val="24"/>
              </w:rPr>
              <w:t>Common Law</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_Toc129282456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3</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2"/>
            <w:tabs>
              <w:tab w:val="right" w:leader="dot" w:pos="9019"/>
            </w:tabs>
            <w:spacing w:line="360" w:lineRule="auto"/>
            <w:jc w:val="both"/>
            <w:rPr>
              <w:rFonts w:ascii="Times New Roman" w:hAnsi="Times New Roman" w:cs="Times New Roman"/>
              <w:noProof/>
              <w:sz w:val="24"/>
              <w:szCs w:val="24"/>
            </w:rPr>
          </w:pPr>
          <w:hyperlink w:anchor="_Toc129282457" w:history="1">
            <w:r w:rsidR="002D318C" w:rsidRPr="002D318C">
              <w:rPr>
                <w:rStyle w:val="Hyperlink"/>
                <w:rFonts w:ascii="Times New Roman" w:hAnsi="Times New Roman" w:cs="Times New Roman"/>
                <w:noProof/>
                <w:color w:val="auto"/>
                <w:sz w:val="24"/>
                <w:szCs w:val="24"/>
              </w:rPr>
              <w:t>Civil Law</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_Toc129282457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4</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2"/>
            <w:tabs>
              <w:tab w:val="right" w:leader="dot" w:pos="9019"/>
            </w:tabs>
            <w:spacing w:line="360" w:lineRule="auto"/>
            <w:jc w:val="both"/>
            <w:rPr>
              <w:rFonts w:ascii="Times New Roman" w:hAnsi="Times New Roman" w:cs="Times New Roman"/>
              <w:noProof/>
              <w:sz w:val="24"/>
              <w:szCs w:val="24"/>
            </w:rPr>
          </w:pPr>
          <w:hyperlink w:anchor="_Toc129282458" w:history="1">
            <w:r w:rsidR="002D318C" w:rsidRPr="002D318C">
              <w:rPr>
                <w:rStyle w:val="Hyperlink"/>
                <w:rFonts w:ascii="Times New Roman" w:hAnsi="Times New Roman" w:cs="Times New Roman"/>
                <w:noProof/>
                <w:color w:val="auto"/>
                <w:sz w:val="24"/>
                <w:szCs w:val="24"/>
              </w:rPr>
              <w:t>Contrast between Common law and Civil law systems</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_Toc129282458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4</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2"/>
            <w:tabs>
              <w:tab w:val="right" w:leader="dot" w:pos="9019"/>
            </w:tabs>
            <w:spacing w:line="360" w:lineRule="auto"/>
            <w:jc w:val="both"/>
            <w:rPr>
              <w:rFonts w:ascii="Times New Roman" w:hAnsi="Times New Roman" w:cs="Times New Roman"/>
              <w:noProof/>
              <w:sz w:val="24"/>
              <w:szCs w:val="24"/>
            </w:rPr>
          </w:pPr>
          <w:hyperlink w:anchor="_Toc129282459" w:history="1">
            <w:r w:rsidR="002D318C" w:rsidRPr="002D318C">
              <w:rPr>
                <w:rStyle w:val="Hyperlink"/>
                <w:rFonts w:ascii="Times New Roman" w:hAnsi="Times New Roman" w:cs="Times New Roman"/>
                <w:noProof/>
                <w:color w:val="auto"/>
                <w:sz w:val="24"/>
                <w:szCs w:val="24"/>
              </w:rPr>
              <w:t>Outline of history of common law</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_Toc129282459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5</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2"/>
            <w:tabs>
              <w:tab w:val="right" w:leader="dot" w:pos="9019"/>
            </w:tabs>
            <w:spacing w:line="360" w:lineRule="auto"/>
            <w:jc w:val="both"/>
            <w:rPr>
              <w:rFonts w:ascii="Times New Roman" w:hAnsi="Times New Roman" w:cs="Times New Roman"/>
              <w:noProof/>
              <w:sz w:val="24"/>
              <w:szCs w:val="24"/>
            </w:rPr>
          </w:pPr>
          <w:hyperlink w:anchor="_Toc129282460" w:history="1">
            <w:r w:rsidR="002D318C" w:rsidRPr="002D318C">
              <w:rPr>
                <w:rStyle w:val="Hyperlink"/>
                <w:rFonts w:ascii="Times New Roman" w:hAnsi="Times New Roman" w:cs="Times New Roman"/>
                <w:noProof/>
                <w:color w:val="auto"/>
                <w:sz w:val="24"/>
                <w:szCs w:val="24"/>
              </w:rPr>
              <w:t>Examples of common law in working practices</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_Toc129282460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5</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1"/>
            <w:tabs>
              <w:tab w:val="right" w:leader="dot" w:pos="9019"/>
            </w:tabs>
            <w:spacing w:line="360" w:lineRule="auto"/>
            <w:jc w:val="both"/>
            <w:rPr>
              <w:rFonts w:ascii="Times New Roman" w:hAnsi="Times New Roman" w:cs="Times New Roman"/>
              <w:noProof/>
              <w:sz w:val="24"/>
              <w:szCs w:val="24"/>
            </w:rPr>
          </w:pPr>
          <w:hyperlink w:anchor="_Toc129282461" w:history="1">
            <w:r w:rsidR="002D318C" w:rsidRPr="002D318C">
              <w:rPr>
                <w:rStyle w:val="Hyperlink"/>
                <w:rFonts w:ascii="Times New Roman" w:hAnsi="Times New Roman" w:cs="Times New Roman"/>
                <w:noProof/>
                <w:color w:val="auto"/>
                <w:sz w:val="24"/>
                <w:szCs w:val="24"/>
              </w:rPr>
              <w:t>Conclusion</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_Toc129282461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6</w:t>
            </w:r>
            <w:r w:rsidRPr="002D318C">
              <w:rPr>
                <w:rFonts w:ascii="Times New Roman" w:hAnsi="Times New Roman" w:cs="Times New Roman"/>
                <w:noProof/>
                <w:webHidden/>
                <w:sz w:val="24"/>
                <w:szCs w:val="24"/>
              </w:rPr>
              <w:fldChar w:fldCharType="end"/>
            </w:r>
          </w:hyperlink>
        </w:p>
        <w:p w:rsidR="002D318C" w:rsidRPr="002D318C" w:rsidRDefault="005D32A2" w:rsidP="002D318C">
          <w:pPr>
            <w:pStyle w:val="TOC1"/>
            <w:tabs>
              <w:tab w:val="right" w:leader="dot" w:pos="9019"/>
            </w:tabs>
            <w:spacing w:line="360" w:lineRule="auto"/>
            <w:jc w:val="both"/>
            <w:rPr>
              <w:rFonts w:ascii="Times New Roman" w:hAnsi="Times New Roman" w:cs="Times New Roman"/>
              <w:noProof/>
              <w:sz w:val="24"/>
              <w:szCs w:val="24"/>
            </w:rPr>
          </w:pPr>
          <w:hyperlink w:anchor="_Toc129282462" w:history="1">
            <w:r w:rsidR="002D318C" w:rsidRPr="002D318C">
              <w:rPr>
                <w:rStyle w:val="Hyperlink"/>
                <w:rFonts w:ascii="Times New Roman" w:hAnsi="Times New Roman" w:cs="Times New Roman"/>
                <w:noProof/>
                <w:color w:val="auto"/>
                <w:sz w:val="24"/>
                <w:szCs w:val="24"/>
              </w:rPr>
              <w:t>References</w:t>
            </w:r>
            <w:r w:rsidR="002D318C" w:rsidRPr="002D318C">
              <w:rPr>
                <w:rFonts w:ascii="Times New Roman" w:hAnsi="Times New Roman" w:cs="Times New Roman"/>
                <w:noProof/>
                <w:webHidden/>
                <w:sz w:val="24"/>
                <w:szCs w:val="24"/>
              </w:rPr>
              <w:tab/>
            </w:r>
            <w:r w:rsidRPr="002D318C">
              <w:rPr>
                <w:rFonts w:ascii="Times New Roman" w:hAnsi="Times New Roman" w:cs="Times New Roman"/>
                <w:noProof/>
                <w:webHidden/>
                <w:sz w:val="24"/>
                <w:szCs w:val="24"/>
              </w:rPr>
              <w:fldChar w:fldCharType="begin"/>
            </w:r>
            <w:r w:rsidR="002D318C" w:rsidRPr="002D318C">
              <w:rPr>
                <w:rFonts w:ascii="Times New Roman" w:hAnsi="Times New Roman" w:cs="Times New Roman"/>
                <w:noProof/>
                <w:webHidden/>
                <w:sz w:val="24"/>
                <w:szCs w:val="24"/>
              </w:rPr>
              <w:instrText xml:space="preserve"> PAGEREF _Toc129282462 \h </w:instrText>
            </w:r>
            <w:r w:rsidRPr="002D318C">
              <w:rPr>
                <w:rFonts w:ascii="Times New Roman" w:hAnsi="Times New Roman" w:cs="Times New Roman"/>
                <w:noProof/>
                <w:webHidden/>
                <w:sz w:val="24"/>
                <w:szCs w:val="24"/>
              </w:rPr>
            </w:r>
            <w:r w:rsidRPr="002D318C">
              <w:rPr>
                <w:rFonts w:ascii="Times New Roman" w:hAnsi="Times New Roman" w:cs="Times New Roman"/>
                <w:noProof/>
                <w:webHidden/>
                <w:sz w:val="24"/>
                <w:szCs w:val="24"/>
              </w:rPr>
              <w:fldChar w:fldCharType="separate"/>
            </w:r>
            <w:r w:rsidR="002D318C" w:rsidRPr="002D318C">
              <w:rPr>
                <w:rFonts w:ascii="Times New Roman" w:hAnsi="Times New Roman" w:cs="Times New Roman"/>
                <w:noProof/>
                <w:webHidden/>
                <w:sz w:val="24"/>
                <w:szCs w:val="24"/>
              </w:rPr>
              <w:t>7</w:t>
            </w:r>
            <w:r w:rsidRPr="002D318C">
              <w:rPr>
                <w:rFonts w:ascii="Times New Roman" w:hAnsi="Times New Roman" w:cs="Times New Roman"/>
                <w:noProof/>
                <w:webHidden/>
                <w:sz w:val="24"/>
                <w:szCs w:val="24"/>
              </w:rPr>
              <w:fldChar w:fldCharType="end"/>
            </w:r>
          </w:hyperlink>
        </w:p>
        <w:p w:rsidR="002D318C" w:rsidRDefault="005D32A2" w:rsidP="002D318C">
          <w:pPr>
            <w:spacing w:line="360" w:lineRule="auto"/>
            <w:jc w:val="both"/>
          </w:pPr>
          <w:r w:rsidRPr="002D318C">
            <w:rPr>
              <w:rFonts w:ascii="Times New Roman" w:hAnsi="Times New Roman" w:cs="Times New Roman"/>
              <w:sz w:val="24"/>
              <w:szCs w:val="24"/>
            </w:rPr>
            <w:fldChar w:fldCharType="end"/>
          </w:r>
        </w:p>
      </w:sdtContent>
    </w:sdt>
    <w:p w:rsidR="00881FEC" w:rsidRPr="00101C15" w:rsidRDefault="00881FEC">
      <w:pPr>
        <w:pStyle w:val="normal0"/>
        <w:spacing w:line="360" w:lineRule="auto"/>
        <w:jc w:val="center"/>
        <w:rPr>
          <w:rFonts w:ascii="Times New Roman" w:eastAsia="Times New Roman" w:hAnsi="Times New Roman" w:cs="Times New Roman"/>
          <w:b/>
          <w:sz w:val="32"/>
          <w:szCs w:val="32"/>
          <w:lang w:val="en-GB"/>
        </w:rPr>
      </w:pPr>
    </w:p>
    <w:p w:rsidR="00101C15" w:rsidRDefault="00101C15">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rsidR="00881FEC" w:rsidRPr="00101C15" w:rsidRDefault="0000550D" w:rsidP="00101C15">
      <w:pPr>
        <w:pStyle w:val="Heading1"/>
      </w:pPr>
      <w:bookmarkStart w:id="0" w:name="_Toc129282454"/>
      <w:r w:rsidRPr="00101C15">
        <w:lastRenderedPageBreak/>
        <w:t>Introduction</w:t>
      </w:r>
      <w:bookmarkEnd w:id="0"/>
      <w:r w:rsidRPr="00101C15">
        <w:t xml:space="preserve">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Laws are developed as an instrument for maintaining a control over human behaviour within a society that is civilised in nature. Scientific laws are developed through observation of various occurrences of universe. However, legislative laws are defined as well as implemented through human intervention. Changes are also made in these laws through human interventions according to requirements defined by people for a specific law. There are different sources of laws including primary sources such as legislations and case laws along with secondary sources such as decisions of courts. These laws are broadly classified in two different categories such as Common law and Civil law. This essay includes discussion on these forms of laws and construct of English legal system. The thesis statement is going to emphasis </w:t>
      </w:r>
      <w:r w:rsidR="00360D8E" w:rsidRPr="00101C15">
        <w:rPr>
          <w:rFonts w:ascii="Times New Roman" w:eastAsia="Times New Roman" w:hAnsi="Times New Roman" w:cs="Times New Roman"/>
          <w:sz w:val="24"/>
          <w:szCs w:val="24"/>
          <w:lang w:val="en-GB"/>
        </w:rPr>
        <w:t>on “</w:t>
      </w:r>
      <w:r w:rsidRPr="00101C15">
        <w:rPr>
          <w:rFonts w:ascii="Times New Roman" w:eastAsia="Times New Roman" w:hAnsi="Times New Roman" w:cs="Times New Roman"/>
          <w:sz w:val="24"/>
          <w:szCs w:val="24"/>
          <w:lang w:val="en-GB"/>
        </w:rPr>
        <w:t xml:space="preserve">Principles of Common Law constructed legal system of United Kingdom”. </w:t>
      </w:r>
    </w:p>
    <w:p w:rsidR="00881FEC" w:rsidRPr="00101C15" w:rsidRDefault="0000550D" w:rsidP="00101C15">
      <w:pPr>
        <w:pStyle w:val="Heading1"/>
      </w:pPr>
      <w:bookmarkStart w:id="1" w:name="_Toc129282455"/>
      <w:r w:rsidRPr="00101C15">
        <w:t>Main body</w:t>
      </w:r>
      <w:bookmarkEnd w:id="1"/>
    </w:p>
    <w:p w:rsidR="00881FEC" w:rsidRPr="00101C15" w:rsidRDefault="0000550D" w:rsidP="00101C15">
      <w:pPr>
        <w:pStyle w:val="Heading2"/>
      </w:pPr>
      <w:bookmarkStart w:id="2" w:name="_Toc129282456"/>
      <w:r w:rsidRPr="00101C15">
        <w:t>Common Law</w:t>
      </w:r>
      <w:bookmarkEnd w:id="2"/>
      <w:r w:rsidRPr="00101C15">
        <w:t xml:space="preserve">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Origination of common law can be identified to be from custom as well as precedent and judges are responsible for declaring such laws. This type of law is known as common law as these laws are applicable in an equal manner throughout the country. Courts follow “The Doctrine of binding precedent</w:t>
      </w:r>
      <w:r w:rsidR="00360D8E" w:rsidRPr="00101C15">
        <w:rPr>
          <w:rFonts w:ascii="Times New Roman" w:eastAsia="Times New Roman" w:hAnsi="Times New Roman" w:cs="Times New Roman"/>
          <w:sz w:val="24"/>
          <w:szCs w:val="24"/>
          <w:lang w:val="en-GB"/>
        </w:rPr>
        <w:t>”, which</w:t>
      </w:r>
      <w:r w:rsidRPr="00101C15">
        <w:rPr>
          <w:rFonts w:ascii="Times New Roman" w:eastAsia="Times New Roman" w:hAnsi="Times New Roman" w:cs="Times New Roman"/>
          <w:sz w:val="24"/>
          <w:szCs w:val="24"/>
          <w:lang w:val="en-GB"/>
        </w:rPr>
        <w:t xml:space="preserve"> are declared by other courts in preceding cases (The Incorporated Council of Law Reporting for England &amp; Wales, 2023). Substantive rules as well as procedural rules both are covered under common laws. Substance rules are associated with offences such as for criminal act of murders. On the other hand, procedural rules apply to instances such as procedural rules of courts that have been derived from jurisdiction of a court.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Legislations can be implemented for superseding or replacing a common law and this condition is known as trumping. For instance, “Theft Act 1968, 1978” have been implemented for replacing common laws associated with acts of larceny (The Incorporated Council of Law Reporting for England &amp; Wales, 2023). Extent of judges for making reforms on common laws based on statutes is limited and in such cases changes in laws can be made by parliament. Old legislations that are outdated can be changed through a process of consultation as well as research performed by “Law Commission” (</w:t>
      </w:r>
      <w:r w:rsidRPr="00101C15">
        <w:rPr>
          <w:rFonts w:ascii="Times New Roman" w:eastAsia="Times New Roman" w:hAnsi="Times New Roman" w:cs="Times New Roman"/>
          <w:color w:val="222222"/>
          <w:sz w:val="24"/>
          <w:szCs w:val="24"/>
          <w:highlight w:val="white"/>
          <w:lang w:val="en-GB"/>
        </w:rPr>
        <w:t>Pfander and Wentzel, 2019, p.19)</w:t>
      </w:r>
      <w:r w:rsidRPr="00101C15">
        <w:rPr>
          <w:rFonts w:ascii="Times New Roman" w:eastAsia="Times New Roman" w:hAnsi="Times New Roman" w:cs="Times New Roman"/>
          <w:sz w:val="24"/>
          <w:szCs w:val="24"/>
          <w:lang w:val="en-GB"/>
        </w:rPr>
        <w:t xml:space="preserve">. This commission was developed for reviewing existing laws to identify their efficiency and proposing new reforms to existing legislations. These common laws cover a large extent of legal system of UK and courts are responsible for keeping these laws relevant to changing human behaviour. Analysis and research prior to implementation of a reform in </w:t>
      </w:r>
      <w:r w:rsidRPr="00101C15">
        <w:rPr>
          <w:rFonts w:ascii="Times New Roman" w:eastAsia="Times New Roman" w:hAnsi="Times New Roman" w:cs="Times New Roman"/>
          <w:sz w:val="24"/>
          <w:szCs w:val="24"/>
          <w:lang w:val="en-GB"/>
        </w:rPr>
        <w:lastRenderedPageBreak/>
        <w:t xml:space="preserve">existing laws provides “Law Commission” with an opportunity of making efficient reforms in common laws. </w:t>
      </w:r>
    </w:p>
    <w:p w:rsidR="00881FEC" w:rsidRPr="00101C15" w:rsidRDefault="0000550D" w:rsidP="00101C15">
      <w:pPr>
        <w:pStyle w:val="Heading2"/>
      </w:pPr>
      <w:bookmarkStart w:id="3" w:name="_Toc129282457"/>
      <w:r w:rsidRPr="00101C15">
        <w:t>Civil Law</w:t>
      </w:r>
      <w:bookmarkEnd w:id="3"/>
      <w:r w:rsidRPr="00101C15">
        <w:t xml:space="preserve">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Civil laws vary significantly from common laws and are associated with jurisdiction over rights as well as properties under possession of individuals or organisations. Concerns that are not provided with protection under criminal laws are covered through Civil laws. </w:t>
      </w:r>
      <w:r w:rsidR="00101C15" w:rsidRPr="00101C15">
        <w:rPr>
          <w:rFonts w:ascii="Times New Roman" w:eastAsia="Times New Roman" w:hAnsi="Times New Roman" w:cs="Times New Roman"/>
          <w:sz w:val="24"/>
          <w:szCs w:val="24"/>
          <w:lang w:val="en-GB"/>
        </w:rPr>
        <w:t>Disputes taking place between individuals and organisations are resolved through Civil laws and as a result of this compensation are</w:t>
      </w:r>
      <w:r w:rsidRPr="00101C15">
        <w:rPr>
          <w:rFonts w:ascii="Times New Roman" w:eastAsia="Times New Roman" w:hAnsi="Times New Roman" w:cs="Times New Roman"/>
          <w:sz w:val="24"/>
          <w:szCs w:val="24"/>
          <w:lang w:val="en-GB"/>
        </w:rPr>
        <w:t xml:space="preserve"> awarded to victims (Slater Gordon, 2023). Penalties for offences under civil laws do not require imprisonment and are settled through compensations. Family disputes associated with civil laws include instances such as divorce, arrangements of child care and civil partnerships. Instances of personal injuries such as road accidents or results of clinical negligence are covered under protection of civil laws. Other civil affairs covered under civil laws include breach of contracts as well as instances of employment. Any </w:t>
      </w:r>
      <w:r w:rsidR="00101C15" w:rsidRPr="00101C15">
        <w:rPr>
          <w:rFonts w:ascii="Times New Roman" w:eastAsia="Times New Roman" w:hAnsi="Times New Roman" w:cs="Times New Roman"/>
          <w:sz w:val="24"/>
          <w:szCs w:val="24"/>
          <w:lang w:val="en-GB"/>
        </w:rPr>
        <w:t>instances such as discrimination towards an employee are</w:t>
      </w:r>
      <w:r w:rsidRPr="00101C15">
        <w:rPr>
          <w:rFonts w:ascii="Times New Roman" w:eastAsia="Times New Roman" w:hAnsi="Times New Roman" w:cs="Times New Roman"/>
          <w:sz w:val="24"/>
          <w:szCs w:val="24"/>
          <w:lang w:val="en-GB"/>
        </w:rPr>
        <w:t xml:space="preserve"> covered under civil laws and compensation is provided to such employees upon identification of the situation faced by them.</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Civil laws are aimed at establishing responsibilities of an individual or organisation for fulfilling certain duties. Person or organisation making a claim for violation of a duty is known as claimant and person or individual accused of such violation is known as defendant. Civil laws play a crucial role in protecting rights of individuals as well as interests of organisations as every functional aspect of an organisation is not covered under common laws (</w:t>
      </w:r>
      <w:r w:rsidRPr="00101C15">
        <w:rPr>
          <w:rFonts w:ascii="Times New Roman" w:eastAsia="Times New Roman" w:hAnsi="Times New Roman" w:cs="Times New Roman"/>
          <w:color w:val="222222"/>
          <w:sz w:val="24"/>
          <w:szCs w:val="24"/>
          <w:highlight w:val="white"/>
          <w:lang w:val="en-GB"/>
        </w:rPr>
        <w:t>Tamimi, 2022, p.1520)</w:t>
      </w:r>
      <w:r w:rsidRPr="00101C15">
        <w:rPr>
          <w:rFonts w:ascii="Times New Roman" w:eastAsia="Times New Roman" w:hAnsi="Times New Roman" w:cs="Times New Roman"/>
          <w:sz w:val="24"/>
          <w:szCs w:val="24"/>
          <w:lang w:val="en-GB"/>
        </w:rPr>
        <w:t>. For instance, an employer is liable to ensure protecti</w:t>
      </w:r>
      <w:r w:rsidR="00360D8E">
        <w:rPr>
          <w:rFonts w:ascii="Times New Roman" w:eastAsia="Times New Roman" w:hAnsi="Times New Roman" w:cs="Times New Roman"/>
          <w:sz w:val="24"/>
          <w:szCs w:val="24"/>
          <w:lang w:val="en-GB"/>
        </w:rPr>
        <w:t>on of employees on the contrary</w:t>
      </w:r>
      <w:r w:rsidRPr="00101C15">
        <w:rPr>
          <w:rFonts w:ascii="Times New Roman" w:eastAsia="Times New Roman" w:hAnsi="Times New Roman" w:cs="Times New Roman"/>
          <w:sz w:val="24"/>
          <w:szCs w:val="24"/>
          <w:lang w:val="en-GB"/>
        </w:rPr>
        <w:t xml:space="preserve"> employees are liable for fulfilling their responsibilities towards an organisation. In both of these cases an employer or employee can be identified to pay compensation for not fulfilling their duties. </w:t>
      </w:r>
    </w:p>
    <w:p w:rsidR="00881FEC" w:rsidRPr="00101C15" w:rsidRDefault="0000550D" w:rsidP="00101C15">
      <w:pPr>
        <w:pStyle w:val="Heading2"/>
      </w:pPr>
      <w:bookmarkStart w:id="4" w:name="_Toc129282458"/>
      <w:r w:rsidRPr="00101C15">
        <w:t>Contrast between Common law and Civil law systems</w:t>
      </w:r>
      <w:bookmarkEnd w:id="4"/>
      <w:r w:rsidRPr="00101C15">
        <w:t xml:space="preserve">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There are some fundamental differences between common laws and civil laws as each of these laws are defined and implemented in different manners. Common laws are not always turned into a form of written constitutions. However, civil laws are always turned into written constitutions after passing of orders by courts. Judicial decisions that are taken within common laws are always legally binding in nature (World Bank, 2023). On the contrary, in case of civil laws 3rd parties falling under a civil law are not legally bound. However, decisions developed by courts such as administrative decisions as well as constitutional decisions result in </w:t>
      </w:r>
      <w:r w:rsidR="00360D8E" w:rsidRPr="00101C15">
        <w:rPr>
          <w:rFonts w:ascii="Times New Roman" w:eastAsia="Times New Roman" w:hAnsi="Times New Roman" w:cs="Times New Roman"/>
          <w:sz w:val="24"/>
          <w:szCs w:val="24"/>
          <w:lang w:val="en-GB"/>
        </w:rPr>
        <w:t>foundation</w:t>
      </w:r>
      <w:r w:rsidRPr="00101C15">
        <w:rPr>
          <w:rFonts w:ascii="Times New Roman" w:eastAsia="Times New Roman" w:hAnsi="Times New Roman" w:cs="Times New Roman"/>
          <w:sz w:val="24"/>
          <w:szCs w:val="24"/>
          <w:lang w:val="en-GB"/>
        </w:rPr>
        <w:t xml:space="preserve"> between all involved parties.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lastRenderedPageBreak/>
        <w:t xml:space="preserve">Writings of common laws in legal scholars pose little influence, however, in case of jurisdiction of civil laws significant influence can be identified in similar context. Freedom associated with development of contracts is extensive in case of common laws and it is limited in case of civil laws. Provisions can be implemented by common law in case of contractual relationship development. According to common laws, a large number of contractual relationships can be handled by private courts and through implementation of private laws related to a specific issue (World Bank, 2023). Arrangements of civil laws are to be decided through provisions of public services and controlled through administrative courts. Apart from this, common laws are equally applicable throughout the breadth and length of a country. However, civil law provisions are defined to be specific to best interest individuals or organisations identified as claimants under a civil law. </w:t>
      </w:r>
    </w:p>
    <w:p w:rsidR="00881FEC" w:rsidRPr="00101C15" w:rsidRDefault="0000550D" w:rsidP="00101C15">
      <w:pPr>
        <w:pStyle w:val="Heading2"/>
      </w:pPr>
      <w:bookmarkStart w:id="5" w:name="_Toc129282459"/>
      <w:r w:rsidRPr="00101C15">
        <w:t>Outline of history of common law</w:t>
      </w:r>
      <w:bookmarkEnd w:id="5"/>
      <w:r w:rsidRPr="00101C15">
        <w:t xml:space="preserve">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Origin of common laws dates back to 12th century through implementation of legal reforms by King Henry II within King’s Court which was located in Westminster. “Common law of England” originated to a large extent post “Normal Conquest” that took place in 1066 (Britannica, 2023). Specific rules have been developed within “Anglo-Saxons”, that were similar to that of rules developed by “Germanic People” (Britannica, 2023). These laws were developed based on customs of local communities and local churches possessed significant influence on legal activities taking place in courts. Compensations were provided to victims for crimes identified to be done against them.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Laws of Anglo Saxon did not reach its end through Norman Conquest, however, significant changes were employed within colonial rule by Norman Conquerors. Various incidents such as creation of a judiciary that is centralised in nature have led to development of common laws. Common law used to be administered through the king's court and discretionary remedies were administered separately by Lord Chancellor (</w:t>
      </w:r>
      <w:r w:rsidRPr="00101C15">
        <w:rPr>
          <w:rFonts w:ascii="Times New Roman" w:eastAsia="Times New Roman" w:hAnsi="Times New Roman" w:cs="Times New Roman"/>
          <w:color w:val="222222"/>
          <w:sz w:val="24"/>
          <w:szCs w:val="24"/>
          <w:highlight w:val="white"/>
          <w:lang w:val="en-GB"/>
        </w:rPr>
        <w:t>Heath, 2020, p.441)</w:t>
      </w:r>
      <w:r w:rsidRPr="00101C15">
        <w:rPr>
          <w:rFonts w:ascii="Times New Roman" w:eastAsia="Times New Roman" w:hAnsi="Times New Roman" w:cs="Times New Roman"/>
          <w:sz w:val="24"/>
          <w:szCs w:val="24"/>
          <w:lang w:val="en-GB"/>
        </w:rPr>
        <w:t xml:space="preserve">. Equitable acts are considered to be similar with business activities since the introduction of “Judicature Acts of 1873-75”. Through this act, legal systems were combined with equity systems. </w:t>
      </w:r>
    </w:p>
    <w:p w:rsidR="00881FEC" w:rsidRPr="00101C15" w:rsidRDefault="0000550D" w:rsidP="00101C15">
      <w:pPr>
        <w:pStyle w:val="Heading2"/>
      </w:pPr>
      <w:bookmarkStart w:id="6" w:name="_Toc129282460"/>
      <w:r w:rsidRPr="00101C15">
        <w:t>Examples of common law in working practices</w:t>
      </w:r>
      <w:bookmarkEnd w:id="6"/>
      <w:r w:rsidRPr="00101C15">
        <w:t xml:space="preserve">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An example of application of common law in working practice includes “Common Law Marriage”. “Common law marriage” is aimed at legal identification of a marriage between two people of different genders or same gender despite them attaining a marriage ceremony. This law is, however, not applicable to every part of UK and currently limited to England and Wales (Family Lives, 2023). This common law is aimed at protecting the rights of people living together in a marital as well as civil relationship. Financial and materialistic </w:t>
      </w:r>
      <w:r w:rsidRPr="00101C15">
        <w:rPr>
          <w:rFonts w:ascii="Times New Roman" w:eastAsia="Times New Roman" w:hAnsi="Times New Roman" w:cs="Times New Roman"/>
          <w:sz w:val="24"/>
          <w:szCs w:val="24"/>
          <w:lang w:val="en-GB"/>
        </w:rPr>
        <w:lastRenderedPageBreak/>
        <w:t xml:space="preserve">possessions of these people are divided according to provisions of “Common law marriage” only in case these people live in areas covered under this law. Misconceptions are present among people about this law as the perception of many people about this law is that living together for a long time or having a baby together enacts this law. However, this law is required to be employed through legal procedures. Rights of dependents in a relationship are protected through provisions of this law as maintenance is required to be paid to dependents by other individuals within such a relationship in case they split up. </w:t>
      </w:r>
    </w:p>
    <w:p w:rsidR="00881FEC" w:rsidRPr="00101C15" w:rsidRDefault="0000550D" w:rsidP="00101C15">
      <w:pPr>
        <w:pStyle w:val="Heading1"/>
      </w:pPr>
      <w:bookmarkStart w:id="7" w:name="_Toc129282461"/>
      <w:r w:rsidRPr="00101C15">
        <w:t>Conclusion</w:t>
      </w:r>
      <w:bookmarkEnd w:id="7"/>
      <w:r w:rsidRPr="00101C15">
        <w:t xml:space="preserve"> </w:t>
      </w:r>
    </w:p>
    <w:p w:rsidR="00881FEC" w:rsidRPr="00101C15" w:rsidRDefault="0000550D">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This study has been focussed on development of understanding about common laws and civil laws. Differences of each of these laws have been contrasted within discussions of this study along with brief ideas about each of these laws. Analysis of information included within this study confers that common laws are equally applicable throughout United Kingdom while Civil laws are applicable to specific individuals or organisations. Common laws are developed by courts and “Law Commission” is responsible for doing research prior to making any reforms to such laws. Common laws are developed by courts by analysis of past cases and changes are implemented according to requirements of different scenarios. Significant differences have been identified among common and civil laws such as written form is lacking in case of common laws in comparison with civil laws. Therefore, it can be stated that English legal system has been developed based on principles of common laws. </w:t>
      </w:r>
      <w:r w:rsidRPr="00101C15">
        <w:rPr>
          <w:lang w:val="en-GB"/>
        </w:rPr>
        <w:br w:type="page"/>
      </w:r>
    </w:p>
    <w:p w:rsidR="00881FEC" w:rsidRPr="00101C15" w:rsidRDefault="0000550D" w:rsidP="00101C15">
      <w:pPr>
        <w:pStyle w:val="Heading1"/>
      </w:pPr>
      <w:bookmarkStart w:id="8" w:name="_Toc129282462"/>
      <w:r w:rsidRPr="00101C15">
        <w:lastRenderedPageBreak/>
        <w:t>References</w:t>
      </w:r>
      <w:bookmarkEnd w:id="8"/>
      <w:r w:rsidRPr="00101C15">
        <w:t xml:space="preserve"> </w:t>
      </w:r>
    </w:p>
    <w:p w:rsidR="00101C15" w:rsidRPr="00101C15" w:rsidRDefault="00101C15">
      <w:pPr>
        <w:pStyle w:val="normal0"/>
        <w:spacing w:line="360" w:lineRule="auto"/>
        <w:jc w:val="both"/>
        <w:rPr>
          <w:rFonts w:ascii="Times New Roman" w:eastAsia="Times New Roman" w:hAnsi="Times New Roman" w:cs="Times New Roman"/>
          <w:color w:val="222222"/>
          <w:sz w:val="24"/>
          <w:szCs w:val="24"/>
          <w:highlight w:val="white"/>
          <w:lang w:val="en-GB"/>
        </w:rPr>
      </w:pPr>
      <w:r w:rsidRPr="00101C15">
        <w:rPr>
          <w:rFonts w:ascii="Times New Roman" w:eastAsia="Times New Roman" w:hAnsi="Times New Roman" w:cs="Times New Roman"/>
          <w:color w:val="222222"/>
          <w:sz w:val="24"/>
          <w:szCs w:val="24"/>
          <w:highlight w:val="white"/>
          <w:lang w:val="en-GB"/>
        </w:rPr>
        <w:t xml:space="preserve">Al-Tamimi, M.A.L., (2022). The principle of overturning postulates in civil law: Comparative study. </w:t>
      </w:r>
      <w:r w:rsidRPr="00101C15">
        <w:rPr>
          <w:rFonts w:ascii="Times New Roman" w:eastAsia="Times New Roman" w:hAnsi="Times New Roman" w:cs="Times New Roman"/>
          <w:i/>
          <w:color w:val="222222"/>
          <w:sz w:val="24"/>
          <w:szCs w:val="24"/>
          <w:highlight w:val="white"/>
          <w:lang w:val="en-GB"/>
        </w:rPr>
        <w:t>Journal of Positive School Psychology</w:t>
      </w:r>
      <w:r w:rsidRPr="00101C15">
        <w:rPr>
          <w:rFonts w:ascii="Times New Roman" w:eastAsia="Times New Roman" w:hAnsi="Times New Roman" w:cs="Times New Roman"/>
          <w:color w:val="222222"/>
          <w:sz w:val="24"/>
          <w:szCs w:val="24"/>
          <w:highlight w:val="white"/>
          <w:lang w:val="en-GB"/>
        </w:rPr>
        <w:t xml:space="preserve">, </w:t>
      </w:r>
      <w:r w:rsidRPr="00101C15">
        <w:rPr>
          <w:rFonts w:ascii="Times New Roman" w:eastAsia="Times New Roman" w:hAnsi="Times New Roman" w:cs="Times New Roman"/>
          <w:i/>
          <w:color w:val="222222"/>
          <w:sz w:val="24"/>
          <w:szCs w:val="24"/>
          <w:highlight w:val="white"/>
          <w:lang w:val="en-GB"/>
        </w:rPr>
        <w:t>6</w:t>
      </w:r>
      <w:r w:rsidRPr="00101C15">
        <w:rPr>
          <w:rFonts w:ascii="Times New Roman" w:eastAsia="Times New Roman" w:hAnsi="Times New Roman" w:cs="Times New Roman"/>
          <w:color w:val="222222"/>
          <w:sz w:val="24"/>
          <w:szCs w:val="24"/>
          <w:highlight w:val="white"/>
          <w:lang w:val="en-GB"/>
        </w:rPr>
        <w:t>(2), pp.1518-1526.</w:t>
      </w:r>
    </w:p>
    <w:p w:rsidR="00101C15" w:rsidRPr="00101C15" w:rsidRDefault="00101C15">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Britannica (2023) </w:t>
      </w:r>
      <w:r w:rsidRPr="00101C15">
        <w:rPr>
          <w:rFonts w:ascii="Times New Roman" w:eastAsia="Times New Roman" w:hAnsi="Times New Roman" w:cs="Times New Roman"/>
          <w:i/>
          <w:sz w:val="24"/>
          <w:szCs w:val="24"/>
          <w:lang w:val="en-GB"/>
        </w:rPr>
        <w:t>common law.</w:t>
      </w:r>
      <w:r w:rsidRPr="00101C15">
        <w:rPr>
          <w:rFonts w:ascii="Times New Roman" w:eastAsia="Times New Roman" w:hAnsi="Times New Roman" w:cs="Times New Roman"/>
          <w:sz w:val="24"/>
          <w:szCs w:val="24"/>
          <w:lang w:val="en-GB"/>
        </w:rPr>
        <w:t xml:space="preserve"> Available at: https://www.britannica.com/topic/common-law(Accessed: 4 March 2023). </w:t>
      </w:r>
    </w:p>
    <w:p w:rsidR="00101C15" w:rsidRPr="00101C15" w:rsidRDefault="00101C15">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Family Lives (2023) </w:t>
      </w:r>
      <w:r w:rsidRPr="00101C15">
        <w:rPr>
          <w:rFonts w:ascii="Times New Roman" w:eastAsia="Times New Roman" w:hAnsi="Times New Roman" w:cs="Times New Roman"/>
          <w:i/>
          <w:sz w:val="24"/>
          <w:szCs w:val="24"/>
          <w:lang w:val="en-GB"/>
        </w:rPr>
        <w:t>Common law marriage.</w:t>
      </w:r>
      <w:r w:rsidRPr="00101C15">
        <w:rPr>
          <w:rFonts w:ascii="Times New Roman" w:eastAsia="Times New Roman" w:hAnsi="Times New Roman" w:cs="Times New Roman"/>
          <w:sz w:val="24"/>
          <w:szCs w:val="24"/>
          <w:lang w:val="en-GB"/>
        </w:rPr>
        <w:t xml:space="preserve"> Available at: https://www.familylives.org.uk/advice/your-family/relationship-advice/common-law-marriage?referer=/(Accessed: 4 March 2023). </w:t>
      </w:r>
    </w:p>
    <w:p w:rsidR="00101C15" w:rsidRPr="00101C15" w:rsidRDefault="00101C15">
      <w:pPr>
        <w:pStyle w:val="normal0"/>
        <w:spacing w:line="360" w:lineRule="auto"/>
        <w:jc w:val="both"/>
        <w:rPr>
          <w:rFonts w:ascii="Times New Roman" w:eastAsia="Times New Roman" w:hAnsi="Times New Roman" w:cs="Times New Roman"/>
          <w:color w:val="222222"/>
          <w:sz w:val="28"/>
          <w:szCs w:val="28"/>
          <w:highlight w:val="white"/>
          <w:lang w:val="en-GB"/>
        </w:rPr>
      </w:pPr>
      <w:r w:rsidRPr="00101C15">
        <w:rPr>
          <w:rFonts w:ascii="Times New Roman" w:eastAsia="Times New Roman" w:hAnsi="Times New Roman" w:cs="Times New Roman"/>
          <w:color w:val="222222"/>
          <w:sz w:val="24"/>
          <w:szCs w:val="24"/>
          <w:highlight w:val="white"/>
          <w:lang w:val="en-GB"/>
        </w:rPr>
        <w:t xml:space="preserve">Heath, E., (2020). Sir John Davies on Custom and the Common Law. </w:t>
      </w:r>
      <w:r w:rsidRPr="00101C15">
        <w:rPr>
          <w:rFonts w:ascii="Times New Roman" w:eastAsia="Times New Roman" w:hAnsi="Times New Roman" w:cs="Times New Roman"/>
          <w:i/>
          <w:color w:val="222222"/>
          <w:sz w:val="24"/>
          <w:szCs w:val="24"/>
          <w:highlight w:val="white"/>
          <w:lang w:val="en-GB"/>
        </w:rPr>
        <w:t>The Review of Politics</w:t>
      </w:r>
      <w:r w:rsidRPr="00101C15">
        <w:rPr>
          <w:rFonts w:ascii="Times New Roman" w:eastAsia="Times New Roman" w:hAnsi="Times New Roman" w:cs="Times New Roman"/>
          <w:color w:val="222222"/>
          <w:sz w:val="24"/>
          <w:szCs w:val="24"/>
          <w:highlight w:val="white"/>
          <w:lang w:val="en-GB"/>
        </w:rPr>
        <w:t xml:space="preserve">, </w:t>
      </w:r>
      <w:r w:rsidRPr="00101C15">
        <w:rPr>
          <w:rFonts w:ascii="Times New Roman" w:eastAsia="Times New Roman" w:hAnsi="Times New Roman" w:cs="Times New Roman"/>
          <w:i/>
          <w:color w:val="222222"/>
          <w:sz w:val="24"/>
          <w:szCs w:val="24"/>
          <w:highlight w:val="white"/>
          <w:lang w:val="en-GB"/>
        </w:rPr>
        <w:t>82</w:t>
      </w:r>
      <w:r w:rsidRPr="00101C15">
        <w:rPr>
          <w:rFonts w:ascii="Times New Roman" w:eastAsia="Times New Roman" w:hAnsi="Times New Roman" w:cs="Times New Roman"/>
          <w:color w:val="222222"/>
          <w:sz w:val="24"/>
          <w:szCs w:val="24"/>
          <w:highlight w:val="white"/>
          <w:lang w:val="en-GB"/>
        </w:rPr>
        <w:t>(3), pp.438-458.</w:t>
      </w:r>
    </w:p>
    <w:p w:rsidR="00101C15" w:rsidRPr="00101C15" w:rsidRDefault="00101C15">
      <w:pPr>
        <w:pStyle w:val="normal0"/>
        <w:spacing w:line="360" w:lineRule="auto"/>
        <w:jc w:val="both"/>
        <w:rPr>
          <w:rFonts w:ascii="Times New Roman" w:eastAsia="Times New Roman" w:hAnsi="Times New Roman" w:cs="Times New Roman"/>
          <w:color w:val="222222"/>
          <w:sz w:val="24"/>
          <w:szCs w:val="24"/>
          <w:highlight w:val="white"/>
          <w:lang w:val="en-GB"/>
        </w:rPr>
      </w:pPr>
      <w:r w:rsidRPr="00101C15">
        <w:rPr>
          <w:rFonts w:ascii="Times New Roman" w:eastAsia="Times New Roman" w:hAnsi="Times New Roman" w:cs="Times New Roman"/>
          <w:color w:val="222222"/>
          <w:sz w:val="24"/>
          <w:szCs w:val="24"/>
          <w:highlight w:val="white"/>
          <w:lang w:val="en-GB"/>
        </w:rPr>
        <w:t xml:space="preserve">Pfander, J.E. and Wentzel, J., (2019). ‘The Common Law Origins of Ex parte Young’. </w:t>
      </w:r>
      <w:r w:rsidRPr="00101C15">
        <w:rPr>
          <w:rFonts w:ascii="Times New Roman" w:eastAsia="Times New Roman" w:hAnsi="Times New Roman" w:cs="Times New Roman"/>
          <w:i/>
          <w:color w:val="222222"/>
          <w:sz w:val="24"/>
          <w:szCs w:val="24"/>
          <w:highlight w:val="white"/>
          <w:lang w:val="en-GB"/>
        </w:rPr>
        <w:t>Stanford Law Review, Forthcoming, Northwestern Public Law Research Paper</w:t>
      </w:r>
      <w:r w:rsidRPr="00101C15">
        <w:rPr>
          <w:rFonts w:ascii="Times New Roman" w:eastAsia="Times New Roman" w:hAnsi="Times New Roman" w:cs="Times New Roman"/>
          <w:color w:val="222222"/>
          <w:sz w:val="24"/>
          <w:szCs w:val="24"/>
          <w:highlight w:val="white"/>
          <w:lang w:val="en-GB"/>
        </w:rPr>
        <w:t>, (19-20).</w:t>
      </w:r>
    </w:p>
    <w:p w:rsidR="00101C15" w:rsidRPr="00101C15" w:rsidRDefault="00101C15">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Slater Gordon (2023) </w:t>
      </w:r>
      <w:r w:rsidRPr="00101C15">
        <w:rPr>
          <w:rFonts w:ascii="Times New Roman" w:eastAsia="Times New Roman" w:hAnsi="Times New Roman" w:cs="Times New Roman"/>
          <w:i/>
          <w:sz w:val="24"/>
          <w:szCs w:val="24"/>
          <w:lang w:val="en-GB"/>
        </w:rPr>
        <w:t>Difference between criminal &amp; civil law UK</w:t>
      </w:r>
      <w:r w:rsidRPr="00101C15">
        <w:rPr>
          <w:rFonts w:ascii="Times New Roman" w:eastAsia="Times New Roman" w:hAnsi="Times New Roman" w:cs="Times New Roman"/>
          <w:sz w:val="24"/>
          <w:szCs w:val="24"/>
          <w:lang w:val="en-GB"/>
        </w:rPr>
        <w:t xml:space="preserve">. Available at: https://www.slatergordon.co.uk/newsroom/criminal-vs-civil-law-understanding-the-differences/#:~:text=Civil%20law%20aims%20to%20deal,usually%20filed%20by%20the%20government (Accessed: 4 March 2023). </w:t>
      </w:r>
    </w:p>
    <w:p w:rsidR="00101C15" w:rsidRPr="00101C15" w:rsidRDefault="00101C15">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The Incorporated Council of Law Reporting for England &amp; Wales (2023) </w:t>
      </w:r>
      <w:r w:rsidRPr="00101C15">
        <w:rPr>
          <w:rFonts w:ascii="Times New Roman" w:eastAsia="Times New Roman" w:hAnsi="Times New Roman" w:cs="Times New Roman"/>
          <w:i/>
          <w:sz w:val="24"/>
          <w:szCs w:val="24"/>
          <w:lang w:val="en-GB"/>
        </w:rPr>
        <w:t>The English legal system</w:t>
      </w:r>
      <w:r w:rsidRPr="00101C15">
        <w:rPr>
          <w:rFonts w:ascii="Times New Roman" w:eastAsia="Times New Roman" w:hAnsi="Times New Roman" w:cs="Times New Roman"/>
          <w:sz w:val="24"/>
          <w:szCs w:val="24"/>
          <w:lang w:val="en-GB"/>
        </w:rPr>
        <w:t xml:space="preserve">. Available at: https://www.iclr.co.uk/knowledge/topics/the-english-legal-system/ (Accessed: 4 March 2023). </w:t>
      </w:r>
    </w:p>
    <w:p w:rsidR="00101C15" w:rsidRPr="00101C15" w:rsidRDefault="00101C15">
      <w:pPr>
        <w:pStyle w:val="normal0"/>
        <w:spacing w:line="360" w:lineRule="auto"/>
        <w:jc w:val="both"/>
        <w:rPr>
          <w:rFonts w:ascii="Times New Roman" w:eastAsia="Times New Roman" w:hAnsi="Times New Roman" w:cs="Times New Roman"/>
          <w:sz w:val="24"/>
          <w:szCs w:val="24"/>
          <w:lang w:val="en-GB"/>
        </w:rPr>
      </w:pPr>
      <w:r w:rsidRPr="00101C15">
        <w:rPr>
          <w:rFonts w:ascii="Times New Roman" w:eastAsia="Times New Roman" w:hAnsi="Times New Roman" w:cs="Times New Roman"/>
          <w:sz w:val="24"/>
          <w:szCs w:val="24"/>
          <w:lang w:val="en-GB"/>
        </w:rPr>
        <w:t xml:space="preserve">World Bank (2023) </w:t>
      </w:r>
      <w:r w:rsidRPr="00101C15">
        <w:rPr>
          <w:rFonts w:ascii="Times New Roman" w:eastAsia="Times New Roman" w:hAnsi="Times New Roman" w:cs="Times New Roman"/>
          <w:i/>
          <w:sz w:val="24"/>
          <w:szCs w:val="24"/>
          <w:lang w:val="en-GB"/>
        </w:rPr>
        <w:t>Key Features of Common Law or Civil Law Systems.</w:t>
      </w:r>
      <w:r w:rsidRPr="00101C15">
        <w:rPr>
          <w:rFonts w:ascii="Times New Roman" w:eastAsia="Times New Roman" w:hAnsi="Times New Roman" w:cs="Times New Roman"/>
          <w:sz w:val="24"/>
          <w:szCs w:val="24"/>
          <w:lang w:val="en-GB"/>
        </w:rPr>
        <w:t xml:space="preserve"> Available at: https://ppp.worldbank.org/public-private-partnership/legislation-regulation/framework-assessment/legal-systems/common-vs-civil-law(Accessed: 4 March 2023). </w:t>
      </w:r>
    </w:p>
    <w:p w:rsidR="00881FEC" w:rsidRPr="00101C15" w:rsidRDefault="00881FEC">
      <w:pPr>
        <w:pStyle w:val="normal0"/>
        <w:spacing w:line="360" w:lineRule="auto"/>
        <w:jc w:val="both"/>
        <w:rPr>
          <w:rFonts w:ascii="Times New Roman" w:eastAsia="Times New Roman" w:hAnsi="Times New Roman" w:cs="Times New Roman"/>
          <w:sz w:val="24"/>
          <w:szCs w:val="24"/>
          <w:lang w:val="en-GB"/>
        </w:rPr>
      </w:pPr>
    </w:p>
    <w:p w:rsidR="00881FEC" w:rsidRPr="00101C15" w:rsidRDefault="00881FEC">
      <w:pPr>
        <w:pStyle w:val="normal0"/>
        <w:spacing w:line="360" w:lineRule="auto"/>
        <w:jc w:val="both"/>
        <w:rPr>
          <w:rFonts w:ascii="Times New Roman" w:eastAsia="Times New Roman" w:hAnsi="Times New Roman" w:cs="Times New Roman"/>
          <w:sz w:val="24"/>
          <w:szCs w:val="24"/>
          <w:lang w:val="en-GB"/>
        </w:rPr>
      </w:pPr>
    </w:p>
    <w:p w:rsidR="00881FEC" w:rsidRPr="00101C15" w:rsidRDefault="00881FEC">
      <w:pPr>
        <w:pStyle w:val="normal0"/>
        <w:spacing w:line="360" w:lineRule="auto"/>
        <w:jc w:val="center"/>
        <w:rPr>
          <w:rFonts w:ascii="Times New Roman" w:eastAsia="Times New Roman" w:hAnsi="Times New Roman" w:cs="Times New Roman"/>
          <w:b/>
          <w:sz w:val="24"/>
          <w:szCs w:val="24"/>
          <w:lang w:val="en-GB"/>
        </w:rPr>
      </w:pPr>
    </w:p>
    <w:sectPr w:rsidR="00881FEC" w:rsidRPr="00101C15" w:rsidSect="00881FEC">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0D8B" w:rsidRDefault="00A40D8B" w:rsidP="00101C15">
      <w:pPr>
        <w:spacing w:line="240" w:lineRule="auto"/>
      </w:pPr>
      <w:r>
        <w:separator/>
      </w:r>
    </w:p>
  </w:endnote>
  <w:endnote w:type="continuationSeparator" w:id="1">
    <w:p w:rsidR="00A40D8B" w:rsidRDefault="00A40D8B" w:rsidP="00101C1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6EB" w:rsidRDefault="00C256E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783550"/>
      <w:docPartObj>
        <w:docPartGallery w:val="Page Numbers (Bottom of Page)"/>
        <w:docPartUnique/>
      </w:docPartObj>
    </w:sdtPr>
    <w:sdtContent>
      <w:p w:rsidR="00101C15" w:rsidRDefault="005D32A2">
        <w:pPr>
          <w:pStyle w:val="Footer"/>
          <w:jc w:val="right"/>
        </w:pPr>
        <w:r w:rsidRPr="00101C15">
          <w:rPr>
            <w:rFonts w:ascii="Times New Roman" w:hAnsi="Times New Roman" w:cs="Times New Roman"/>
            <w:sz w:val="20"/>
          </w:rPr>
          <w:fldChar w:fldCharType="begin"/>
        </w:r>
        <w:r w:rsidR="00101C15" w:rsidRPr="00101C15">
          <w:rPr>
            <w:rFonts w:ascii="Times New Roman" w:hAnsi="Times New Roman" w:cs="Times New Roman"/>
            <w:sz w:val="20"/>
          </w:rPr>
          <w:instrText xml:space="preserve"> PAGE   \* MERGEFORMAT </w:instrText>
        </w:r>
        <w:r w:rsidRPr="00101C15">
          <w:rPr>
            <w:rFonts w:ascii="Times New Roman" w:hAnsi="Times New Roman" w:cs="Times New Roman"/>
            <w:sz w:val="20"/>
          </w:rPr>
          <w:fldChar w:fldCharType="separate"/>
        </w:r>
        <w:r w:rsidR="00360D8E">
          <w:rPr>
            <w:rFonts w:ascii="Times New Roman" w:hAnsi="Times New Roman" w:cs="Times New Roman"/>
            <w:noProof/>
            <w:sz w:val="20"/>
          </w:rPr>
          <w:t>3</w:t>
        </w:r>
        <w:r w:rsidRPr="00101C15">
          <w:rPr>
            <w:rFonts w:ascii="Times New Roman" w:hAnsi="Times New Roman" w:cs="Times New Roman"/>
            <w:sz w:val="20"/>
          </w:rPr>
          <w:fldChar w:fldCharType="end"/>
        </w:r>
      </w:p>
    </w:sdtContent>
  </w:sdt>
  <w:p w:rsidR="00101C15" w:rsidRDefault="00101C15">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6EB" w:rsidRDefault="00C256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0D8B" w:rsidRDefault="00A40D8B" w:rsidP="00101C15">
      <w:pPr>
        <w:spacing w:line="240" w:lineRule="auto"/>
      </w:pPr>
      <w:r>
        <w:separator/>
      </w:r>
    </w:p>
  </w:footnote>
  <w:footnote w:type="continuationSeparator" w:id="1">
    <w:p w:rsidR="00A40D8B" w:rsidRDefault="00A40D8B" w:rsidP="00101C15">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6EB" w:rsidRDefault="00C256E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6EB" w:rsidRDefault="00C256EB">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256EB" w:rsidRDefault="00C256EB">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rsids>
    <w:rsidRoot w:val="00881FEC"/>
    <w:rsid w:val="0000550D"/>
    <w:rsid w:val="00101C15"/>
    <w:rsid w:val="002D318C"/>
    <w:rsid w:val="00360D8E"/>
    <w:rsid w:val="005D32A2"/>
    <w:rsid w:val="00881FEC"/>
    <w:rsid w:val="00A40D8B"/>
    <w:rsid w:val="00C256E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D32A2"/>
  </w:style>
  <w:style w:type="paragraph" w:styleId="Heading1">
    <w:name w:val="heading 1"/>
    <w:basedOn w:val="normal0"/>
    <w:next w:val="normal0"/>
    <w:rsid w:val="00101C15"/>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0"/>
    <w:next w:val="normal0"/>
    <w:rsid w:val="00101C15"/>
    <w:pPr>
      <w:spacing w:line="360" w:lineRule="auto"/>
      <w:jc w:val="both"/>
      <w:outlineLvl w:val="1"/>
    </w:pPr>
    <w:rPr>
      <w:rFonts w:ascii="Times New Roman" w:eastAsia="Times New Roman" w:hAnsi="Times New Roman" w:cs="Times New Roman"/>
      <w:b/>
      <w:i/>
      <w:sz w:val="24"/>
      <w:szCs w:val="24"/>
      <w:lang w:val="en-GB"/>
    </w:rPr>
  </w:style>
  <w:style w:type="paragraph" w:styleId="Heading3">
    <w:name w:val="heading 3"/>
    <w:basedOn w:val="normal0"/>
    <w:next w:val="normal0"/>
    <w:rsid w:val="00881FEC"/>
    <w:pPr>
      <w:keepNext/>
      <w:keepLines/>
      <w:spacing w:before="320" w:after="80"/>
      <w:outlineLvl w:val="2"/>
    </w:pPr>
    <w:rPr>
      <w:color w:val="434343"/>
      <w:sz w:val="28"/>
      <w:szCs w:val="28"/>
    </w:rPr>
  </w:style>
  <w:style w:type="paragraph" w:styleId="Heading4">
    <w:name w:val="heading 4"/>
    <w:basedOn w:val="normal0"/>
    <w:next w:val="normal0"/>
    <w:rsid w:val="00881FEC"/>
    <w:pPr>
      <w:keepNext/>
      <w:keepLines/>
      <w:spacing w:before="280" w:after="80"/>
      <w:outlineLvl w:val="3"/>
    </w:pPr>
    <w:rPr>
      <w:color w:val="666666"/>
      <w:sz w:val="24"/>
      <w:szCs w:val="24"/>
    </w:rPr>
  </w:style>
  <w:style w:type="paragraph" w:styleId="Heading5">
    <w:name w:val="heading 5"/>
    <w:basedOn w:val="normal0"/>
    <w:next w:val="normal0"/>
    <w:rsid w:val="00881FEC"/>
    <w:pPr>
      <w:keepNext/>
      <w:keepLines/>
      <w:spacing w:before="240" w:after="80"/>
      <w:outlineLvl w:val="4"/>
    </w:pPr>
    <w:rPr>
      <w:color w:val="666666"/>
    </w:rPr>
  </w:style>
  <w:style w:type="paragraph" w:styleId="Heading6">
    <w:name w:val="heading 6"/>
    <w:basedOn w:val="normal0"/>
    <w:next w:val="normal0"/>
    <w:rsid w:val="00881FE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881FEC"/>
  </w:style>
  <w:style w:type="paragraph" w:styleId="Title">
    <w:name w:val="Title"/>
    <w:basedOn w:val="normal0"/>
    <w:next w:val="normal0"/>
    <w:rsid w:val="00881FEC"/>
    <w:pPr>
      <w:keepNext/>
      <w:keepLines/>
      <w:spacing w:after="60"/>
    </w:pPr>
    <w:rPr>
      <w:sz w:val="52"/>
      <w:szCs w:val="52"/>
    </w:rPr>
  </w:style>
  <w:style w:type="paragraph" w:styleId="Subtitle">
    <w:name w:val="Subtitle"/>
    <w:basedOn w:val="normal0"/>
    <w:next w:val="normal0"/>
    <w:rsid w:val="00881FE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81FEC"/>
    <w:pPr>
      <w:spacing w:line="240" w:lineRule="auto"/>
    </w:pPr>
    <w:rPr>
      <w:sz w:val="20"/>
      <w:szCs w:val="20"/>
    </w:rPr>
  </w:style>
  <w:style w:type="character" w:customStyle="1" w:styleId="CommentTextChar">
    <w:name w:val="Comment Text Char"/>
    <w:basedOn w:val="DefaultParagraphFont"/>
    <w:link w:val="CommentText"/>
    <w:uiPriority w:val="99"/>
    <w:semiHidden/>
    <w:rsid w:val="00881FEC"/>
    <w:rPr>
      <w:sz w:val="20"/>
      <w:szCs w:val="20"/>
    </w:rPr>
  </w:style>
  <w:style w:type="character" w:styleId="CommentReference">
    <w:name w:val="annotation reference"/>
    <w:basedOn w:val="DefaultParagraphFont"/>
    <w:uiPriority w:val="99"/>
    <w:semiHidden/>
    <w:unhideWhenUsed/>
    <w:rsid w:val="00881FEC"/>
    <w:rPr>
      <w:sz w:val="16"/>
      <w:szCs w:val="16"/>
    </w:rPr>
  </w:style>
  <w:style w:type="paragraph" w:styleId="BalloonText">
    <w:name w:val="Balloon Text"/>
    <w:basedOn w:val="Normal"/>
    <w:link w:val="BalloonTextChar"/>
    <w:uiPriority w:val="99"/>
    <w:semiHidden/>
    <w:unhideWhenUsed/>
    <w:rsid w:val="00101C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1C15"/>
    <w:rPr>
      <w:rFonts w:ascii="Tahoma" w:hAnsi="Tahoma" w:cs="Tahoma"/>
      <w:sz w:val="16"/>
      <w:szCs w:val="16"/>
    </w:rPr>
  </w:style>
  <w:style w:type="paragraph" w:styleId="Header">
    <w:name w:val="header"/>
    <w:basedOn w:val="Normal"/>
    <w:link w:val="HeaderChar"/>
    <w:uiPriority w:val="99"/>
    <w:semiHidden/>
    <w:unhideWhenUsed/>
    <w:rsid w:val="00101C1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01C15"/>
  </w:style>
  <w:style w:type="paragraph" w:styleId="Footer">
    <w:name w:val="footer"/>
    <w:basedOn w:val="Normal"/>
    <w:link w:val="FooterChar"/>
    <w:uiPriority w:val="99"/>
    <w:unhideWhenUsed/>
    <w:rsid w:val="00101C15"/>
    <w:pPr>
      <w:tabs>
        <w:tab w:val="center" w:pos="4680"/>
        <w:tab w:val="right" w:pos="9360"/>
      </w:tabs>
      <w:spacing w:line="240" w:lineRule="auto"/>
    </w:pPr>
  </w:style>
  <w:style w:type="character" w:customStyle="1" w:styleId="FooterChar">
    <w:name w:val="Footer Char"/>
    <w:basedOn w:val="DefaultParagraphFont"/>
    <w:link w:val="Footer"/>
    <w:uiPriority w:val="99"/>
    <w:rsid w:val="00101C15"/>
  </w:style>
  <w:style w:type="paragraph" w:styleId="TOCHeading">
    <w:name w:val="TOC Heading"/>
    <w:basedOn w:val="Heading1"/>
    <w:next w:val="Normal"/>
    <w:uiPriority w:val="39"/>
    <w:semiHidden/>
    <w:unhideWhenUsed/>
    <w:qFormat/>
    <w:rsid w:val="002D318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D318C"/>
    <w:pPr>
      <w:spacing w:after="100"/>
    </w:pPr>
  </w:style>
  <w:style w:type="paragraph" w:styleId="TOC2">
    <w:name w:val="toc 2"/>
    <w:basedOn w:val="Normal"/>
    <w:next w:val="Normal"/>
    <w:autoRedefine/>
    <w:uiPriority w:val="39"/>
    <w:unhideWhenUsed/>
    <w:rsid w:val="002D318C"/>
    <w:pPr>
      <w:spacing w:after="100"/>
      <w:ind w:left="220"/>
    </w:pPr>
  </w:style>
  <w:style w:type="character" w:styleId="Hyperlink">
    <w:name w:val="Hyperlink"/>
    <w:basedOn w:val="DefaultParagraphFont"/>
    <w:uiPriority w:val="99"/>
    <w:unhideWhenUsed/>
    <w:rsid w:val="002D318C"/>
    <w:rPr>
      <w:color w:val="0000FF" w:themeColor="hyperlink"/>
      <w:u w:val="single"/>
    </w:rPr>
  </w:style>
  <w:style w:type="paragraph" w:styleId="DocumentMap">
    <w:name w:val="Document Map"/>
    <w:basedOn w:val="Normal"/>
    <w:link w:val="DocumentMapChar"/>
    <w:uiPriority w:val="99"/>
    <w:semiHidden/>
    <w:unhideWhenUsed/>
    <w:rsid w:val="00360D8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360D8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70F5EE-4BF7-4195-BF41-2E84DA8EB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1807</Words>
  <Characters>10303</Characters>
  <Application>Microsoft Office Word</Application>
  <DocSecurity>0</DocSecurity>
  <Lines>85</Lines>
  <Paragraphs>24</Paragraphs>
  <ScaleCrop>false</ScaleCrop>
  <Company/>
  <LinksUpToDate>false</LinksUpToDate>
  <CharactersWithSpaces>12086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2023-03-09T13:57:00Z</dcterms:created>
  <dcterms:modified xsi:type="dcterms:W3CDTF">2023-03-09T14:10:00Z</dcterms:modified>
</cp:coreProperties>
</file>