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730E28" w:rsidRDefault="00DE3462">
      <w:r>
        <w:t>Michael O’DRISCOLL</w:t>
      </w:r>
    </w:p>
    <w:p w:rsidR="00DE3462" w:rsidRDefault="00DE3462">
      <w:r>
        <w:t>PC 6693 South Wales Police</w:t>
      </w:r>
    </w:p>
    <w:p w:rsidR="00DE3462" w:rsidRPr="00DE3462" w:rsidRDefault="00DE3462">
      <w:pPr>
        <w:rPr>
          <w:b/>
          <w:bCs/>
          <w:iCs/>
          <w:u w:val="single"/>
        </w:rPr>
      </w:pPr>
      <w:r>
        <w:t>Student Number 1922495</w:t>
      </w:r>
    </w:p>
    <w:p w:rsidR="00DE3462" w:rsidRDefault="00DE3462">
      <w:r>
        <w:t>Exam 2. 16</w:t>
      </w:r>
      <w:r w:rsidRPr="00DE3462">
        <w:rPr>
          <w:vertAlign w:val="superscript"/>
        </w:rPr>
        <w:t>th</w:t>
      </w:r>
      <w:r>
        <w:t xml:space="preserve"> November 2020</w:t>
      </w:r>
    </w:p>
    <w:p w:rsidR="00FE04E1" w:rsidRDefault="00FE04E1"/>
    <w:p w:rsidR="00175421" w:rsidRDefault="00175421" w:rsidP="00175421">
      <w:proofErr w:type="gramStart"/>
      <w:r>
        <w:t>1.section</w:t>
      </w:r>
      <w:proofErr w:type="gramEnd"/>
      <w:r>
        <w:t xml:space="preserve"> 163 road traffic act. This is gives a constable to the power to require the driver of a vehicle to stop that vehicle at the constables requirement  </w:t>
      </w:r>
    </w:p>
    <w:p w:rsidR="00175421" w:rsidRDefault="00175421"/>
    <w:p w:rsidR="00175421" w:rsidRDefault="00FE04E1">
      <w:r>
        <w:t>2</w:t>
      </w:r>
      <w:r w:rsidR="00175421">
        <w:t xml:space="preserve">. section 6(4) A constable may require a driver to stop their vehicle and require to produce documents in order, once pulled over this will give the constable the opportunity to request driving licence name and address etc. section 164 165 RTA 1988  </w:t>
      </w:r>
    </w:p>
    <w:p w:rsidR="00175421" w:rsidRDefault="00175421"/>
    <w:p w:rsidR="00FE04E1" w:rsidRDefault="00FE04E1">
      <w:r>
        <w:t>3</w:t>
      </w:r>
      <w:r w:rsidR="00175421">
        <w:t xml:space="preserve"> Any driver of a vehicle of a public road is guilty of driver without due and attention if the drive in manner that is inconsiderate or without due care and attention for other road users and members of the public. </w:t>
      </w:r>
    </w:p>
    <w:p w:rsidR="00175421" w:rsidRDefault="00175421"/>
    <w:p w:rsidR="00FE04E1" w:rsidRDefault="00FE04E1">
      <w:r>
        <w:t>4</w:t>
      </w:r>
      <w:r w:rsidR="00175421">
        <w:t xml:space="preserve"> defences for driving without due and attention. Sudden mechanical fault, a medical condition such as a fit, an episode in which the driver loses </w:t>
      </w:r>
      <w:proofErr w:type="gramStart"/>
      <w:r w:rsidR="00175421">
        <w:t>consciousness ,</w:t>
      </w:r>
      <w:proofErr w:type="gramEnd"/>
      <w:r w:rsidR="00175421">
        <w:t xml:space="preserve"> an emergency where the driver has had to make a sudden movement to avoid a Collison, their driving was carried via a threat of harm from a third party </w:t>
      </w:r>
    </w:p>
    <w:p w:rsidR="00175421" w:rsidRDefault="00175421"/>
    <w:p w:rsidR="00175421" w:rsidRDefault="00FE04E1">
      <w:r>
        <w:t>5</w:t>
      </w:r>
      <w:r w:rsidR="00175421">
        <w:t xml:space="preserve"> Section 165a. when a driver has been stopped and has under section 165 of the road traffic act 1988 and has been required to provide name address and insurance details, if the vehicle is not for example, insured or they are driving not in accordance of their licence or are in fact disqualified then section 165A will give the constable the power to seize said vehicle in this case the motorcycle under </w:t>
      </w:r>
      <w:bookmarkStart w:id="0" w:name="_GoBack"/>
      <w:bookmarkEnd w:id="0"/>
      <w:r w:rsidR="00175421">
        <w:t xml:space="preserve">section 165a of the road traffic act </w:t>
      </w:r>
    </w:p>
    <w:p w:rsidR="00175421" w:rsidRDefault="00175421"/>
    <w:p w:rsidR="00FE04E1" w:rsidRDefault="00FE04E1">
      <w:r>
        <w:t>6</w:t>
      </w:r>
      <w:r w:rsidR="00175421">
        <w:t xml:space="preserve"> reportable road traffic Collison section 170(1)</w:t>
      </w:r>
      <w:r w:rsidR="00175421">
        <w:tab/>
        <w:t xml:space="preserve"> when a driver of a vehicle has been involved in a Collison with another vehicle on a public road or any other area that the public have </w:t>
      </w:r>
      <w:proofErr w:type="spellStart"/>
      <w:r w:rsidR="00175421">
        <w:t>assess</w:t>
      </w:r>
      <w:proofErr w:type="spellEnd"/>
      <w:r w:rsidR="00175421">
        <w:t xml:space="preserve"> to, and persons, passengers involved have been injured.  Or if in the Collison RTC that property has been damaged such a walls house, or traffic lights </w:t>
      </w:r>
      <w:proofErr w:type="spellStart"/>
      <w:r w:rsidR="00175421">
        <w:t>etc</w:t>
      </w:r>
      <w:proofErr w:type="spellEnd"/>
      <w:r w:rsidR="00175421">
        <w:t xml:space="preserve"> then they are not only legally required to hand over details of insurance </w:t>
      </w:r>
      <w:proofErr w:type="spellStart"/>
      <w:r w:rsidR="00175421">
        <w:t>etc</w:t>
      </w:r>
      <w:proofErr w:type="spellEnd"/>
      <w:r w:rsidR="00175421">
        <w:t xml:space="preserve"> to the other parties but also request that emergency services attend and also a police presence. </w:t>
      </w:r>
    </w:p>
    <w:p w:rsidR="00175421" w:rsidRDefault="00175421"/>
    <w:p w:rsidR="00FE04E1" w:rsidRDefault="00FE04E1">
      <w:r>
        <w:t>7</w:t>
      </w:r>
      <w:r w:rsidR="00175421">
        <w:t xml:space="preserve"> Road. A road is any road or highway that the public has assess to, and also includes any bridges that the road pass over </w:t>
      </w:r>
    </w:p>
    <w:p w:rsidR="00175421" w:rsidRDefault="00175421">
      <w:r>
        <w:t xml:space="preserve">Public Place.  A public place is any </w:t>
      </w:r>
      <w:proofErr w:type="gramStart"/>
      <w:r>
        <w:t>area  or</w:t>
      </w:r>
      <w:proofErr w:type="gramEnd"/>
      <w:r>
        <w:t xml:space="preserve"> land that the public has assess to. </w:t>
      </w:r>
    </w:p>
    <w:p w:rsidR="00175421" w:rsidRDefault="00175421">
      <w:r>
        <w:lastRenderedPageBreak/>
        <w:t xml:space="preserve">Mechanically propelled Vehicle. A MPV is any vehicle that has been made or adapted for the use on the road and includes. SEPDOG steam, electric, diesel, Oil, Gas </w:t>
      </w:r>
    </w:p>
    <w:p w:rsidR="00175421" w:rsidRDefault="00175421"/>
    <w:p w:rsidR="00175421" w:rsidRDefault="00175421">
      <w:r>
        <w:t xml:space="preserve">Animal – </w:t>
      </w:r>
      <w:proofErr w:type="gramStart"/>
      <w:r>
        <w:t>an</w:t>
      </w:r>
      <w:proofErr w:type="gramEnd"/>
      <w:r>
        <w:t xml:space="preserve"> living thing that is not property of a person. </w:t>
      </w:r>
    </w:p>
    <w:p w:rsidR="00175421" w:rsidRDefault="00175421"/>
    <w:p w:rsidR="00FE04E1" w:rsidRDefault="00FE04E1">
      <w:r>
        <w:t>8</w:t>
      </w:r>
      <w:r w:rsidR="00175421">
        <w:t xml:space="preserve"> Law regarding </w:t>
      </w:r>
      <w:proofErr w:type="gramStart"/>
      <w:r w:rsidR="00175421">
        <w:t>responsibility  of</w:t>
      </w:r>
      <w:proofErr w:type="gramEnd"/>
      <w:r w:rsidR="00175421">
        <w:t xml:space="preserve"> driver when involved in an RTC section 170. A driver must stop at the scene and not drive away, they must ensure that there are no injuries to any other person, if there are causalities then the persons involved have the responsibility to call emergency services, they must exchange their details which would include name address and insurance details.  </w:t>
      </w:r>
    </w:p>
    <w:p w:rsidR="00175421" w:rsidRDefault="00175421"/>
    <w:p w:rsidR="00175421" w:rsidRDefault="00FE04E1">
      <w:proofErr w:type="gramStart"/>
      <w:r>
        <w:t>9</w:t>
      </w:r>
      <w:r w:rsidR="00175421">
        <w:t xml:space="preserve">  Section</w:t>
      </w:r>
      <w:proofErr w:type="gramEnd"/>
      <w:r w:rsidR="00175421">
        <w:t xml:space="preserve"> 6 E RTA 1988. When a constable has reason to believe that a driver has been driving under the influence of alcohol but the driver has completed his journey and has completed their journey and are in a house, the constable has the right to request a breath sample from that driver, they will ask when the last intake of alcohol was so that they may backdate the reading to ensure that it is accurate. They have the power </w:t>
      </w:r>
      <w:proofErr w:type="gramStart"/>
      <w:r w:rsidR="00175421">
        <w:t>of  entry</w:t>
      </w:r>
      <w:proofErr w:type="gramEnd"/>
      <w:r w:rsidR="00175421">
        <w:t xml:space="preserve">  to do so. They will be required to provide a sample of breath and it is an arrest able offence for the person to refuse to do so. </w:t>
      </w:r>
    </w:p>
    <w:p w:rsidR="00175421" w:rsidRDefault="00175421"/>
    <w:p w:rsidR="00FE04E1" w:rsidRDefault="00FE04E1">
      <w:r>
        <w:t>10</w:t>
      </w:r>
      <w:r w:rsidR="00175421">
        <w:t xml:space="preserve"> Causing death by dangerous driving. Any person that is driving or in control of a vehicle of a public road or area that the public have </w:t>
      </w:r>
      <w:proofErr w:type="spellStart"/>
      <w:r w:rsidR="00175421">
        <w:t>assess</w:t>
      </w:r>
      <w:proofErr w:type="spellEnd"/>
      <w:r w:rsidR="00175421">
        <w:t xml:space="preserve"> to are guilty of dangerous driving if. </w:t>
      </w:r>
    </w:p>
    <w:p w:rsidR="00175421" w:rsidRDefault="00175421">
      <w:r>
        <w:t xml:space="preserve">If the driving and actions are reckless and dangerous and as a consequence of their actions and driving a person is killed. Reckless, dangerous, endanger </w:t>
      </w:r>
    </w:p>
    <w:p w:rsidR="00175421" w:rsidRDefault="00175421"/>
    <w:p w:rsidR="00175421" w:rsidRDefault="00FE04E1">
      <w:r>
        <w:t>11</w:t>
      </w:r>
      <w:r w:rsidR="00175421">
        <w:t xml:space="preserve"> the national prescribed limit of alcohol. A person will be over the prescribed limit of alcohol if. </w:t>
      </w:r>
    </w:p>
    <w:p w:rsidR="00FE04E1" w:rsidRDefault="00175421">
      <w:r>
        <w:t xml:space="preserve">There is 35 micrograms of alcohol in a their blood, </w:t>
      </w:r>
      <w:proofErr w:type="gramStart"/>
      <w:r>
        <w:t>and  80</w:t>
      </w:r>
      <w:proofErr w:type="gramEnd"/>
      <w:r>
        <w:t xml:space="preserve"> micrograms of alcohol in their blood and 107 micrograms of alcohol in their urine. </w:t>
      </w:r>
      <w:r>
        <w:tab/>
      </w:r>
    </w:p>
    <w:p w:rsidR="00175421" w:rsidRDefault="00175421"/>
    <w:p w:rsidR="00175421" w:rsidRDefault="00FE04E1">
      <w:r>
        <w:t>12</w:t>
      </w:r>
      <w:r w:rsidR="00175421">
        <w:t xml:space="preserve"> relevant other present at a suspect interview. First would be a solicitor for the suspect during interview a suspect has the right to have a solicitor of their choice or a duty solicitor to represent them and give them advice during the process. Another relevant person would for example be </w:t>
      </w:r>
      <w:proofErr w:type="spellStart"/>
      <w:r w:rsidR="00175421">
        <w:t>a</w:t>
      </w:r>
      <w:proofErr w:type="spellEnd"/>
      <w:r w:rsidR="00175421">
        <w:t xml:space="preserve"> Appropriate adult for any person under 18 ( children) or a person that would need assistance at interview due to learning difficulties for example would be  a mental health appropriate adult. Another relevant other would be an interpreter for a suspect that requires help understanding the English language during their interview. Sometimes a relevant other could be Health Care professional.  </w:t>
      </w:r>
    </w:p>
    <w:p w:rsidR="00DE3462" w:rsidRDefault="00DE3462"/>
    <w:p w:rsidR="00175421" w:rsidRDefault="00175421">
      <w:r>
        <w:t xml:space="preserve">13. National Police interview model – national decision model </w:t>
      </w:r>
      <w:proofErr w:type="gramStart"/>
      <w:r>
        <w:t>/  the</w:t>
      </w:r>
      <w:proofErr w:type="gramEnd"/>
      <w:r>
        <w:t xml:space="preserve"> PEACE  /  4 phase model  that constable would utilise during interview. P. Planning and preparation phase of the interview this would be the part of the interview that the constable would ensure that they have all the relevant information that they require and that they are prepared to begin the interview. E Explanation. At </w:t>
      </w:r>
      <w:r>
        <w:lastRenderedPageBreak/>
        <w:t xml:space="preserve">this point of the interview the constable would explain the process of the interview to the suspect they would ask the suspect to only talk about the relevant subject and tell them they will be signposted if they begin to detour from the reason they are being interviewed, they will establish ground rules for example state they will try not to interrupt and request the same from the suspect, and build </w:t>
      </w:r>
      <w:proofErr w:type="spellStart"/>
      <w:r>
        <w:t>a</w:t>
      </w:r>
      <w:proofErr w:type="spellEnd"/>
      <w:r>
        <w:t xml:space="preserve"> environment of respect. A Account clarification at this point in </w:t>
      </w:r>
      <w:proofErr w:type="gramStart"/>
      <w:r>
        <w:t>the  interview</w:t>
      </w:r>
      <w:proofErr w:type="gramEnd"/>
      <w:r>
        <w:t xml:space="preserve"> the constable would ask questions and ensure that they have an understanding of what the suspect has said during their free narrative explanation or account.  Closure / challenge during this phase the interviewer will look to challenge any issues that they highlighted during the interview and look to begin closing the interview. E evaluate. They constable will look to evaluate the interview and reflect what went well what they could improve the next time. They will consider issues such as </w:t>
      </w:r>
      <w:proofErr w:type="gramStart"/>
      <w:r>
        <w:t>vulnerabilities  to</w:t>
      </w:r>
      <w:proofErr w:type="gramEnd"/>
      <w:r>
        <w:t xml:space="preserve"> all parties involved. </w:t>
      </w:r>
    </w:p>
    <w:p w:rsidR="00175421" w:rsidRDefault="00175421"/>
    <w:p w:rsidR="00175421" w:rsidRDefault="00175421">
      <w:r>
        <w:t xml:space="preserve">14. Any person that demonstrates controlling or coercive behaviour to any person. That are 16 years or above and that do not have live in the same address and have an intimate relationship as a family member of as partner. Irrelevant of gender or sexuality </w:t>
      </w:r>
    </w:p>
    <w:p w:rsidR="00175421" w:rsidRDefault="00175421"/>
    <w:p w:rsidR="00175421" w:rsidRDefault="00175421">
      <w:r>
        <w:t xml:space="preserve">15. </w:t>
      </w:r>
      <w:r w:rsidRPr="00F76EC5">
        <w:t xml:space="preserve">Coercive </w:t>
      </w:r>
      <w:proofErr w:type="gramStart"/>
      <w:r w:rsidRPr="00F76EC5">
        <w:t xml:space="preserve">Control’ </w:t>
      </w:r>
      <w:r>
        <w:t xml:space="preserve"> is</w:t>
      </w:r>
      <w:proofErr w:type="gramEnd"/>
      <w:r>
        <w:t xml:space="preserve"> </w:t>
      </w:r>
      <w:r w:rsidRPr="00F76EC5">
        <w:t>so important</w:t>
      </w:r>
      <w:r>
        <w:t xml:space="preserve"> because it has been realised that this behaviour is a form of abuse, when one person will restrict another’s movements and action in their everyday life and control what they do who they see where they go, they may control their finances and break a person’s reliance until that person believes that the behaviour pattern is just the normal, which then can create a barrier for that person being able to reach out for help and break the pattern. Coercive control makes the person extremely vulnerable and subject to for example mental health issues. The behaviour itself can steadily get worse to actual violence. </w:t>
      </w:r>
    </w:p>
    <w:p w:rsidR="00175421" w:rsidRDefault="00175421"/>
    <w:p w:rsidR="00175421" w:rsidRDefault="00175421">
      <w:pPr>
        <w:rPr>
          <w:color w:val="000000" w:themeColor="text1"/>
        </w:rPr>
      </w:pPr>
      <w:r>
        <w:t xml:space="preserve">16. </w:t>
      </w:r>
      <w:proofErr w:type="gramStart"/>
      <w:r w:rsidRPr="00F76EC5">
        <w:rPr>
          <w:color w:val="000000" w:themeColor="text1"/>
        </w:rPr>
        <w:t>child</w:t>
      </w:r>
      <w:proofErr w:type="gramEnd"/>
      <w:r w:rsidRPr="00F76EC5">
        <w:rPr>
          <w:color w:val="000000" w:themeColor="text1"/>
        </w:rPr>
        <w:t xml:space="preserve"> could suffer </w:t>
      </w:r>
      <w:r w:rsidRPr="00F76EC5">
        <w:rPr>
          <w:i/>
          <w:iCs/>
          <w:color w:val="000000" w:themeColor="text1"/>
        </w:rPr>
        <w:t>significant harm</w:t>
      </w:r>
      <w:r w:rsidRPr="00F76EC5">
        <w:rPr>
          <w:color w:val="000000" w:themeColor="text1"/>
        </w:rPr>
        <w:t xml:space="preserve"> due to their circumstances</w:t>
      </w:r>
      <w:r>
        <w:rPr>
          <w:color w:val="000000" w:themeColor="text1"/>
        </w:rPr>
        <w:t xml:space="preserve">. </w:t>
      </w:r>
      <w:proofErr w:type="gramStart"/>
      <w:r>
        <w:rPr>
          <w:color w:val="000000" w:themeColor="text1"/>
        </w:rPr>
        <w:t>If  this</w:t>
      </w:r>
      <w:proofErr w:type="gramEnd"/>
      <w:r>
        <w:rPr>
          <w:color w:val="000000" w:themeColor="text1"/>
        </w:rPr>
        <w:t xml:space="preserve"> is the case then it is vital that you submit a Public Protection Notice to identify that child as vulnerable and at risk this will allow for the PPN to be properly risk assessed by specialist officers that will in turn contact other agencies so that they can share information in order to </w:t>
      </w:r>
      <w:proofErr w:type="spellStart"/>
      <w:r>
        <w:rPr>
          <w:color w:val="000000" w:themeColor="text1"/>
        </w:rPr>
        <w:t>to</w:t>
      </w:r>
      <w:proofErr w:type="spellEnd"/>
      <w:r>
        <w:rPr>
          <w:color w:val="000000" w:themeColor="text1"/>
        </w:rPr>
        <w:t xml:space="preserve"> help protect the vulnerable child. </w:t>
      </w:r>
    </w:p>
    <w:p w:rsidR="00175421" w:rsidRDefault="00175421">
      <w:pPr>
        <w:rPr>
          <w:color w:val="000000" w:themeColor="text1"/>
        </w:rPr>
      </w:pPr>
    </w:p>
    <w:p w:rsidR="00175421" w:rsidRDefault="00175421">
      <w:r>
        <w:rPr>
          <w:color w:val="000000" w:themeColor="text1"/>
        </w:rPr>
        <w:t>17.</w:t>
      </w:r>
      <w:r w:rsidRPr="00175421">
        <w:t xml:space="preserve"> </w:t>
      </w:r>
      <w:proofErr w:type="gramStart"/>
      <w:r w:rsidRPr="00F76EC5">
        <w:t>sec</w:t>
      </w:r>
      <w:proofErr w:type="gramEnd"/>
      <w:r w:rsidRPr="00F76EC5">
        <w:t xml:space="preserve"> 1 Children and Young Persons Act 1933</w:t>
      </w:r>
      <w:r>
        <w:t xml:space="preserve">. A person is guilty of the offence if their behaviour or actions amount to harm physical harm mental abuse of a child vulnerability violence neglect </w:t>
      </w:r>
    </w:p>
    <w:p w:rsidR="00175421" w:rsidRDefault="00175421">
      <w:r>
        <w:t xml:space="preserve">Abuse, physical abuse, vulnerable, harm, </w:t>
      </w:r>
    </w:p>
    <w:p w:rsidR="00175421" w:rsidRDefault="00175421"/>
    <w:p w:rsidR="00175421" w:rsidRDefault="00175421">
      <w:r>
        <w:t xml:space="preserve">18. </w:t>
      </w:r>
      <w:proofErr w:type="gramStart"/>
      <w:r>
        <w:t>national</w:t>
      </w:r>
      <w:proofErr w:type="gramEnd"/>
      <w:r>
        <w:t xml:space="preserve"> decision model, </w:t>
      </w:r>
      <w:proofErr w:type="spellStart"/>
      <w:r>
        <w:t>marac</w:t>
      </w:r>
      <w:proofErr w:type="spellEnd"/>
      <w:r>
        <w:t xml:space="preserve"> multi agency risk assessment conference, PPN, DASH model national decision model </w:t>
      </w:r>
    </w:p>
    <w:p w:rsidR="00175421" w:rsidRDefault="00175421"/>
    <w:p w:rsidR="00175421" w:rsidRDefault="00175421">
      <w:r>
        <w:t xml:space="preserve">19. </w:t>
      </w:r>
      <w:proofErr w:type="gramStart"/>
      <w:r>
        <w:t>requirement</w:t>
      </w:r>
      <w:proofErr w:type="gramEnd"/>
      <w:r>
        <w:t xml:space="preserve"> of a </w:t>
      </w:r>
      <w:proofErr w:type="spellStart"/>
      <w:r>
        <w:t>PPN.based</w:t>
      </w:r>
      <w:proofErr w:type="spellEnd"/>
      <w:r>
        <w:t xml:space="preserve"> on the principles of National decision model also  When an officer has been at an incident and they have identified a vulnerable person they must submit a public protection notice. In incidents of domestic abuse, violence, stalking and harassment </w:t>
      </w:r>
      <w:proofErr w:type="gramStart"/>
      <w:r>
        <w:t>an</w:t>
      </w:r>
      <w:proofErr w:type="gramEnd"/>
      <w:r>
        <w:t xml:space="preserve"> PPN must be submitted every time.  It is a 28 question document that the constable will carry out with the victim in order to identify what category of risk that person is in they are separated in to standard medium </w:t>
      </w:r>
      <w:r>
        <w:lastRenderedPageBreak/>
        <w:t xml:space="preserve">and high only 10% of PPNs will be categorised as high risk. Once the PPN has been completed it will submitted to specialised trained officer to evaluate the risk assessment and in turn then share the information with other agencies such as social  services, education boards </w:t>
      </w:r>
      <w:proofErr w:type="spellStart"/>
      <w:r>
        <w:t>etc</w:t>
      </w:r>
      <w:proofErr w:type="spellEnd"/>
      <w:r>
        <w:t xml:space="preserve">, The information that is shared MARAC will be used to help protect the victim and address the perpetrators behaviour </w:t>
      </w:r>
    </w:p>
    <w:p w:rsidR="00175421" w:rsidRDefault="00175421"/>
    <w:p w:rsidR="00175421" w:rsidRDefault="00175421">
      <w:r>
        <w:t xml:space="preserve">20. DVPN domestic violence protection notice. Based on principles of the national decision model using dynamic risk assessment </w:t>
      </w:r>
      <w:proofErr w:type="gramStart"/>
      <w:r>
        <w:t>This</w:t>
      </w:r>
      <w:proofErr w:type="gramEnd"/>
      <w:r>
        <w:t xml:space="preserve"> is a notice that a constable can place on the perpetrator of domestic violence. It will require the perpetrator to leave the address, not re attend the address, not evict the victim and stay within a prescribed amount of distance from the address.  The Notice needs to be given verbally and writing and a leaflet explaining the notice must also be given to the perpetrator. It is a victimless process so a constable does not require to consent of the victim to place a DVPN on the perpetrator. The Notice must be authorised by a superintendent. The DVPN must be put before a magistrates court within 48 hours this timescale does not include bank holidays or Sundays, they 48 hours will start from when the notice was placed in the person and not from when the notice was authorised by the superintendent. </w:t>
      </w:r>
    </w:p>
    <w:p w:rsidR="00175421" w:rsidRDefault="00175421">
      <w:r>
        <w:t xml:space="preserve">Once the DVPN has been put before a magistrates court a DVPO domestic violence protection order can be </w:t>
      </w:r>
      <w:proofErr w:type="gramStart"/>
      <w:r>
        <w:t>requested  which</w:t>
      </w:r>
      <w:proofErr w:type="gramEnd"/>
      <w:r>
        <w:t xml:space="preserve"> will extend the conditions placed on the person for a period of 14 – 28 days which will give the victim some breathing space. </w:t>
      </w:r>
    </w:p>
    <w:p w:rsidR="00175421" w:rsidRDefault="00175421"/>
    <w:p w:rsidR="00175421" w:rsidRDefault="00175421">
      <w:pPr>
        <w:rPr>
          <w:bCs/>
          <w:color w:val="000000" w:themeColor="text1"/>
        </w:rPr>
      </w:pPr>
      <w:r>
        <w:t xml:space="preserve">21. </w:t>
      </w:r>
      <w:r w:rsidRPr="00F76EC5">
        <w:rPr>
          <w:bCs/>
          <w:color w:val="000000" w:themeColor="text1"/>
        </w:rPr>
        <w:t>Child Sexual Exploitation’</w:t>
      </w:r>
      <w:r>
        <w:rPr>
          <w:bCs/>
          <w:color w:val="000000" w:themeColor="text1"/>
        </w:rPr>
        <w:t xml:space="preserve"> This is where children are used within groups and </w:t>
      </w:r>
      <w:proofErr w:type="gramStart"/>
      <w:r>
        <w:rPr>
          <w:bCs/>
          <w:color w:val="000000" w:themeColor="text1"/>
        </w:rPr>
        <w:t>individuals  of</w:t>
      </w:r>
      <w:proofErr w:type="gramEnd"/>
      <w:r>
        <w:rPr>
          <w:bCs/>
          <w:color w:val="000000" w:themeColor="text1"/>
        </w:rPr>
        <w:t xml:space="preserve"> society for sexual gratification purposes. They will be required to carry out </w:t>
      </w:r>
      <w:proofErr w:type="gramStart"/>
      <w:r>
        <w:rPr>
          <w:bCs/>
          <w:color w:val="000000" w:themeColor="text1"/>
        </w:rPr>
        <w:t>certain  acts</w:t>
      </w:r>
      <w:proofErr w:type="gramEnd"/>
      <w:r>
        <w:rPr>
          <w:bCs/>
          <w:color w:val="000000" w:themeColor="text1"/>
        </w:rPr>
        <w:t xml:space="preserve"> and behaviours that for the sexual gratification of adults, This will include sexual acts, pictures, videos etc. all of which are contrary to section 5 – 10 of the sexual offences act 2003. The child may be made to engage in acts of penetration sect2 sexual touching </w:t>
      </w:r>
      <w:proofErr w:type="gramStart"/>
      <w:r>
        <w:rPr>
          <w:bCs/>
          <w:color w:val="000000" w:themeColor="text1"/>
        </w:rPr>
        <w:t>sect3  watching</w:t>
      </w:r>
      <w:proofErr w:type="gramEnd"/>
      <w:r>
        <w:rPr>
          <w:bCs/>
          <w:color w:val="000000" w:themeColor="text1"/>
        </w:rPr>
        <w:t xml:space="preserve"> sexual acts sect10 being in the presence of adults carrying out sexual acts. The children will not be able to give consent due to their age. </w:t>
      </w:r>
    </w:p>
    <w:p w:rsidR="00175421" w:rsidRDefault="00175421">
      <w:pPr>
        <w:rPr>
          <w:bCs/>
          <w:color w:val="000000" w:themeColor="text1"/>
        </w:rPr>
      </w:pPr>
    </w:p>
    <w:p w:rsidR="00175421" w:rsidRDefault="00175421">
      <w:pPr>
        <w:rPr>
          <w:bCs/>
          <w:color w:val="000000" w:themeColor="text1"/>
        </w:rPr>
      </w:pPr>
      <w:r>
        <w:rPr>
          <w:bCs/>
          <w:color w:val="000000" w:themeColor="text1"/>
        </w:rPr>
        <w:t xml:space="preserve">22. Rape. Section 1 sexual offences act 2003. A person is guilty of the offence of rape if. </w:t>
      </w:r>
    </w:p>
    <w:p w:rsidR="00175421" w:rsidRDefault="00175421">
      <w:pPr>
        <w:rPr>
          <w:bCs/>
          <w:color w:val="000000" w:themeColor="text1"/>
        </w:rPr>
      </w:pPr>
      <w:r>
        <w:rPr>
          <w:bCs/>
          <w:color w:val="000000" w:themeColor="text1"/>
        </w:rPr>
        <w:t xml:space="preserve">Person 1 without consent </w:t>
      </w:r>
      <w:proofErr w:type="spellStart"/>
      <w:r>
        <w:rPr>
          <w:bCs/>
          <w:color w:val="000000" w:themeColor="text1"/>
        </w:rPr>
        <w:t>carrys</w:t>
      </w:r>
      <w:proofErr w:type="spellEnd"/>
      <w:r>
        <w:rPr>
          <w:bCs/>
          <w:color w:val="000000" w:themeColor="text1"/>
        </w:rPr>
        <w:t xml:space="preserve"> out a sexual act </w:t>
      </w:r>
      <w:proofErr w:type="gramStart"/>
      <w:r>
        <w:rPr>
          <w:bCs/>
          <w:color w:val="000000" w:themeColor="text1"/>
        </w:rPr>
        <w:t>of  penetration</w:t>
      </w:r>
      <w:proofErr w:type="gramEnd"/>
      <w:r>
        <w:rPr>
          <w:bCs/>
          <w:color w:val="000000" w:themeColor="text1"/>
        </w:rPr>
        <w:t xml:space="preserve"> to  persons 2 </w:t>
      </w:r>
      <w:proofErr w:type="spellStart"/>
      <w:r>
        <w:rPr>
          <w:bCs/>
          <w:color w:val="000000" w:themeColor="text1"/>
        </w:rPr>
        <w:t>virgina</w:t>
      </w:r>
      <w:proofErr w:type="spellEnd"/>
      <w:r>
        <w:rPr>
          <w:bCs/>
          <w:color w:val="000000" w:themeColor="text1"/>
        </w:rPr>
        <w:t xml:space="preserve"> or anus or mouth against their will and without consent of that person.  </w:t>
      </w:r>
    </w:p>
    <w:p w:rsidR="00175421" w:rsidRDefault="00175421">
      <w:pPr>
        <w:rPr>
          <w:bCs/>
          <w:color w:val="000000" w:themeColor="text1"/>
        </w:rPr>
      </w:pPr>
    </w:p>
    <w:p w:rsidR="00175421" w:rsidRDefault="00175421">
      <w:pPr>
        <w:rPr>
          <w:bCs/>
          <w:color w:val="000000" w:themeColor="text1"/>
        </w:rPr>
      </w:pPr>
      <w:r>
        <w:rPr>
          <w:bCs/>
          <w:color w:val="000000" w:themeColor="text1"/>
        </w:rPr>
        <w:t xml:space="preserve">23. presumption in regards to rape is that the person did not want or want </w:t>
      </w:r>
      <w:proofErr w:type="gramStart"/>
      <w:r>
        <w:rPr>
          <w:bCs/>
          <w:color w:val="000000" w:themeColor="text1"/>
        </w:rPr>
        <w:t>to  allow</w:t>
      </w:r>
      <w:proofErr w:type="gramEnd"/>
      <w:r>
        <w:rPr>
          <w:bCs/>
          <w:color w:val="000000" w:themeColor="text1"/>
        </w:rPr>
        <w:t xml:space="preserve"> or ask for it happen and that it happened without that persons consent and it is presumed that the person that committed the rape did so in the knowledge that the person did not consent or would not had consented and did not want it happen. </w:t>
      </w:r>
    </w:p>
    <w:p w:rsidR="00175421" w:rsidRDefault="00175421"/>
    <w:p w:rsidR="00175421" w:rsidRDefault="00175421">
      <w:r>
        <w:t xml:space="preserve">24. Section 18(1) pace search power. When a person has been arrested and are in custody a constable can request to search a related property to the offence as they believe that they be able to secure evidence in relation to the offence that the person in custody has been arrested for, they will need to request  authorisation from an inspection to carry out the search , they may  also wish to request that that the person in custody is placed into incommunicado so for example they do not </w:t>
      </w:r>
      <w:r>
        <w:lastRenderedPageBreak/>
        <w:t xml:space="preserve">let associates know that the police will be attending an address and so give the opportunity to get rid of the evidence that they search may uncover.   </w:t>
      </w:r>
    </w:p>
    <w:p w:rsidR="00175421" w:rsidRDefault="00175421">
      <w:r>
        <w:t xml:space="preserve"> </w:t>
      </w:r>
    </w:p>
    <w:p w:rsidR="00175421" w:rsidRDefault="00175421">
      <w:r>
        <w:t xml:space="preserve">25. </w:t>
      </w:r>
      <w:proofErr w:type="gramStart"/>
      <w:r>
        <w:t>when</w:t>
      </w:r>
      <w:proofErr w:type="gramEnd"/>
      <w:r>
        <w:t xml:space="preserve"> a search power is lawfully executed the constable can seize items that they feel are evidentially in relation to an investigation. They also seize items that may aide a person escape, or be used to cause harm to their self or others including the officers. </w:t>
      </w:r>
    </w:p>
    <w:sectPr w:rsidR="00175421" w:rsidSect="00175421">
      <w:headerReference w:type="even" r:id="rId7"/>
      <w:headerReference w:type="default" r:id="rId8"/>
      <w:footerReference w:type="even" r:id="rId9"/>
      <w:footerReference w:type="default" r:id="rId10"/>
      <w:headerReference w:type="first" r:id="rId11"/>
      <w:footerReference w:type="first" r:id="rId12"/>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175421" w:rsidRDefault="00175421" w:rsidP="00175421">
      <w:pPr>
        <w:spacing w:after="0" w:line="240" w:lineRule="auto"/>
      </w:pPr>
      <w:r>
        <w:separator/>
      </w:r>
    </w:p>
  </w:endnote>
  <w:endnote w:type="continuationSeparator" w:id="0">
    <w:p w:rsidR="00175421" w:rsidRDefault="00175421" w:rsidP="0017542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75421" w:rsidRDefault="00175421" w:rsidP="00175421">
    <w:pPr>
      <w:pStyle w:val="Footer"/>
      <w:rPr>
        <w:color w:val="000000"/>
        <w:sz w:val="17"/>
      </w:rPr>
    </w:pPr>
    <w:bookmarkStart w:id="3" w:name="TITUS1FooterEvenPages"/>
    <w:r w:rsidRPr="00175421">
      <w:rPr>
        <w:color w:val="000000"/>
        <w:sz w:val="17"/>
      </w:rPr>
      <w:t> </w:t>
    </w:r>
  </w:p>
  <w:bookmarkEnd w:id="3"/>
  <w:p w:rsidR="00175421" w:rsidRDefault="0017542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75421" w:rsidRDefault="00175421" w:rsidP="00175421">
    <w:pPr>
      <w:pStyle w:val="Footer"/>
      <w:rPr>
        <w:color w:val="000000"/>
        <w:sz w:val="17"/>
      </w:rPr>
    </w:pPr>
    <w:bookmarkStart w:id="4" w:name="TITUS1FooterPrimary"/>
    <w:r w:rsidRPr="00175421">
      <w:rPr>
        <w:color w:val="000000"/>
        <w:sz w:val="17"/>
      </w:rPr>
      <w:t> </w:t>
    </w:r>
  </w:p>
  <w:bookmarkEnd w:id="4"/>
  <w:p w:rsidR="00175421" w:rsidRDefault="00175421">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75421" w:rsidRDefault="00175421" w:rsidP="00175421">
    <w:pPr>
      <w:pStyle w:val="Footer"/>
      <w:rPr>
        <w:color w:val="000000"/>
        <w:sz w:val="17"/>
      </w:rPr>
    </w:pPr>
    <w:bookmarkStart w:id="6" w:name="TITUS1FooterFirstPage"/>
    <w:r w:rsidRPr="00175421">
      <w:rPr>
        <w:color w:val="000000"/>
        <w:sz w:val="17"/>
      </w:rPr>
      <w:t> </w:t>
    </w:r>
  </w:p>
  <w:bookmarkEnd w:id="6"/>
  <w:p w:rsidR="00175421" w:rsidRDefault="0017542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175421" w:rsidRDefault="00175421" w:rsidP="00175421">
      <w:pPr>
        <w:spacing w:after="0" w:line="240" w:lineRule="auto"/>
      </w:pPr>
      <w:r>
        <w:separator/>
      </w:r>
    </w:p>
  </w:footnote>
  <w:footnote w:type="continuationSeparator" w:id="0">
    <w:p w:rsidR="00175421" w:rsidRDefault="00175421" w:rsidP="0017542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75421" w:rsidRDefault="00175421" w:rsidP="00175421">
    <w:pPr>
      <w:pStyle w:val="Header"/>
      <w:rPr>
        <w:color w:val="000000"/>
        <w:sz w:val="17"/>
      </w:rPr>
    </w:pPr>
    <w:bookmarkStart w:id="1" w:name="TITUS1HeaderEvenPages"/>
    <w:r w:rsidRPr="00175421">
      <w:rPr>
        <w:color w:val="000000"/>
        <w:sz w:val="17"/>
      </w:rPr>
      <w:t> </w:t>
    </w:r>
  </w:p>
  <w:bookmarkEnd w:id="1"/>
  <w:p w:rsidR="00175421" w:rsidRDefault="00175421">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75421" w:rsidRDefault="00175421" w:rsidP="00175421">
    <w:pPr>
      <w:pStyle w:val="Header"/>
      <w:rPr>
        <w:color w:val="000000"/>
        <w:sz w:val="17"/>
      </w:rPr>
    </w:pPr>
    <w:bookmarkStart w:id="2" w:name="TITUS1HeaderPrimary"/>
    <w:r w:rsidRPr="00175421">
      <w:rPr>
        <w:color w:val="000000"/>
        <w:sz w:val="17"/>
      </w:rPr>
      <w:t> </w:t>
    </w:r>
  </w:p>
  <w:bookmarkEnd w:id="2"/>
  <w:p w:rsidR="00175421" w:rsidRDefault="00175421">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75421" w:rsidRDefault="00175421" w:rsidP="00175421">
    <w:pPr>
      <w:pStyle w:val="Header"/>
      <w:rPr>
        <w:color w:val="000000"/>
        <w:sz w:val="17"/>
      </w:rPr>
    </w:pPr>
    <w:bookmarkStart w:id="5" w:name="TITUS1HeaderFirstPage"/>
    <w:r w:rsidRPr="00175421">
      <w:rPr>
        <w:color w:val="000000"/>
        <w:sz w:val="17"/>
      </w:rPr>
      <w:t> </w:t>
    </w:r>
  </w:p>
  <w:bookmarkEnd w:id="5"/>
  <w:p w:rsidR="00175421" w:rsidRDefault="0017542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4FE189A"/>
    <w:multiLevelType w:val="hybridMultilevel"/>
    <w:tmpl w:val="60AC43B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5646AD8"/>
    <w:multiLevelType w:val="hybridMultilevel"/>
    <w:tmpl w:val="73367C5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7BDC7A2D"/>
    <w:multiLevelType w:val="hybridMultilevel"/>
    <w:tmpl w:val="EB1E73C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2"/>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28"/>
  <w:proofState w:spelling="clean" w:grammar="clean"/>
  <w:defaultTabStop w:val="720"/>
  <w:evenAndOddHeaders/>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E3462"/>
    <w:rsid w:val="00175421"/>
    <w:rsid w:val="00730E28"/>
    <w:rsid w:val="00DE3462"/>
    <w:rsid w:val="00FE04E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14:docId w14:val="0A8D72FE"/>
  <w15:chartTrackingRefBased/>
  <w15:docId w15:val="{FE2DE36A-7979-4656-8B97-F96DF86806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175421"/>
    <w:pPr>
      <w:ind w:left="720"/>
      <w:contextualSpacing/>
    </w:pPr>
  </w:style>
  <w:style w:type="paragraph" w:styleId="Header">
    <w:name w:val="header"/>
    <w:basedOn w:val="Normal"/>
    <w:link w:val="HeaderChar"/>
    <w:uiPriority w:val="99"/>
    <w:unhideWhenUsed/>
    <w:rsid w:val="00175421"/>
    <w:pPr>
      <w:tabs>
        <w:tab w:val="center" w:pos="4513"/>
        <w:tab w:val="right" w:pos="9026"/>
      </w:tabs>
      <w:spacing w:after="0" w:line="240" w:lineRule="auto"/>
    </w:pPr>
  </w:style>
  <w:style w:type="character" w:customStyle="1" w:styleId="HeaderChar">
    <w:name w:val="Header Char"/>
    <w:basedOn w:val="DefaultParagraphFont"/>
    <w:link w:val="Header"/>
    <w:uiPriority w:val="99"/>
    <w:rsid w:val="00175421"/>
  </w:style>
  <w:style w:type="paragraph" w:styleId="Footer">
    <w:name w:val="footer"/>
    <w:basedOn w:val="Normal"/>
    <w:link w:val="FooterChar"/>
    <w:uiPriority w:val="99"/>
    <w:unhideWhenUsed/>
    <w:rsid w:val="00175421"/>
    <w:pPr>
      <w:tabs>
        <w:tab w:val="center" w:pos="4513"/>
        <w:tab w:val="right" w:pos="9026"/>
      </w:tabs>
      <w:spacing w:after="0" w:line="240" w:lineRule="auto"/>
    </w:pPr>
  </w:style>
  <w:style w:type="character" w:customStyle="1" w:styleId="FooterChar">
    <w:name w:val="Footer Char"/>
    <w:basedOn w:val="DefaultParagraphFont"/>
    <w:link w:val="Footer"/>
    <w:uiPriority w:val="99"/>
    <w:rsid w:val="0017542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footer" Target="footer3.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3.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123</TotalTime>
  <Pages>5</Pages>
  <Words>1788</Words>
  <Characters>10196</Characters>
  <Application>Microsoft Office Word</Application>
  <DocSecurity>0</DocSecurity>
  <Lines>84</Lines>
  <Paragraphs>23</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11961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O'Driscoll,Mikey swp6693</dc:creator>
  <cp:keywords/>
  <dc:description/>
  <cp:lastModifiedBy>O'Driscoll,Mikey swp6693</cp:lastModifiedBy>
  <cp:revision>1</cp:revision>
  <dcterms:created xsi:type="dcterms:W3CDTF">2020-11-16T12:38:00Z</dcterms:created>
  <dcterms:modified xsi:type="dcterms:W3CDTF">2020-11-16T15:02:00Z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2e673224-677e-4abb-8e95-5cc047da8b27</vt:lpwstr>
  </property>
  <property fmtid="{D5CDD505-2E9C-101B-9397-08002B2CF9AE}" pid="3" name="Classification">
    <vt:lpwstr>OFFICIAL</vt:lpwstr>
  </property>
  <property fmtid="{D5CDD505-2E9C-101B-9397-08002B2CF9AE}" pid="4" name="Visibility">
    <vt:lpwstr>NOT VISIBLE</vt:lpwstr>
  </property>
</Properties>
</file>