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97700" w:rsidRDefault="0013327C" w:rsidP="00F561A1">
      <w:pPr>
        <w:jc w:val="center"/>
      </w:pPr>
      <w:r>
        <w:t xml:space="preserve">Death, dying and the Macabre in the Late Middle Ages: Portfolio exercise three (St John’s Vision of the Apocalypse, right wing of the </w:t>
      </w:r>
      <w:r>
        <w:rPr>
          <w:i/>
        </w:rPr>
        <w:t xml:space="preserve">St John Altarpiece </w:t>
      </w:r>
      <w:r>
        <w:t>by Hans Memling, 1474-1479).</w:t>
      </w:r>
    </w:p>
    <w:p w:rsidR="0013327C" w:rsidRDefault="0013327C" w:rsidP="0013327C">
      <w:pPr>
        <w:jc w:val="both"/>
      </w:pPr>
    </w:p>
    <w:p w:rsidR="00403C03" w:rsidRDefault="00F561A1" w:rsidP="0013327C">
      <w:pPr>
        <w:jc w:val="both"/>
      </w:pPr>
      <w:r>
        <w:rPr>
          <w:noProof/>
        </w:rPr>
        <w:drawing>
          <wp:anchor distT="0" distB="0" distL="114300" distR="114300" simplePos="0" relativeHeight="251658240" behindDoc="0" locked="0" layoutInCell="1" allowOverlap="1" wp14:anchorId="1DF3AB71">
            <wp:simplePos x="0" y="0"/>
            <wp:positionH relativeFrom="margin">
              <wp:align>left</wp:align>
            </wp:positionH>
            <wp:positionV relativeFrom="paragraph">
              <wp:posOffset>424845</wp:posOffset>
            </wp:positionV>
            <wp:extent cx="2284730" cy="4603750"/>
            <wp:effectExtent l="0" t="0" r="127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84730" cy="4603750"/>
                    </a:xfrm>
                    <a:prstGeom prst="rect">
                      <a:avLst/>
                    </a:prstGeom>
                    <a:ln>
                      <a:noFill/>
                    </a:ln>
                    <a:effectLst>
                      <a:softEdge rad="63500"/>
                    </a:effectLst>
                  </pic:spPr>
                </pic:pic>
              </a:graphicData>
            </a:graphic>
            <wp14:sizeRelH relativeFrom="page">
              <wp14:pctWidth>0</wp14:pctWidth>
            </wp14:sizeRelH>
            <wp14:sizeRelV relativeFrom="page">
              <wp14:pctHeight>0</wp14:pctHeight>
            </wp14:sizeRelV>
          </wp:anchor>
        </w:drawing>
      </w:r>
      <w:r w:rsidR="00C4403A">
        <w:t>Hans Memling</w:t>
      </w:r>
      <w:r w:rsidR="00032FE9">
        <w:t xml:space="preserve"> (c. 1430 – 1494) was a German painter who upon moving to Flanders became very successful in his artwork. He became one of the wealthiest citizens of Bruges and produced many religious works. </w:t>
      </w:r>
      <w:r w:rsidR="005A1F8C">
        <w:t xml:space="preserve">In this image St John of Patmos is depicted </w:t>
      </w:r>
      <w:r w:rsidR="00DB0B4A">
        <w:t xml:space="preserve">envisioning the apocalypse from chapters four to twelve of the Book of Revelations. The image forms the right panel of the St John Altarpiece. An oil-on-oak masterpiece, this collection of panels was completed by Hans Memling in 1479 and installed in the Old St John’s Hospital in the new apse. The altarpiece consists of five images covering a large central piece with a double-sided wing on each side. </w:t>
      </w:r>
      <w:r w:rsidR="00C335A1">
        <w:t>The painting skips chapters one through to three and begins with the events of chapters four of Revelation. As this is when St John is supposed to ascend into spirit form to witness these events it adds further meaning to the dreamlike layout of the piece where St John upon his rock appears as both part of and apart from the scenes unfolding before him.</w:t>
      </w:r>
      <w:r w:rsidR="00924AA1">
        <w:t xml:space="preserve"> Historically the painting is unusual as there ‘</w:t>
      </w:r>
      <w:r w:rsidR="00924AA1" w:rsidRPr="00924AA1">
        <w:t>is no sign of any other representation prior to Memling in which the Book of Revelation is played out before St John's eyes in its entirety in a single, undivided painting</w:t>
      </w:r>
      <w:r w:rsidR="00924AA1">
        <w:t>’</w:t>
      </w:r>
      <w:r w:rsidR="00924AA1">
        <w:rPr>
          <w:rStyle w:val="FootnoteReference"/>
        </w:rPr>
        <w:footnoteReference w:id="1"/>
      </w:r>
      <w:r w:rsidR="00924AA1">
        <w:t xml:space="preserve"> and so the image appears packed with much detail and symbolism as possible, something Memling is noted for.</w:t>
      </w:r>
    </w:p>
    <w:p w:rsidR="00DD0B39" w:rsidRDefault="00BD0E14" w:rsidP="0013327C">
      <w:pPr>
        <w:jc w:val="both"/>
      </w:pPr>
      <w:r>
        <w:rPr>
          <w:noProof/>
        </w:rPr>
        <mc:AlternateContent>
          <mc:Choice Requires="wps">
            <w:drawing>
              <wp:anchor distT="45720" distB="45720" distL="114300" distR="114300" simplePos="0" relativeHeight="251660288" behindDoc="0" locked="0" layoutInCell="1" allowOverlap="1">
                <wp:simplePos x="0" y="0"/>
                <wp:positionH relativeFrom="column">
                  <wp:posOffset>1637030</wp:posOffset>
                </wp:positionH>
                <wp:positionV relativeFrom="paragraph">
                  <wp:posOffset>417830</wp:posOffset>
                </wp:positionV>
                <wp:extent cx="584200" cy="244475"/>
                <wp:effectExtent l="0" t="0" r="6350"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200" cy="244475"/>
                        </a:xfrm>
                        <a:prstGeom prst="rect">
                          <a:avLst/>
                        </a:prstGeom>
                        <a:solidFill>
                          <a:srgbClr val="FFFFFF"/>
                        </a:solidFill>
                        <a:ln w="9525">
                          <a:noFill/>
                          <a:miter lim="800000"/>
                          <a:headEnd/>
                          <a:tailEnd/>
                        </a:ln>
                        <a:effectLst>
                          <a:softEdge rad="31750"/>
                        </a:effectLst>
                      </wps:spPr>
                      <wps:txbx>
                        <w:txbxContent>
                          <w:p w:rsidR="00BD0E14" w:rsidRPr="00BD0E14" w:rsidRDefault="00BD0E14">
                            <w:pPr>
                              <w:rPr>
                                <w:sz w:val="18"/>
                              </w:rPr>
                            </w:pPr>
                            <w:r w:rsidRPr="00BD0E14">
                              <w:rPr>
                                <w:sz w:val="18"/>
                              </w:rP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28.9pt;margin-top:32.9pt;width:46pt;height:19.2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cz+OgIAAFAEAAAOAAAAZHJzL2Uyb0RvYy54bWysVNtu2zAMfR+wfxD0vjj2nCU14hRd2gwD&#10;ugvQ7gNoWY6FyaInKbG7rx8lp2m2vQ3zg0CK1NHhIeX19dhpdpTWKTQlT2dzzqQRWCuzL/m3x92b&#10;FWfOg6lBo5Elf5KOX29ev1oPfSEzbFHX0jICMa4Y+pK33vdFkjjRyg7cDHtpKNig7cCTa/dJbWEg&#10;9E4n2Xz+LhnQ1r1FIZ2j3dspyDcRv2mk8F+axknPdMmJm4+rjWsV1mSzhmJvoW+VONGAf2DRgTJ0&#10;6RnqFjywg1V/QXVKWHTY+JnALsGmUULGGqiadP5HNQ8t9DLWQuK4/iyT+3+w4vPxq2WqLnmWLjkz&#10;0FGTHuXo2XscWRb0GXpXUNpDT4l+pG3qc6zV9fcovjtmcNuC2csba3FoJdTELw0nk4ujE44LINXw&#10;CWu6Bg4eI9DY2C6IR3IwQqc+PZ17E6gI2lyscuo3Z4JCWZ7ny0W8AYrnw711/oPEjgWj5JZaH8Hh&#10;eO98IAPFc0q4y6FW9U5pHR27r7basiPQmOzid0L/LU0bNpT8apEtIrLBcD5OUKc8jbFWXclX8/CF&#10;41AEMe5MHW0PSk82MdEmhGUcUKI3EWr8Xb2XzAJ14226XEQQSr5Ii4oGESc5/ViNBB5krrB+Im0t&#10;TiNOT5KMFu1PzgYa75K7HwewkjP90VB/rtI8D+8hOvlimZFjLyPVZQSMIKiSe84mc+vjGwq8Dd5Q&#10;HxsVNX5hcuo+jW2U/vTEwru49GPWy49g8wsAAP//AwBQSwMEFAAGAAgAAAAhABxkEufeAAAACgEA&#10;AA8AAABkcnMvZG93bnJldi54bWxMj89OwzAMh+9IvENkJC6IpWz9w7qmEyCBuG7sAdLGa6s1TtVk&#10;a/f2mBM72ZY//fy52M62FxccfedIwcsiAoFUO9NRo+Dw8/n8CsIHTUb3jlDBFT1sy/u7QufGTbTD&#10;yz40gkPI51pBG8KQS+nrFq32Czcg8e7oRqsDj2MjzagnDre9XEZRKq3uiC+0esCPFuvT/mwVHL+n&#10;p2Q9VV/hkO3i9F13WeWuSj0+zG8bEAHn8A/Dnz6rQ8lOlTuT8aJXsEwyVg8K0oQrA6t4zU3FZBSv&#10;QJaFvH2h/AUAAP//AwBQSwECLQAUAAYACAAAACEAtoM4kv4AAADhAQAAEwAAAAAAAAAAAAAAAAAA&#10;AAAAW0NvbnRlbnRfVHlwZXNdLnhtbFBLAQItABQABgAIAAAAIQA4/SH/1gAAAJQBAAALAAAAAAAA&#10;AAAAAAAAAC8BAABfcmVscy8ucmVsc1BLAQItABQABgAIAAAAIQDCncz+OgIAAFAEAAAOAAAAAAAA&#10;AAAAAAAAAC4CAABkcnMvZTJvRG9jLnhtbFBLAQItABQABgAIAAAAIQAcZBLn3gAAAAoBAAAPAAAA&#10;AAAAAAAAAAAAAJQEAABkcnMvZG93bnJldi54bWxQSwUGAAAAAAQABADzAAAAnwUAAAAA&#10;" stroked="f">
                <v:textbox>
                  <w:txbxContent>
                    <w:p w:rsidR="00BD0E14" w:rsidRPr="00BD0E14" w:rsidRDefault="00BD0E14">
                      <w:pPr>
                        <w:rPr>
                          <w:sz w:val="18"/>
                        </w:rPr>
                      </w:pPr>
                      <w:r w:rsidRPr="00BD0E14">
                        <w:rPr>
                          <w:sz w:val="18"/>
                        </w:rPr>
                        <w:t>Figure 1</w:t>
                      </w:r>
                    </w:p>
                  </w:txbxContent>
                </v:textbox>
                <w10:wrap type="square"/>
              </v:shape>
            </w:pict>
          </mc:Fallback>
        </mc:AlternateContent>
      </w:r>
      <w:r w:rsidR="00DD0B39">
        <w:t xml:space="preserve">Due to the oil </w:t>
      </w:r>
      <w:r w:rsidR="00185AE9">
        <w:t>paint,</w:t>
      </w:r>
      <w:r w:rsidR="00DD0B39">
        <w:t xml:space="preserve"> the colours given are deep and rich conveying a sense of sobriety to the scene. St John is placed in the foreground with his book and pen to hand ready to record the </w:t>
      </w:r>
      <w:r w:rsidR="00185AE9">
        <w:t>revelation</w:t>
      </w:r>
      <w:r w:rsidR="00DD0B39">
        <w:t xml:space="preserve">. The top left of the image shows the window into heaven with the servants sent out to wreak the havoc of the apocalypse taking up the </w:t>
      </w:r>
      <w:r w:rsidR="00967D63">
        <w:t>middle</w:t>
      </w:r>
      <w:r w:rsidR="002726D0">
        <w:t xml:space="preserve"> part of the image.</w:t>
      </w:r>
      <w:r w:rsidR="003A3F17">
        <w:t xml:space="preserve"> </w:t>
      </w:r>
      <w:r w:rsidR="00F119D4">
        <w:t>The three parts of the image show God and Heaven in full spiritual state and John in full bodily state. The Four Horsemen of the middle stretch form a sort of bridge between the living and the dead in what they represent to the apocalypse</w:t>
      </w:r>
      <w:r w:rsidR="003B4D3F">
        <w:t>, what will happen but has not yet occurred</w:t>
      </w:r>
      <w:r w:rsidR="007B071C">
        <w:t>:</w:t>
      </w:r>
      <w:r w:rsidR="00F119D4">
        <w:t xml:space="preserve"> the figures who will cause you to change from one state to the other. The image could well strike fear into your spiritual self. </w:t>
      </w:r>
      <w:r w:rsidR="003A3F17">
        <w:t>Due to St John’s larger size compared to the other figures in the image and his plain singular colour of dress your eye is immediately drawn to his figure where your eyes then follow his in the direction of heaven. This looking towards the important part of the depiction was a common tool in medieval imagery intended to fo</w:t>
      </w:r>
      <w:r w:rsidR="000813A4">
        <w:t>cus the audience on a singular</w:t>
      </w:r>
      <w:r w:rsidR="003A3F17">
        <w:t xml:space="preserve"> figure or scene.</w:t>
      </w:r>
      <w:r w:rsidR="00DD0B39">
        <w:t xml:space="preserve"> </w:t>
      </w:r>
      <w:r w:rsidR="007045D0">
        <w:t>To a more modern audience it also conveys a dream-like or spiritual state.</w:t>
      </w:r>
    </w:p>
    <w:p w:rsidR="00185AE9" w:rsidRDefault="00185AE9" w:rsidP="0013327C">
      <w:pPr>
        <w:jc w:val="both"/>
      </w:pPr>
      <w:r>
        <w:t>The aureole in the top left appears crammed with figures. The God figure sits on an elaborate throne with the lamb by His side resting its two front feet upon His leg. The image is reminiscent of a loyal hound looking for his master’s atte</w:t>
      </w:r>
      <w:r w:rsidR="00C335A1">
        <w:t xml:space="preserve">ntion. </w:t>
      </w:r>
      <w:r w:rsidR="00B20ABF">
        <w:t xml:space="preserve">The lamb represents Jesus, the innocent sacrifice who is the </w:t>
      </w:r>
      <w:r w:rsidR="00B20ABF">
        <w:lastRenderedPageBreak/>
        <w:t xml:space="preserve">only one worthy enough to break the seven seals of the scroll in God’s hand. </w:t>
      </w:r>
      <w:r w:rsidR="00C335A1">
        <w:t>Below and around these figures are the winged man, winged lion, winged ox and an eagle representing the four evangelists. Fur</w:t>
      </w:r>
      <w:r w:rsidR="00EE118E">
        <w:t>ther below these are thirteen</w:t>
      </w:r>
      <w:r w:rsidR="00C335A1">
        <w:t xml:space="preserve"> of the 24 elders as mentioned in St John’s vision who can be seen seated with golden crowns upon their heads.</w:t>
      </w:r>
      <w:r w:rsidR="007B071C">
        <w:t xml:space="preserve"> Ironically the number thirteen is superstitiously associated with ill luck and so this alludes to the negative events of the apocalypse.</w:t>
      </w:r>
      <w:r>
        <w:t xml:space="preserve"> </w:t>
      </w:r>
      <w:r w:rsidR="00BE4682">
        <w:t>Between the elders is an ecclesiastical</w:t>
      </w:r>
      <w:r w:rsidR="00EE4074">
        <w:t xml:space="preserve"> figure pointing up to the lamb and gesturing almost in welcome down to St John.</w:t>
      </w:r>
      <w:r w:rsidR="001E2396">
        <w:t xml:space="preserve"> The aureole appears tightly packed with figures and therefore does not feel as pleasing to the eye</w:t>
      </w:r>
      <w:r w:rsidR="00BE4682">
        <w:t xml:space="preserve"> although it indicates</w:t>
      </w:r>
      <w:r w:rsidR="0056670E">
        <w:t xml:space="preserve"> how although the representation of heaven is important, the events unfolding in the apocalypse</w:t>
      </w:r>
      <w:r w:rsidR="000813A4">
        <w:t xml:space="preserve"> should be the</w:t>
      </w:r>
      <w:r w:rsidR="00583F2F">
        <w:t xml:space="preserve"> focus of the viewer’s a</w:t>
      </w:r>
      <w:r w:rsidR="00BE4682">
        <w:t>ttention. On saying this,</w:t>
      </w:r>
      <w:r w:rsidR="00583F2F">
        <w:t xml:space="preserve"> what goes on in the top right of the image appears so small and distant that your attention is not guided here as easily.</w:t>
      </w:r>
      <w:r w:rsidR="0056670E">
        <w:t xml:space="preserve"> </w:t>
      </w:r>
      <w:r w:rsidR="008F606D">
        <w:t xml:space="preserve">On the rainbow of the aureole </w:t>
      </w:r>
      <w:proofErr w:type="spellStart"/>
      <w:r w:rsidR="008F606D">
        <w:t>Hooreweder</w:t>
      </w:r>
      <w:proofErr w:type="spellEnd"/>
      <w:r w:rsidR="008F606D">
        <w:t xml:space="preserve"> remarks that the ‘blue recalls Christ's heavenly origin, the red announces the apocalypse while the green proclaims the advent of a new world’</w:t>
      </w:r>
      <w:r w:rsidR="008F606D">
        <w:rPr>
          <w:rStyle w:val="FootnoteReference"/>
        </w:rPr>
        <w:footnoteReference w:id="2"/>
      </w:r>
      <w:r w:rsidR="008F606D">
        <w:t>. Like in most religious pieces colour is very symbolic and blue is often associated with the Virgin Mary, this agrees with</w:t>
      </w:r>
      <w:r w:rsidR="005314C8">
        <w:t xml:space="preserve"> it representing Christ. Red for the blood that will be shed in the end of days is obvious within itself and green often symbolises new and fresh tidings with the season of spring and the new growth.</w:t>
      </w:r>
      <w:r w:rsidR="008F606D">
        <w:t xml:space="preserve"> </w:t>
      </w:r>
    </w:p>
    <w:p w:rsidR="008C3820" w:rsidRDefault="00EB3121" w:rsidP="0013327C">
      <w:pPr>
        <w:jc w:val="both"/>
      </w:pPr>
      <w:r>
        <w:t xml:space="preserve">Above St John a thin stretch of land leads up to the top right corner. Upon this are the four horsemen of the apocalypse. After each of the first four seals is broken appears one of these four horsemen. The first to arrive is the white horse with the rider of conquest. Memling’s representation shows the rider in white with a crown of victory and a bow (interestingly aimed at St John himself) with the horse itself in a stance of determination. The second is the red horse ridden by a rider in black with a sword in hand. Representing war this figure appears strong and prepared to charge into battle. The third horse to appear is black with a rider who carries scales and symbolises famine. When the fourth seal is broken the last horse appears, pale in colour and charging out of the </w:t>
      </w:r>
      <w:r w:rsidR="00D95991">
        <w:t>hell mouth</w:t>
      </w:r>
      <w:r>
        <w:t>.</w:t>
      </w:r>
      <w:r w:rsidR="00D95991">
        <w:t xml:space="preserve"> Whilst all the riders look towards the right border of the painting it </w:t>
      </w:r>
      <w:r w:rsidR="007502FC">
        <w:t>appears that conquest</w:t>
      </w:r>
      <w:r w:rsidR="00D95991">
        <w:t xml:space="preserve"> look</w:t>
      </w:r>
      <w:r w:rsidR="007502FC">
        <w:t>s</w:t>
      </w:r>
      <w:r w:rsidR="00D95991">
        <w:t xml:space="preserve"> down slightly more and therefore to St Joh</w:t>
      </w:r>
      <w:r w:rsidR="007502FC">
        <w:t>n himself. Curiously</w:t>
      </w:r>
      <w:r w:rsidR="00D95991">
        <w:t xml:space="preserve"> his is the only horse to be facing away from the other events of the painting. Whether this is intentional or due to artistic layout it certainly stands out and is worthy of note.</w:t>
      </w:r>
      <w:r w:rsidR="00F53063">
        <w:t xml:space="preserve"> </w:t>
      </w:r>
      <w:r w:rsidR="00863610">
        <w:t xml:space="preserve">The position of the horsemen </w:t>
      </w:r>
      <w:r w:rsidR="00C40407">
        <w:t>leads</w:t>
      </w:r>
      <w:r w:rsidR="00863610">
        <w:t xml:space="preserve"> diagonally up to the right suggesting as they progress this is the chaos caused and as the events of the apocalypse appear to become more violent they also become smaller and more distant.</w:t>
      </w:r>
      <w:r w:rsidR="00987788">
        <w:t xml:space="preserve"> Memling also shows the reflections of some of the horses although it is frustratingly inaccurate in its representation. </w:t>
      </w:r>
    </w:p>
    <w:p w:rsidR="00B150BB" w:rsidRDefault="00B150BB" w:rsidP="0013327C">
      <w:pPr>
        <w:jc w:val="both"/>
      </w:pPr>
    </w:p>
    <w:p w:rsidR="004562DE" w:rsidRDefault="004562DE" w:rsidP="0013327C">
      <w:pPr>
        <w:jc w:val="both"/>
      </w:pPr>
    </w:p>
    <w:p w:rsidR="003B2212" w:rsidRDefault="003B2212" w:rsidP="0013327C">
      <w:pPr>
        <w:jc w:val="both"/>
      </w:pPr>
    </w:p>
    <w:p w:rsidR="003B2212" w:rsidRDefault="003B2212" w:rsidP="0013327C">
      <w:pPr>
        <w:jc w:val="both"/>
      </w:pPr>
    </w:p>
    <w:p w:rsidR="003B2212" w:rsidRDefault="003B2212" w:rsidP="0013327C">
      <w:pPr>
        <w:jc w:val="both"/>
      </w:pPr>
    </w:p>
    <w:p w:rsidR="003B2212" w:rsidRDefault="003B2212" w:rsidP="0013327C">
      <w:pPr>
        <w:jc w:val="both"/>
      </w:pPr>
    </w:p>
    <w:p w:rsidR="003B2212" w:rsidRDefault="003B2212" w:rsidP="0013327C">
      <w:pPr>
        <w:jc w:val="both"/>
      </w:pPr>
    </w:p>
    <w:p w:rsidR="003B2212" w:rsidRDefault="003B2212" w:rsidP="0013327C">
      <w:pPr>
        <w:jc w:val="both"/>
      </w:pPr>
    </w:p>
    <w:p w:rsidR="004562DE" w:rsidRDefault="004562DE" w:rsidP="006A709D">
      <w:r>
        <w:lastRenderedPageBreak/>
        <w:t>Bibliography</w:t>
      </w:r>
    </w:p>
    <w:p w:rsidR="00616DE1" w:rsidRDefault="00616DE1" w:rsidP="006A709D">
      <w:r>
        <w:t>Emmerson, R. K</w:t>
      </w:r>
      <w:r w:rsidRPr="00616DE1">
        <w:t xml:space="preserve">, The Apocalypse </w:t>
      </w:r>
      <w:proofErr w:type="gramStart"/>
      <w:r w:rsidRPr="00616DE1">
        <w:t>In</w:t>
      </w:r>
      <w:proofErr w:type="gramEnd"/>
      <w:r w:rsidRPr="00616DE1">
        <w:t xml:space="preserve"> The Middle Ages (Ithaca N.Y.: Cornell University Press, 1993)</w:t>
      </w:r>
    </w:p>
    <w:p w:rsidR="004562DE" w:rsidRDefault="00C616EF" w:rsidP="006A709D">
      <w:r>
        <w:t>Greenwood, K</w:t>
      </w:r>
      <w:r w:rsidR="00865263">
        <w:t xml:space="preserve">, </w:t>
      </w:r>
      <w:r w:rsidR="004562DE" w:rsidRPr="00865263">
        <w:rPr>
          <w:i/>
        </w:rPr>
        <w:t xml:space="preserve">The Art </w:t>
      </w:r>
      <w:proofErr w:type="gramStart"/>
      <w:r w:rsidR="004562DE" w:rsidRPr="00865263">
        <w:rPr>
          <w:i/>
        </w:rPr>
        <w:t>Of</w:t>
      </w:r>
      <w:proofErr w:type="gramEnd"/>
      <w:r w:rsidR="004562DE" w:rsidRPr="00865263">
        <w:rPr>
          <w:i/>
        </w:rPr>
        <w:t xml:space="preserve"> Revelation In The Apocalypse Panel Of Hans Memling's Altarpiece Of St John The Baptist And St John The Evangelist, Sint-</w:t>
      </w:r>
      <w:proofErr w:type="spellStart"/>
      <w:r w:rsidR="004562DE" w:rsidRPr="00865263">
        <w:rPr>
          <w:i/>
        </w:rPr>
        <w:t>Jansho</w:t>
      </w:r>
      <w:r w:rsidR="00865263" w:rsidRPr="00865263">
        <w:rPr>
          <w:i/>
        </w:rPr>
        <w:t>spitaal</w:t>
      </w:r>
      <w:proofErr w:type="spellEnd"/>
      <w:r w:rsidR="00865263" w:rsidRPr="00865263">
        <w:rPr>
          <w:i/>
        </w:rPr>
        <w:t xml:space="preserve"> (</w:t>
      </w:r>
      <w:proofErr w:type="spellStart"/>
      <w:r w:rsidR="00865263" w:rsidRPr="00865263">
        <w:rPr>
          <w:i/>
        </w:rPr>
        <w:t>Memlingmuseum</w:t>
      </w:r>
      <w:proofErr w:type="spellEnd"/>
      <w:r w:rsidR="00865263" w:rsidRPr="00865263">
        <w:rPr>
          <w:i/>
        </w:rPr>
        <w:t>), Bruges</w:t>
      </w:r>
      <w:r w:rsidR="004562DE" w:rsidRPr="00865263">
        <w:rPr>
          <w:i/>
        </w:rPr>
        <w:t xml:space="preserve"> </w:t>
      </w:r>
      <w:r w:rsidR="004562DE" w:rsidRPr="004562DE">
        <w:t>(unpublished Masters, University of Victoria, 2005)</w:t>
      </w:r>
    </w:p>
    <w:p w:rsidR="00C616EF" w:rsidRDefault="00C616EF" w:rsidP="006A709D">
      <w:proofErr w:type="spellStart"/>
      <w:r>
        <w:t>Hooreweder</w:t>
      </w:r>
      <w:proofErr w:type="spellEnd"/>
      <w:r>
        <w:t>, C</w:t>
      </w:r>
      <w:r w:rsidRPr="00C616EF">
        <w:t xml:space="preserve">, </w:t>
      </w:r>
      <w:r w:rsidRPr="00C616EF">
        <w:rPr>
          <w:i/>
        </w:rPr>
        <w:t xml:space="preserve">Hans Memling In </w:t>
      </w:r>
      <w:proofErr w:type="gramStart"/>
      <w:r w:rsidRPr="00C616EF">
        <w:rPr>
          <w:i/>
        </w:rPr>
        <w:t>The</w:t>
      </w:r>
      <w:proofErr w:type="gramEnd"/>
      <w:r w:rsidRPr="00C616EF">
        <w:rPr>
          <w:i/>
        </w:rPr>
        <w:t xml:space="preserve"> Hospital Of St. John Bruges</w:t>
      </w:r>
      <w:r w:rsidRPr="00C616EF">
        <w:t xml:space="preserve">, 4th </w:t>
      </w:r>
      <w:proofErr w:type="spellStart"/>
      <w:r w:rsidRPr="00C616EF">
        <w:t>edn</w:t>
      </w:r>
      <w:proofErr w:type="spellEnd"/>
      <w:r w:rsidRPr="00C616EF">
        <w:t xml:space="preserve"> (</w:t>
      </w:r>
      <w:proofErr w:type="spellStart"/>
      <w:r w:rsidRPr="00C616EF">
        <w:t>Brugge</w:t>
      </w:r>
      <w:proofErr w:type="spellEnd"/>
      <w:r w:rsidRPr="00C616EF">
        <w:t xml:space="preserve">: </w:t>
      </w:r>
      <w:proofErr w:type="spellStart"/>
      <w:r w:rsidRPr="00C616EF">
        <w:t>Koninklijke</w:t>
      </w:r>
      <w:proofErr w:type="spellEnd"/>
      <w:r w:rsidRPr="00C616EF">
        <w:t xml:space="preserve"> </w:t>
      </w:r>
      <w:proofErr w:type="spellStart"/>
      <w:r w:rsidRPr="00C616EF">
        <w:t>Gidsenbond</w:t>
      </w:r>
      <w:proofErr w:type="spellEnd"/>
      <w:r w:rsidRPr="00C616EF">
        <w:t xml:space="preserve"> van </w:t>
      </w:r>
      <w:proofErr w:type="spellStart"/>
      <w:r w:rsidRPr="00C616EF">
        <w:t>Brugge</w:t>
      </w:r>
      <w:proofErr w:type="spellEnd"/>
      <w:r w:rsidRPr="00C616EF">
        <w:t xml:space="preserve"> </w:t>
      </w:r>
      <w:proofErr w:type="spellStart"/>
      <w:r w:rsidRPr="00C616EF">
        <w:t>en</w:t>
      </w:r>
      <w:proofErr w:type="spellEnd"/>
      <w:r w:rsidRPr="00C616EF">
        <w:t xml:space="preserve"> West-</w:t>
      </w:r>
      <w:proofErr w:type="spellStart"/>
      <w:r w:rsidRPr="00C616EF">
        <w:t>Vlaanderen</w:t>
      </w:r>
      <w:proofErr w:type="spellEnd"/>
      <w:r w:rsidRPr="00C616EF">
        <w:t>, 1993)</w:t>
      </w:r>
    </w:p>
    <w:p w:rsidR="003B2212" w:rsidRDefault="006A709D" w:rsidP="006A709D">
      <w:proofErr w:type="spellStart"/>
      <w:r>
        <w:t>Kren</w:t>
      </w:r>
      <w:proofErr w:type="spellEnd"/>
      <w:r>
        <w:t xml:space="preserve">, E, and </w:t>
      </w:r>
      <w:r w:rsidR="003B2212">
        <w:t>Marx,</w:t>
      </w:r>
      <w:r>
        <w:t xml:space="preserve"> D,</w:t>
      </w:r>
      <w:r w:rsidR="003B2212">
        <w:t xml:space="preserve"> </w:t>
      </w:r>
      <w:r w:rsidR="003B2212" w:rsidRPr="003B2212">
        <w:rPr>
          <w:i/>
        </w:rPr>
        <w:t>St John Altarpiece</w:t>
      </w:r>
      <w:r>
        <w:t xml:space="preserve">, Wga.Hu, 2017 Available </w:t>
      </w:r>
      <w:hyperlink r:id="rId8" w:history="1">
        <w:r w:rsidRPr="00561A78">
          <w:rPr>
            <w:rStyle w:val="Hyperlink"/>
          </w:rPr>
          <w:t>https://www.wga.hu/frames-e.html?/html/m/memling/2middle2/13john.html</w:t>
        </w:r>
      </w:hyperlink>
      <w:r>
        <w:t xml:space="preserve"> [A</w:t>
      </w:r>
      <w:r w:rsidR="003B2212" w:rsidRPr="003B2212">
        <w:t>ccessed 30 November 2017]</w:t>
      </w:r>
    </w:p>
    <w:p w:rsidR="00BD0E14" w:rsidRDefault="00BD0E14" w:rsidP="006A709D"/>
    <w:p w:rsidR="00BD0E14" w:rsidRDefault="00BD0E14" w:rsidP="006A709D">
      <w:r>
        <w:t>Figure 1</w:t>
      </w:r>
    </w:p>
    <w:p w:rsidR="005B5862" w:rsidRDefault="00340532" w:rsidP="006A709D">
      <w:r>
        <w:t>Memling, H</w:t>
      </w:r>
      <w:bookmarkStart w:id="0" w:name="_GoBack"/>
      <w:bookmarkEnd w:id="0"/>
      <w:r w:rsidR="005B5862" w:rsidRPr="005B5862">
        <w:t>, St John Altarpiece (Bruges: Memling Museum, 1479)</w:t>
      </w:r>
    </w:p>
    <w:sectPr w:rsidR="005B586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3757D" w:rsidRDefault="0073757D" w:rsidP="0013327C">
      <w:pPr>
        <w:spacing w:after="0" w:line="240" w:lineRule="auto"/>
      </w:pPr>
      <w:r>
        <w:separator/>
      </w:r>
    </w:p>
  </w:endnote>
  <w:endnote w:type="continuationSeparator" w:id="0">
    <w:p w:rsidR="0073757D" w:rsidRDefault="0073757D" w:rsidP="00133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3757D" w:rsidRDefault="0073757D" w:rsidP="0013327C">
      <w:pPr>
        <w:spacing w:after="0" w:line="240" w:lineRule="auto"/>
      </w:pPr>
      <w:r>
        <w:separator/>
      </w:r>
    </w:p>
  </w:footnote>
  <w:footnote w:type="continuationSeparator" w:id="0">
    <w:p w:rsidR="0073757D" w:rsidRDefault="0073757D" w:rsidP="0013327C">
      <w:pPr>
        <w:spacing w:after="0" w:line="240" w:lineRule="auto"/>
      </w:pPr>
      <w:r>
        <w:continuationSeparator/>
      </w:r>
    </w:p>
  </w:footnote>
  <w:footnote w:id="1">
    <w:p w:rsidR="00924AA1" w:rsidRDefault="00924AA1">
      <w:pPr>
        <w:pStyle w:val="FootnoteText"/>
      </w:pPr>
      <w:r>
        <w:rPr>
          <w:rStyle w:val="FootnoteReference"/>
        </w:rPr>
        <w:footnoteRef/>
      </w:r>
      <w:r>
        <w:t xml:space="preserve"> E, </w:t>
      </w:r>
      <w:proofErr w:type="spellStart"/>
      <w:r>
        <w:t>Kren</w:t>
      </w:r>
      <w:proofErr w:type="spellEnd"/>
      <w:r>
        <w:t xml:space="preserve"> and D, Marx, </w:t>
      </w:r>
      <w:r w:rsidRPr="00924AA1">
        <w:rPr>
          <w:i/>
        </w:rPr>
        <w:t>St John Altarpiece</w:t>
      </w:r>
      <w:r>
        <w:t xml:space="preserve">, Wga.Hu, 2017 Available </w:t>
      </w:r>
      <w:hyperlink r:id="rId1" w:history="1">
        <w:r w:rsidRPr="00561A78">
          <w:rPr>
            <w:rStyle w:val="Hyperlink"/>
          </w:rPr>
          <w:t>https://www.wga.hu/frames-e.html?/html/m/memling/2middle2/13john.html</w:t>
        </w:r>
      </w:hyperlink>
      <w:r>
        <w:t xml:space="preserve"> [A</w:t>
      </w:r>
      <w:r w:rsidRPr="00924AA1">
        <w:t>ccessed 30 November 2017].</w:t>
      </w:r>
    </w:p>
  </w:footnote>
  <w:footnote w:id="2">
    <w:p w:rsidR="008F606D" w:rsidRDefault="008F606D">
      <w:pPr>
        <w:pStyle w:val="FootnoteText"/>
      </w:pPr>
      <w:r>
        <w:rPr>
          <w:rStyle w:val="FootnoteReference"/>
        </w:rPr>
        <w:footnoteRef/>
      </w:r>
      <w:r>
        <w:t xml:space="preserve"> </w:t>
      </w:r>
      <w:r w:rsidR="005314C8">
        <w:t>K, Greenwood</w:t>
      </w:r>
      <w:r w:rsidR="005314C8" w:rsidRPr="005314C8">
        <w:t xml:space="preserve">, The Art </w:t>
      </w:r>
      <w:proofErr w:type="gramStart"/>
      <w:r w:rsidR="005314C8" w:rsidRPr="005314C8">
        <w:t>Of</w:t>
      </w:r>
      <w:proofErr w:type="gramEnd"/>
      <w:r w:rsidR="005314C8" w:rsidRPr="005314C8">
        <w:t xml:space="preserve"> Revelation In The Apocalypse Panel Of Hans Memling's Altarpiece Of St John The Baptist And St John The Evangelist, Sint-</w:t>
      </w:r>
      <w:proofErr w:type="spellStart"/>
      <w:r w:rsidR="005314C8" w:rsidRPr="005314C8">
        <w:t>Janshospitaal</w:t>
      </w:r>
      <w:proofErr w:type="spellEnd"/>
      <w:r w:rsidR="005314C8" w:rsidRPr="005314C8">
        <w:t xml:space="preserve"> (</w:t>
      </w:r>
      <w:proofErr w:type="spellStart"/>
      <w:r w:rsidR="005314C8" w:rsidRPr="005314C8">
        <w:t>Memlingmuseum</w:t>
      </w:r>
      <w:proofErr w:type="spellEnd"/>
      <w:r w:rsidR="005314C8" w:rsidRPr="005314C8">
        <w:t>), Bruges (unpublished Masters, University of Victoria, 2005)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327C" w:rsidRDefault="0013327C">
    <w:pPr>
      <w:pStyle w:val="Header"/>
    </w:pPr>
    <w:r>
      <w:t>HPHI6002</w:t>
    </w:r>
    <w:r>
      <w:ptab w:relativeTo="margin" w:alignment="center" w:leader="none"/>
    </w:r>
    <w:r>
      <w:t>Anna Roberts</w:t>
    </w:r>
    <w:r>
      <w:ptab w:relativeTo="margin" w:alignment="right" w:leader="none"/>
    </w:r>
    <w:r>
      <w:t>1500630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327C"/>
    <w:rsid w:val="00032FE9"/>
    <w:rsid w:val="00040A8B"/>
    <w:rsid w:val="000813A4"/>
    <w:rsid w:val="0013327C"/>
    <w:rsid w:val="00185AE9"/>
    <w:rsid w:val="001E2396"/>
    <w:rsid w:val="002726D0"/>
    <w:rsid w:val="002904D6"/>
    <w:rsid w:val="0030786A"/>
    <w:rsid w:val="00320921"/>
    <w:rsid w:val="00340532"/>
    <w:rsid w:val="003A3F17"/>
    <w:rsid w:val="003B2212"/>
    <w:rsid w:val="003B4D3F"/>
    <w:rsid w:val="00403C03"/>
    <w:rsid w:val="004562DE"/>
    <w:rsid w:val="005314C8"/>
    <w:rsid w:val="0056670E"/>
    <w:rsid w:val="00583F2F"/>
    <w:rsid w:val="005A1F8C"/>
    <w:rsid w:val="005B5862"/>
    <w:rsid w:val="00616DE1"/>
    <w:rsid w:val="006A709D"/>
    <w:rsid w:val="006F0987"/>
    <w:rsid w:val="007045D0"/>
    <w:rsid w:val="0073757D"/>
    <w:rsid w:val="007502FC"/>
    <w:rsid w:val="007B071C"/>
    <w:rsid w:val="00861ED1"/>
    <w:rsid w:val="00863610"/>
    <w:rsid w:val="00865263"/>
    <w:rsid w:val="008C3820"/>
    <w:rsid w:val="008F606D"/>
    <w:rsid w:val="00924AA1"/>
    <w:rsid w:val="00967D63"/>
    <w:rsid w:val="00987788"/>
    <w:rsid w:val="00A444A6"/>
    <w:rsid w:val="00B150BB"/>
    <w:rsid w:val="00B20ABF"/>
    <w:rsid w:val="00BC0E49"/>
    <w:rsid w:val="00BD0E14"/>
    <w:rsid w:val="00BE4682"/>
    <w:rsid w:val="00C335A1"/>
    <w:rsid w:val="00C40407"/>
    <w:rsid w:val="00C4403A"/>
    <w:rsid w:val="00C616EF"/>
    <w:rsid w:val="00D8336F"/>
    <w:rsid w:val="00D95991"/>
    <w:rsid w:val="00DB0B4A"/>
    <w:rsid w:val="00DD0B39"/>
    <w:rsid w:val="00E244E2"/>
    <w:rsid w:val="00EB3121"/>
    <w:rsid w:val="00EE118E"/>
    <w:rsid w:val="00EE4074"/>
    <w:rsid w:val="00F119D4"/>
    <w:rsid w:val="00F53063"/>
    <w:rsid w:val="00F561A1"/>
    <w:rsid w:val="00FD7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38970"/>
  <w15:chartTrackingRefBased/>
  <w15:docId w15:val="{089E8E82-D073-4175-A2CD-29122099A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3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27C"/>
  </w:style>
  <w:style w:type="paragraph" w:styleId="Footer">
    <w:name w:val="footer"/>
    <w:basedOn w:val="Normal"/>
    <w:link w:val="FooterChar"/>
    <w:uiPriority w:val="99"/>
    <w:unhideWhenUsed/>
    <w:rsid w:val="00133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27C"/>
  </w:style>
  <w:style w:type="paragraph" w:styleId="FootnoteText">
    <w:name w:val="footnote text"/>
    <w:basedOn w:val="Normal"/>
    <w:link w:val="FootnoteTextChar"/>
    <w:uiPriority w:val="99"/>
    <w:semiHidden/>
    <w:unhideWhenUsed/>
    <w:rsid w:val="008F60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606D"/>
    <w:rPr>
      <w:sz w:val="20"/>
      <w:szCs w:val="20"/>
    </w:rPr>
  </w:style>
  <w:style w:type="character" w:styleId="FootnoteReference">
    <w:name w:val="footnote reference"/>
    <w:basedOn w:val="DefaultParagraphFont"/>
    <w:uiPriority w:val="99"/>
    <w:semiHidden/>
    <w:unhideWhenUsed/>
    <w:rsid w:val="008F606D"/>
    <w:rPr>
      <w:vertAlign w:val="superscript"/>
    </w:rPr>
  </w:style>
  <w:style w:type="character" w:styleId="Hyperlink">
    <w:name w:val="Hyperlink"/>
    <w:basedOn w:val="DefaultParagraphFont"/>
    <w:uiPriority w:val="99"/>
    <w:unhideWhenUsed/>
    <w:rsid w:val="00924AA1"/>
    <w:rPr>
      <w:color w:val="0563C1" w:themeColor="hyperlink"/>
      <w:u w:val="single"/>
    </w:rPr>
  </w:style>
  <w:style w:type="character" w:styleId="UnresolvedMention">
    <w:name w:val="Unresolved Mention"/>
    <w:basedOn w:val="DefaultParagraphFont"/>
    <w:uiPriority w:val="99"/>
    <w:semiHidden/>
    <w:unhideWhenUsed/>
    <w:rsid w:val="00924AA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ga.hu/frames-e.html?/html/m/memling/2middle2/13john.htm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wga.hu/frames-e.html?/html/m/memling/2middle2/13joh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9E119B-649E-430A-BCBE-BA77F7888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983</TotalTime>
  <Pages>3</Pages>
  <Words>1023</Words>
  <Characters>5833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Roberts</dc:creator>
  <cp:keywords/>
  <dc:description/>
  <cp:lastModifiedBy>Anna Roberts</cp:lastModifiedBy>
  <cp:revision>37</cp:revision>
  <dcterms:created xsi:type="dcterms:W3CDTF">2017-11-27T18:56:00Z</dcterms:created>
  <dcterms:modified xsi:type="dcterms:W3CDTF">2017-12-01T18:04:00Z</dcterms:modified>
</cp:coreProperties>
</file>