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i w:val="0"/>
          <w:smallCaps w:val="0"/>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0"/>
          <w:strike w:val="0"/>
          <w:color w:val="4472c4"/>
          <w:sz w:val="22"/>
          <w:szCs w:val="22"/>
          <w:u w:val="none"/>
          <w:shd w:fill="auto" w:val="clear"/>
          <w:vertAlign w:val="baseline"/>
        </w:rPr>
        <w:drawing>
          <wp:inline distB="0" distT="0" distL="0" distR="0">
            <wp:extent cx="1417320" cy="750898"/>
            <wp:effectExtent b="0" l="0" r="0" t="0"/>
            <wp:docPr id="3"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widowControl w:val="1"/>
        <w:pBdr>
          <w:top w:color="4472c4" w:space="6" w:sz="6" w:val="single"/>
          <w:left w:space="0" w:sz="0" w:val="nil"/>
          <w:bottom w:color="4472c4" w:space="6" w:sz="6" w:val="single"/>
          <w:right w:space="0" w:sz="0" w:val="nil"/>
          <w:between w:space="0" w:sz="0" w:val="nil"/>
        </w:pBdr>
        <w:shd w:fill="auto" w:val="clear"/>
        <w:spacing w:after="240" w:before="0" w:line="240" w:lineRule="auto"/>
        <w:ind w:left="0" w:right="0" w:firstLine="0"/>
        <w:jc w:val="center"/>
        <w:rPr>
          <w:rFonts w:ascii="Calibri" w:cs="Calibri" w:eastAsia="Calibri" w:hAnsi="Calibri"/>
          <w:b w:val="1"/>
          <w:i w:val="0"/>
          <w:smallCaps w:val="1"/>
          <w:strike w:val="0"/>
          <w:color w:val="000000"/>
          <w:sz w:val="80"/>
          <w:szCs w:val="80"/>
          <w:u w:val="none"/>
          <w:shd w:fill="auto" w:val="clear"/>
          <w:vertAlign w:val="baseline"/>
        </w:rPr>
      </w:pPr>
      <w:r w:rsidDel="00000000" w:rsidR="00000000" w:rsidRPr="00000000">
        <w:rPr>
          <w:rFonts w:ascii="Calibri" w:cs="Calibri" w:eastAsia="Calibri" w:hAnsi="Calibri"/>
          <w:b w:val="1"/>
          <w:i w:val="0"/>
          <w:smallCaps w:val="1"/>
          <w:strike w:val="0"/>
          <w:color w:val="000000"/>
          <w:sz w:val="72"/>
          <w:szCs w:val="72"/>
          <w:u w:val="none"/>
          <w:shd w:fill="auto" w:val="clear"/>
          <w:vertAlign w:val="baseline"/>
          <w:rtl w:val="0"/>
        </w:rPr>
        <w:t xml:space="preserve">DIGITAL SKILLS AND RESEARCH METHODS</w:t>
      </w: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4472c4"/>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36"/>
          <w:szCs w:val="36"/>
          <w:u w:val="none"/>
          <w:shd w:fill="auto" w:val="clear"/>
          <w:vertAlign w:val="baseline"/>
          <w:rtl w:val="0"/>
        </w:rPr>
        <w:t xml:space="preserve">Component 2 Research Methods</w:t>
      </w: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b w:val="0"/>
          <w:i w:val="0"/>
          <w:smallCaps w:val="0"/>
          <w:strike w:val="0"/>
          <w:color w:val="4472c4"/>
          <w:sz w:val="22"/>
          <w:szCs w:val="22"/>
          <w:u w:val="none"/>
          <w:shd w:fill="auto" w:val="clear"/>
          <w:vertAlign w:val="baseline"/>
        </w:rPr>
      </w:pPr>
      <w:r w:rsidDel="00000000" w:rsidR="00000000" w:rsidRPr="00000000">
        <w:rPr>
          <w:rFonts w:ascii="Calibri" w:cs="Calibri" w:eastAsia="Calibri" w:hAnsi="Calibri"/>
          <w:b w:val="0"/>
          <w:i w:val="0"/>
          <w:smallCaps w:val="0"/>
          <w:strike w:val="0"/>
          <w:color w:val="4472c4"/>
          <w:sz w:val="22"/>
          <w:szCs w:val="22"/>
          <w:u w:val="none"/>
          <w:shd w:fill="auto" w:val="clear"/>
          <w:vertAlign w:val="baseline"/>
        </w:rPr>
        <w:drawing>
          <wp:inline distB="0" distT="0" distL="0" distR="0">
            <wp:extent cx="758952" cy="478932"/>
            <wp:effectExtent b="0" l="0" r="0" t="0"/>
            <wp:docPr id="5"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spacing w:after="0" w:line="240" w:lineRule="auto"/>
        <w:rPr>
          <w:color w:val="4472c4"/>
        </w:rPr>
      </w:pPr>
      <w:r w:rsidDel="00000000" w:rsidR="00000000" w:rsidRPr="00000000">
        <w:rPr>
          <w:rtl w:val="0"/>
        </w:rPr>
      </w:r>
    </w:p>
    <w:p w:rsidR="00000000" w:rsidDel="00000000" w:rsidP="00000000" w:rsidRDefault="00000000" w:rsidRPr="00000000" w14:paraId="00000006">
      <w:pPr>
        <w:spacing w:after="0" w:line="240" w:lineRule="auto"/>
        <w:rPr>
          <w:color w:val="4472c4"/>
        </w:rPr>
      </w:pPr>
      <w:r w:rsidDel="00000000" w:rsidR="00000000" w:rsidRPr="00000000">
        <w:rPr>
          <w:rtl w:val="0"/>
        </w:rPr>
      </w:r>
    </w:p>
    <w:p w:rsidR="00000000" w:rsidDel="00000000" w:rsidP="00000000" w:rsidRDefault="00000000" w:rsidRPr="00000000" w14:paraId="00000007">
      <w:pPr>
        <w:spacing w:after="0" w:line="240" w:lineRule="auto"/>
        <w:rPr>
          <w:color w:val="4472c4"/>
        </w:rPr>
      </w:pPr>
      <w:r w:rsidDel="00000000" w:rsidR="00000000" w:rsidRPr="00000000">
        <w:rPr>
          <w:rtl w:val="0"/>
        </w:rPr>
      </w:r>
    </w:p>
    <w:p w:rsidR="00000000" w:rsidDel="00000000" w:rsidP="00000000" w:rsidRDefault="00000000" w:rsidRPr="00000000" w14:paraId="00000008">
      <w:pPr>
        <w:spacing w:after="0" w:line="240" w:lineRule="auto"/>
        <w:rPr>
          <w:color w:val="4472c4"/>
        </w:rPr>
      </w:pPr>
      <w:r w:rsidDel="00000000" w:rsidR="00000000" w:rsidRPr="00000000">
        <w:rPr>
          <w:rtl w:val="0"/>
        </w:rPr>
      </w:r>
    </w:p>
    <w:p w:rsidR="00000000" w:rsidDel="00000000" w:rsidP="00000000" w:rsidRDefault="00000000" w:rsidRPr="00000000" w14:paraId="00000009">
      <w:pPr>
        <w:spacing w:after="0" w:line="240" w:lineRule="auto"/>
        <w:rPr>
          <w:color w:val="4472c4"/>
        </w:rPr>
      </w:pPr>
      <w:r w:rsidDel="00000000" w:rsidR="00000000" w:rsidRPr="00000000">
        <w:rPr>
          <w:rtl w:val="0"/>
        </w:rPr>
      </w:r>
    </w:p>
    <w:p w:rsidR="00000000" w:rsidDel="00000000" w:rsidP="00000000" w:rsidRDefault="00000000" w:rsidRPr="00000000" w14:paraId="0000000A">
      <w:pPr>
        <w:spacing w:after="0" w:line="240" w:lineRule="auto"/>
        <w:rPr>
          <w:color w:val="4472c4"/>
          <w:sz w:val="32"/>
          <w:szCs w:val="32"/>
        </w:rPr>
      </w:pPr>
      <w:r w:rsidDel="00000000" w:rsidR="00000000" w:rsidRPr="00000000">
        <w:rPr>
          <w:color w:val="4472c4"/>
          <w:sz w:val="32"/>
          <w:szCs w:val="32"/>
          <w:rtl w:val="0"/>
        </w:rPr>
        <w:t xml:space="preserve">Student name : Luminita Daniela Mircea</w:t>
      </w:r>
    </w:p>
    <w:p w:rsidR="00000000" w:rsidDel="00000000" w:rsidP="00000000" w:rsidRDefault="00000000" w:rsidRPr="00000000" w14:paraId="0000000B">
      <w:pPr>
        <w:spacing w:after="0" w:line="240" w:lineRule="auto"/>
        <w:rPr>
          <w:color w:val="4472c4"/>
          <w:sz w:val="32"/>
          <w:szCs w:val="32"/>
        </w:rPr>
      </w:pPr>
      <w:r w:rsidDel="00000000" w:rsidR="00000000" w:rsidRPr="00000000">
        <w:rPr>
          <w:color w:val="4472c4"/>
          <w:sz w:val="32"/>
          <w:szCs w:val="32"/>
          <w:rtl w:val="0"/>
        </w:rPr>
        <w:t xml:space="preserve">Student ID : 2026061</w:t>
      </w:r>
    </w:p>
    <w:p w:rsidR="00000000" w:rsidDel="00000000" w:rsidP="00000000" w:rsidRDefault="00000000" w:rsidRPr="00000000" w14:paraId="0000000C">
      <w:pPr>
        <w:spacing w:after="0" w:line="240" w:lineRule="auto"/>
        <w:rPr>
          <w:color w:val="4472c4"/>
          <w:sz w:val="32"/>
          <w:szCs w:val="32"/>
        </w:rPr>
      </w:pPr>
      <w:r w:rsidDel="00000000" w:rsidR="00000000" w:rsidRPr="00000000">
        <w:rPr>
          <w:color w:val="4472c4"/>
          <w:sz w:val="32"/>
          <w:szCs w:val="32"/>
          <w:rtl w:val="0"/>
        </w:rPr>
        <w:t xml:space="preserve">Module code : BMSW4003 </w:t>
      </w:r>
    </w:p>
    <w:p w:rsidR="00000000" w:rsidDel="00000000" w:rsidP="00000000" w:rsidRDefault="00000000" w:rsidRPr="00000000" w14:paraId="0000000D">
      <w:pPr>
        <w:spacing w:after="0" w:line="240" w:lineRule="auto"/>
        <w:rPr>
          <w:color w:val="4472c4"/>
        </w:rPr>
      </w:pPr>
      <w:r w:rsidDel="00000000" w:rsidR="00000000" w:rsidRPr="00000000">
        <w:rPr>
          <w:rtl w:val="0"/>
        </w:rPr>
      </w:r>
    </w:p>
    <w:p w:rsidR="00000000" w:rsidDel="00000000" w:rsidP="00000000" w:rsidRDefault="00000000" w:rsidRPr="00000000" w14:paraId="0000000E">
      <w:pPr>
        <w:spacing w:after="0" w:line="240" w:lineRule="auto"/>
        <w:rPr>
          <w:color w:val="4472c4"/>
        </w:rPr>
      </w:pPr>
      <w:r w:rsidDel="00000000" w:rsidR="00000000" w:rsidRPr="00000000">
        <w:rPr>
          <w:rtl w:val="0"/>
        </w:rPr>
      </w:r>
    </w:p>
    <w:p w:rsidR="00000000" w:rsidDel="00000000" w:rsidP="00000000" w:rsidRDefault="00000000" w:rsidRPr="00000000" w14:paraId="0000000F">
      <w:pPr>
        <w:spacing w:after="0" w:line="240" w:lineRule="auto"/>
        <w:rPr>
          <w:color w:val="4472c4"/>
        </w:rPr>
      </w:pPr>
      <w:r w:rsidDel="00000000" w:rsidR="00000000" w:rsidRPr="00000000">
        <w:rPr>
          <w:rtl w:val="0"/>
        </w:rPr>
      </w:r>
    </w:p>
    <w:p w:rsidR="00000000" w:rsidDel="00000000" w:rsidP="00000000" w:rsidRDefault="00000000" w:rsidRPr="00000000" w14:paraId="00000010">
      <w:pPr>
        <w:spacing w:after="0" w:line="240" w:lineRule="auto"/>
        <w:rPr>
          <w:color w:val="4472c4"/>
        </w:rPr>
      </w:pPr>
      <w:r w:rsidDel="00000000" w:rsidR="00000000" w:rsidRPr="00000000">
        <w:rPr>
          <w:rtl w:val="0"/>
        </w:rPr>
      </w:r>
    </w:p>
    <w:p w:rsidR="00000000" w:rsidDel="00000000" w:rsidP="00000000" w:rsidRDefault="00000000" w:rsidRPr="00000000" w14:paraId="00000011">
      <w:pPr>
        <w:spacing w:after="0" w:line="240" w:lineRule="auto"/>
        <w:rPr>
          <w:color w:val="4472c4"/>
        </w:rPr>
      </w:pPr>
      <w:r w:rsidDel="00000000" w:rsidR="00000000" w:rsidRPr="00000000">
        <w:rPr>
          <w:rtl w:val="0"/>
        </w:rPr>
      </w:r>
    </w:p>
    <w:p w:rsidR="00000000" w:rsidDel="00000000" w:rsidP="00000000" w:rsidRDefault="00000000" w:rsidRPr="00000000" w14:paraId="00000012">
      <w:pPr>
        <w:spacing w:after="0" w:line="240" w:lineRule="auto"/>
        <w:rPr>
          <w:color w:val="4472c4"/>
        </w:rPr>
      </w:pPr>
      <w:r w:rsidDel="00000000" w:rsidR="00000000" w:rsidRPr="00000000">
        <w:rPr>
          <w:rtl w:val="0"/>
        </w:rPr>
      </w:r>
    </w:p>
    <w:p w:rsidR="00000000" w:rsidDel="00000000" w:rsidP="00000000" w:rsidRDefault="00000000" w:rsidRPr="00000000" w14:paraId="00000013">
      <w:pPr>
        <w:spacing w:after="0" w:line="240" w:lineRule="auto"/>
        <w:rPr>
          <w:color w:val="4472c4"/>
        </w:rPr>
      </w:pPr>
      <w:r w:rsidDel="00000000" w:rsidR="00000000" w:rsidRPr="00000000">
        <w:rPr>
          <w:rtl w:val="0"/>
        </w:rPr>
      </w:r>
    </w:p>
    <w:p w:rsidR="00000000" w:rsidDel="00000000" w:rsidP="00000000" w:rsidRDefault="00000000" w:rsidRPr="00000000" w14:paraId="00000014">
      <w:pPr>
        <w:spacing w:after="0" w:line="240" w:lineRule="auto"/>
        <w:rPr>
          <w:color w:val="4472c4"/>
        </w:rPr>
      </w:pPr>
      <w:r w:rsidDel="00000000" w:rsidR="00000000" w:rsidRPr="00000000">
        <w:rPr>
          <w:rtl w:val="0"/>
        </w:rPr>
      </w:r>
    </w:p>
    <w:p w:rsidR="00000000" w:rsidDel="00000000" w:rsidP="00000000" w:rsidRDefault="00000000" w:rsidRPr="00000000" w14:paraId="00000015">
      <w:pPr>
        <w:spacing w:after="0" w:line="240" w:lineRule="auto"/>
        <w:rPr>
          <w:color w:val="4472c4"/>
        </w:rPr>
      </w:pPr>
      <w:r w:rsidDel="00000000" w:rsidR="00000000" w:rsidRPr="00000000">
        <w:rPr>
          <w:rtl w:val="0"/>
        </w:rPr>
      </w:r>
    </w:p>
    <w:p w:rsidR="00000000" w:rsidDel="00000000" w:rsidP="00000000" w:rsidRDefault="00000000" w:rsidRPr="00000000" w14:paraId="00000016">
      <w:pPr>
        <w:spacing w:after="0" w:line="240" w:lineRule="auto"/>
        <w:rPr>
          <w:color w:val="4472c4"/>
        </w:rPr>
      </w:pPr>
      <w:r w:rsidDel="00000000" w:rsidR="00000000" w:rsidRPr="00000000">
        <w:rPr>
          <w:rtl w:val="0"/>
        </w:rPr>
      </w:r>
    </w:p>
    <w:p w:rsidR="00000000" w:rsidDel="00000000" w:rsidP="00000000" w:rsidRDefault="00000000" w:rsidRPr="00000000" w14:paraId="00000017">
      <w:pPr>
        <w:spacing w:after="0" w:line="240" w:lineRule="auto"/>
        <w:rPr>
          <w:color w:val="4472c4"/>
          <w:sz w:val="44"/>
          <w:szCs w:val="44"/>
        </w:rPr>
      </w:pPr>
      <w:r w:rsidDel="00000000" w:rsidR="00000000" w:rsidRPr="00000000">
        <w:rPr>
          <w:rtl w:val="0"/>
        </w:rPr>
      </w:r>
    </w:p>
    <w:p w:rsidR="00000000" w:rsidDel="00000000" w:rsidP="00000000" w:rsidRDefault="00000000" w:rsidRPr="00000000" w14:paraId="00000018">
      <w:pPr>
        <w:spacing w:after="0" w:line="240" w:lineRule="auto"/>
        <w:rPr>
          <w:color w:val="4472c4"/>
        </w:rPr>
      </w:pPr>
      <w:r w:rsidDel="00000000" w:rsidR="00000000" w:rsidRPr="00000000">
        <w:rPr>
          <w:rtl w:val="0"/>
        </w:rPr>
      </w:r>
    </w:p>
    <w:p w:rsidR="00000000" w:rsidDel="00000000" w:rsidP="00000000" w:rsidRDefault="00000000" w:rsidRPr="00000000" w14:paraId="00000019">
      <w:pPr>
        <w:spacing w:after="0" w:line="240" w:lineRule="auto"/>
        <w:rPr>
          <w:color w:val="4472c4"/>
        </w:rPr>
      </w:pPr>
      <w:r w:rsidDel="00000000" w:rsidR="00000000" w:rsidRPr="00000000">
        <w:rPr>
          <w:rtl w:val="0"/>
        </w:rPr>
      </w:r>
    </w:p>
    <w:p w:rsidR="00000000" w:rsidDel="00000000" w:rsidP="00000000" w:rsidRDefault="00000000" w:rsidRPr="00000000" w14:paraId="0000001A">
      <w:pPr>
        <w:spacing w:after="0" w:line="240" w:lineRule="auto"/>
        <w:rPr>
          <w:color w:val="4472c4"/>
        </w:rPr>
      </w:pPr>
      <w:r w:rsidDel="00000000" w:rsidR="00000000" w:rsidRPr="00000000">
        <w:rPr>
          <w:rtl w:val="0"/>
        </w:rPr>
      </w:r>
    </w:p>
    <w:p w:rsidR="00000000" w:rsidDel="00000000" w:rsidP="00000000" w:rsidRDefault="00000000" w:rsidRPr="00000000" w14:paraId="0000001B">
      <w:pPr>
        <w:spacing w:after="0" w:line="240" w:lineRule="auto"/>
        <w:rPr>
          <w:color w:val="4472c4"/>
        </w:rPr>
      </w:pPr>
      <w:r w:rsidDel="00000000" w:rsidR="00000000" w:rsidRPr="00000000">
        <w:rPr>
          <w:rtl w:val="0"/>
        </w:rPr>
      </w:r>
    </w:p>
    <w:p w:rsidR="00000000" w:rsidDel="00000000" w:rsidP="00000000" w:rsidRDefault="00000000" w:rsidRPr="00000000" w14:paraId="0000001C">
      <w:pPr>
        <w:spacing w:after="0" w:line="240" w:lineRule="auto"/>
        <w:rPr>
          <w:color w:val="4472c4"/>
        </w:rPr>
      </w:pPr>
      <w:r w:rsidDel="00000000" w:rsidR="00000000" w:rsidRPr="00000000">
        <w:rPr>
          <w:rtl w:val="0"/>
        </w:rPr>
      </w:r>
    </w:p>
    <w:p w:rsidR="00000000" w:rsidDel="00000000" w:rsidP="00000000" w:rsidRDefault="00000000" w:rsidRPr="00000000" w14:paraId="0000001D">
      <w:pPr>
        <w:spacing w:after="0" w:line="240" w:lineRule="auto"/>
        <w:rPr>
          <w:color w:val="4472c4"/>
        </w:rPr>
      </w:pPr>
      <w:r w:rsidDel="00000000" w:rsidR="00000000" w:rsidRPr="00000000">
        <w:rPr>
          <w:rtl w:val="0"/>
        </w:rPr>
      </w:r>
    </w:p>
    <w:p w:rsidR="00000000" w:rsidDel="00000000" w:rsidP="00000000" w:rsidRDefault="00000000" w:rsidRPr="00000000" w14:paraId="0000001E">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 Overview of Angela Duckworth’s Research on Grit</w:t>
            </w:r>
          </w:hyperlink>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What makes students succeed?</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2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Measuring grit</w:t>
              <w:tab/>
              <w:t xml:space="preserve">1</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2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Is grit the only quality one should concentrate on?</w:t>
              <w:tab/>
              <w:t xml:space="preserve">1</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Instilling grit in students</w:t>
              <w:tab/>
              <w:t xml:space="preserve">2</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Data and Information</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DIKW model</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2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How to Take Data All the Way to the Top of the Expertise Hierarchy</w:t>
              <w:tab/>
              <w:t xml:space="preserve">2</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44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Data</w:t>
              <w:tab/>
              <w:t xml:space="preserve">3</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44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Information</w:t>
              <w:tab/>
              <w:t xml:space="preserve">3</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44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Knowledge</w:t>
              <w:tab/>
              <w:t xml:space="preserve">3</w:t>
            </w:r>
          </w:hyperlink>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44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Wisdom</w:t>
              <w:tab/>
              <w:t xml:space="preserve">3</w:t>
            </w:r>
          </w:hyperlink>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44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The Expertise Pyramid and Also how Companies and Businesses Move Up It</w:t>
              <w:tab/>
              <w:t xml:space="preserve">3</w:t>
            </w:r>
          </w:hyperlink>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hyperlink>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tabs>
              <w:tab w:val="right" w:pos="863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r>
          </w:hyperlink>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pStyle w:val="Heading1"/>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31">
      <w:pPr>
        <w:pStyle w:val="Heading1"/>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32">
      <w:pPr>
        <w:pStyle w:val="Heading1"/>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drawing>
          <wp:inline distB="114300" distT="114300" distL="114300" distR="114300">
            <wp:extent cx="5277810" cy="2971800"/>
            <wp:effectExtent b="0" l="0" r="0" t="0"/>
            <wp:docPr id="11" name="image13.png"/>
            <a:graphic>
              <a:graphicData uri="http://schemas.openxmlformats.org/drawingml/2006/picture">
                <pic:pic>
                  <pic:nvPicPr>
                    <pic:cNvPr id="0" name="image13.png"/>
                    <pic:cNvPicPr preferRelativeResize="0"/>
                  </pic:nvPicPr>
                  <pic:blipFill>
                    <a:blip r:embed="rId8"/>
                    <a:srcRect b="0" l="0" r="0" t="0"/>
                    <a:stretch>
                      <a:fillRect/>
                    </a:stretch>
                  </pic:blipFill>
                  <pic:spPr>
                    <a:xfrm>
                      <a:off x="0" y="0"/>
                      <a:ext cx="527781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Slide 1.</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1"/>
        <w:spacing w:line="360" w:lineRule="auto"/>
        <w:jc w:val="both"/>
        <w:rPr>
          <w:rFonts w:ascii="Times New Roman" w:cs="Times New Roman" w:eastAsia="Times New Roman" w:hAnsi="Times New Roman"/>
          <w:b w:val="1"/>
          <w:color w:val="000000"/>
          <w:sz w:val="24"/>
          <w:szCs w:val="24"/>
        </w:rPr>
      </w:pPr>
      <w:bookmarkStart w:colFirst="0" w:colLast="0" w:name="_gjdgxs" w:id="0"/>
      <w:bookmarkEnd w:id="0"/>
      <w:r w:rsidDel="00000000" w:rsidR="00000000" w:rsidRPr="00000000">
        <w:rPr>
          <w:rFonts w:ascii="Times New Roman" w:cs="Times New Roman" w:eastAsia="Times New Roman" w:hAnsi="Times New Roman"/>
          <w:b w:val="1"/>
          <w:color w:val="000000"/>
          <w:sz w:val="24"/>
          <w:szCs w:val="24"/>
          <w:rtl w:val="0"/>
        </w:rPr>
        <w:t xml:space="preserve">Introduction </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Angela Duckworth, a Pennsylvania state University scholar, was instructing seventh-grade arithmetic in public schools in The City of New York’s when she realized that her smart kids just weren't inevitably her cleverest students. She left her middle school teaching job to pursue a career as a professional specialist in order to fully comprehend the importance of foundational skills such as self-control as well as perseverance in achieving success. Duckworth gave a TED Talk in 2013 about how grit, or perseverance and exuberance for long-term goals, is a key determinant of firm performance. It will delve a little greater depth into Duckworth's research and analyse the role of grit in the classroom in 2019, six years after her TED Talk (Alkhattabi et al., 2016).</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277810" cy="2882900"/>
            <wp:effectExtent b="0" l="0" r="0" t="0"/>
            <wp:docPr id="14" name="image10.png"/>
            <a:graphic>
              <a:graphicData uri="http://schemas.openxmlformats.org/drawingml/2006/picture">
                <pic:pic>
                  <pic:nvPicPr>
                    <pic:cNvPr id="0" name="image10.png"/>
                    <pic:cNvPicPr preferRelativeResize="0"/>
                  </pic:nvPicPr>
                  <pic:blipFill>
                    <a:blip r:embed="rId9"/>
                    <a:srcRect b="0" l="0" r="0" t="0"/>
                    <a:stretch>
                      <a:fillRect/>
                    </a:stretch>
                  </pic:blipFill>
                  <pic:spPr>
                    <a:xfrm>
                      <a:off x="0" y="0"/>
                      <a:ext cx="5277810" cy="28829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pStyle w:val="Heading1"/>
        <w:spacing w:line="360" w:lineRule="auto"/>
        <w:jc w:val="both"/>
        <w:rPr>
          <w:rFonts w:ascii="Times New Roman" w:cs="Times New Roman" w:eastAsia="Times New Roman" w:hAnsi="Times New Roman"/>
          <w:b w:val="1"/>
          <w:color w:val="000000"/>
          <w:sz w:val="24"/>
          <w:szCs w:val="24"/>
        </w:rPr>
      </w:pPr>
      <w:bookmarkStart w:colFirst="0" w:colLast="0" w:name="_30j0zll" w:id="1"/>
      <w:bookmarkEnd w:id="1"/>
      <w:r w:rsidDel="00000000" w:rsidR="00000000" w:rsidRPr="00000000">
        <w:rPr>
          <w:rtl w:val="0"/>
        </w:rPr>
      </w:r>
    </w:p>
    <w:p w:rsidR="00000000" w:rsidDel="00000000" w:rsidP="00000000" w:rsidRDefault="00000000" w:rsidRPr="00000000" w14:paraId="0000003C">
      <w:pPr>
        <w:pStyle w:val="Heading1"/>
        <w:spacing w:line="360" w:lineRule="auto"/>
        <w:jc w:val="both"/>
        <w:rPr>
          <w:rFonts w:ascii="Times New Roman" w:cs="Times New Roman" w:eastAsia="Times New Roman" w:hAnsi="Times New Roman"/>
          <w:b w:val="1"/>
          <w:color w:val="000000"/>
          <w:sz w:val="24"/>
          <w:szCs w:val="24"/>
        </w:rPr>
      </w:pPr>
      <w:bookmarkStart w:colFirst="0" w:colLast="0" w:name="_v3hgkzi6p7i" w:id="2"/>
      <w:bookmarkEnd w:id="2"/>
      <w:r w:rsidDel="00000000" w:rsidR="00000000" w:rsidRPr="00000000">
        <w:rPr>
          <w:rtl w:val="0"/>
        </w:rPr>
      </w:r>
    </w:p>
    <w:p w:rsidR="00000000" w:rsidDel="00000000" w:rsidP="00000000" w:rsidRDefault="00000000" w:rsidRPr="00000000" w14:paraId="0000003D">
      <w:pPr>
        <w:pStyle w:val="Heading1"/>
        <w:spacing w:line="360" w:lineRule="auto"/>
        <w:jc w:val="both"/>
        <w:rPr>
          <w:rFonts w:ascii="Times New Roman" w:cs="Times New Roman" w:eastAsia="Times New Roman" w:hAnsi="Times New Roman"/>
          <w:b w:val="1"/>
          <w:color w:val="000000"/>
          <w:sz w:val="24"/>
          <w:szCs w:val="24"/>
        </w:rPr>
      </w:pPr>
      <w:bookmarkStart w:colFirst="0" w:colLast="0" w:name="_tly9ovbjlt32" w:id="3"/>
      <w:bookmarkEnd w:id="3"/>
      <w:r w:rsidDel="00000000" w:rsidR="00000000" w:rsidRPr="00000000">
        <w:rPr>
          <w:rFonts w:ascii="Times New Roman" w:cs="Times New Roman" w:eastAsia="Times New Roman" w:hAnsi="Times New Roman"/>
          <w:b w:val="1"/>
          <w:color w:val="000000"/>
          <w:sz w:val="24"/>
          <w:szCs w:val="24"/>
          <w:rtl w:val="0"/>
        </w:rPr>
        <w:t xml:space="preserve">An Overview of Angela Duckworth’s Research on Grit</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Duckworth's grit theory has garnered considerable attention as well as conversation till her 2013 Talk Show, respectively positive and negative. Whereas many people believe that grit is essential for education, others believe that focusing exclusively on grit blatantly disregards other significant factors that affect learning outcomes. Including those who genuinely believe in grit are really not certain how to help their children develop it. The subsequent subsections will go over how Angela Duckworth did come to her inferences regarding grit, how much her opinions now are, nearly six months ever since her TED Talk came online, as well as how one can help students develop grit.</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074920" cy="2606040"/>
            <wp:effectExtent b="0" l="0" r="0" t="0"/>
            <wp:docPr descr="Pyramid: Data – Information – Knowledge – Wisdom (DIKW)  " id="4" name="image2.png"/>
            <a:graphic>
              <a:graphicData uri="http://schemas.openxmlformats.org/drawingml/2006/picture">
                <pic:pic>
                  <pic:nvPicPr>
                    <pic:cNvPr descr="Pyramid: Data – Information – Knowledge – Wisdom (DIKW)  " id="0" name="image2.png"/>
                    <pic:cNvPicPr preferRelativeResize="0"/>
                  </pic:nvPicPr>
                  <pic:blipFill>
                    <a:blip r:embed="rId10"/>
                    <a:srcRect b="0" l="0" r="0" t="0"/>
                    <a:stretch>
                      <a:fillRect/>
                    </a:stretch>
                  </pic:blipFill>
                  <pic:spPr>
                    <a:xfrm>
                      <a:off x="0" y="0"/>
                      <a:ext cx="5074920" cy="260604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277810" cy="2959100"/>
            <wp:effectExtent b="0" l="0" r="0" t="0"/>
            <wp:docPr id="1"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277810" cy="29591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pStyle w:val="Heading1"/>
        <w:spacing w:line="360" w:lineRule="auto"/>
        <w:jc w:val="both"/>
        <w:rPr>
          <w:rFonts w:ascii="Times New Roman" w:cs="Times New Roman" w:eastAsia="Times New Roman" w:hAnsi="Times New Roman"/>
          <w:b w:val="1"/>
          <w:sz w:val="24"/>
          <w:szCs w:val="24"/>
        </w:rPr>
      </w:pPr>
      <w:bookmarkStart w:colFirst="0" w:colLast="0" w:name="_1fob9te" w:id="4"/>
      <w:bookmarkEnd w:id="4"/>
      <w:r w:rsidDel="00000000" w:rsidR="00000000" w:rsidRPr="00000000">
        <w:rPr>
          <w:rFonts w:ascii="Times New Roman" w:cs="Times New Roman" w:eastAsia="Times New Roman" w:hAnsi="Times New Roman"/>
          <w:b w:val="1"/>
          <w:color w:val="000000"/>
          <w:sz w:val="24"/>
          <w:szCs w:val="24"/>
          <w:rtl w:val="0"/>
        </w:rPr>
        <w:t xml:space="preserve">What makes students succeed?</w:t>
      </w: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Duckworth researched adults and children in tough circumstances, such as West Point military trainees, nationwide academic decathlon contenders, and teaching staff in challenging school systems. She as well as her research group asked the similar thing in every research: "Who is effective here because?" One defining feature emerged as a prominent predictor of performance along the range of circumstances: grit. Grit is the characteristic that enables people to work hard to stay focused for decades, not just weeks or even months (Allen, 2014).</w:t>
      </w:r>
      <w:r w:rsidDel="00000000" w:rsidR="00000000" w:rsidRPr="00000000">
        <w:rPr>
          <w:rFonts w:ascii="Times New Roman" w:cs="Times New Roman" w:eastAsia="Times New Roman" w:hAnsi="Times New Roman"/>
          <w:sz w:val="24"/>
          <w:szCs w:val="24"/>
        </w:rPr>
        <w:drawing>
          <wp:inline distB="114300" distT="114300" distL="114300" distR="114300">
            <wp:extent cx="5277810" cy="2971800"/>
            <wp:effectExtent b="0" l="0" r="0" t="0"/>
            <wp:docPr id="9" name="image11.png"/>
            <a:graphic>
              <a:graphicData uri="http://schemas.openxmlformats.org/drawingml/2006/picture">
                <pic:pic>
                  <pic:nvPicPr>
                    <pic:cNvPr id="0" name="image11.png"/>
                    <pic:cNvPicPr preferRelativeResize="0"/>
                  </pic:nvPicPr>
                  <pic:blipFill>
                    <a:blip r:embed="rId12"/>
                    <a:srcRect b="0" l="0" r="0" t="0"/>
                    <a:stretch>
                      <a:fillRect/>
                    </a:stretch>
                  </pic:blipFill>
                  <pic:spPr>
                    <a:xfrm>
                      <a:off x="0" y="0"/>
                      <a:ext cx="527781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pStyle w:val="Heading2"/>
        <w:spacing w:after="280" w:before="280" w:line="360" w:lineRule="auto"/>
        <w:jc w:val="both"/>
        <w:rPr>
          <w:sz w:val="24"/>
          <w:szCs w:val="24"/>
        </w:rPr>
      </w:pPr>
      <w:bookmarkStart w:colFirst="0" w:colLast="0" w:name="_3znysh7" w:id="5"/>
      <w:bookmarkEnd w:id="5"/>
      <w:r w:rsidDel="00000000" w:rsidR="00000000" w:rsidRPr="00000000">
        <w:rPr>
          <w:sz w:val="24"/>
          <w:szCs w:val="24"/>
          <w:rtl w:val="0"/>
        </w:rPr>
        <w:t xml:space="preserve">Measuring grit</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Duckworth as well as her colleagues created the Grit Magnitude, a self-reported survey that wants to know whether "I overcame downfalls to overcome a severe challenge." Participants were asked to rate themselves on a magnitude of one to 5, with one indicating "Not much like me" as well as five indicating "Just like myself." If a person fills out the questionnaire, his or her grit scoring system can be determined by calculating and then used to see how grit correlates with other success indicators. Duckworth as well as her colleagues looked at classmates in the Chicago Metropolitan Area to see if grit, as evaluated in trainee year, anticipated graduate degree the very next year. Educators conducted a questionnaire that also included four factors from the Grit Scale and also queries about school security, teacher effectiveness, peer interaction, supportive parents, social competence, as well as education motivation, all of which are recognized to anticipate high school graduation. However, after having to account for such potential predictors, in furthermore to standardized tests as well as demographic trends, Duckworth as well as her team discovered that underclassmen with more grit were much more likely to graduate from high college to their less gritty peer group (Baškarada, 2014).</w:t>
      </w:r>
      <w:r w:rsidDel="00000000" w:rsidR="00000000" w:rsidRPr="00000000">
        <w:rPr>
          <w:rFonts w:ascii="Times New Roman" w:cs="Times New Roman" w:eastAsia="Times New Roman" w:hAnsi="Times New Roman"/>
          <w:sz w:val="24"/>
          <w:szCs w:val="24"/>
        </w:rPr>
        <w:drawing>
          <wp:inline distB="114300" distT="114300" distL="114300" distR="114300">
            <wp:extent cx="5277810" cy="2921000"/>
            <wp:effectExtent b="0" l="0" r="0" t="0"/>
            <wp:docPr id="15" name="image14.png"/>
            <a:graphic>
              <a:graphicData uri="http://schemas.openxmlformats.org/drawingml/2006/picture">
                <pic:pic>
                  <pic:nvPicPr>
                    <pic:cNvPr id="0" name="image14.png"/>
                    <pic:cNvPicPr preferRelativeResize="0"/>
                  </pic:nvPicPr>
                  <pic:blipFill>
                    <a:blip r:embed="rId13"/>
                    <a:srcRect b="0" l="0" r="0" t="0"/>
                    <a:stretch>
                      <a:fillRect/>
                    </a:stretch>
                  </pic:blipFill>
                  <pic:spPr>
                    <a:xfrm>
                      <a:off x="0" y="0"/>
                      <a:ext cx="5277810" cy="29210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pStyle w:val="Heading2"/>
        <w:spacing w:after="280" w:before="280" w:line="360" w:lineRule="auto"/>
        <w:jc w:val="both"/>
        <w:rPr>
          <w:color w:val="000000"/>
          <w:sz w:val="24"/>
          <w:szCs w:val="24"/>
        </w:rPr>
      </w:pPr>
      <w:r w:rsidDel="00000000" w:rsidR="00000000" w:rsidRPr="00000000">
        <w:rPr>
          <w:color w:val="000000"/>
          <w:sz w:val="24"/>
          <w:szCs w:val="24"/>
          <w:rtl w:val="0"/>
        </w:rPr>
        <w:t xml:space="preserve">Is grit the only quality that should be prioritised?</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 fact that grit is clearly essential for students as well as process goals, very little is recognised on how to help schoolmates grow grit. Nevertheless, according to a study released in conjunction with Duckworth's TED Talk, and also Virtual Promise's possess having to learn science research, a number of factors influence student learning. Whilst also fostering grit is advantageous for indicators of student learning like empowering learners to create corrections, set the bar high, as well as claim control over their learning opportunities, apparently inconsequential details like room temperature or design can have an effect on students’ encouragement and persistence.</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490210" cy="4109085"/>
            <wp:effectExtent b="0" l="0" r="0" t="0"/>
            <wp:docPr descr="10 key principles of the learning sciences" id="7" name="image8.jpg"/>
            <a:graphic>
              <a:graphicData uri="http://schemas.openxmlformats.org/drawingml/2006/picture">
                <pic:pic>
                  <pic:nvPicPr>
                    <pic:cNvPr descr="10 key principles of the learning sciences" id="0" name="image8.jpg"/>
                    <pic:cNvPicPr preferRelativeResize="0"/>
                  </pic:nvPicPr>
                  <pic:blipFill>
                    <a:blip r:embed="rId14"/>
                    <a:srcRect b="0" l="0" r="0" t="0"/>
                    <a:stretch>
                      <a:fillRect/>
                    </a:stretch>
                  </pic:blipFill>
                  <pic:spPr>
                    <a:xfrm>
                      <a:off x="0" y="0"/>
                      <a:ext cx="5490210" cy="4109085"/>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1. Learning sciences </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Duckworth has re - evaluated the position of grit in academic success as of her 2013 Talk Show, admitting in a question-and-answer session with Ed-Surge in 2018 that "there's a lot of things that children really have to develop up and live gets to live that really are pleased, nutritious, as well as great for other folks." Grit is on the list, but it isn't the sole item." Duckworth co-founded Personality Lab, a non-profit that aims to illustrate the wide number of factors that influence learning outcomes. With "playbooks," the site provides educators with actionable information into a variety of educational problems. Each playbook is all about grit, on the other side others are all regarding personal attributes including purpose, gratefulness, as well as wonderment.</w:t>
      </w:r>
      <w:r w:rsidDel="00000000" w:rsidR="00000000" w:rsidRPr="00000000">
        <w:rPr>
          <w:rtl w:val="0"/>
        </w:rPr>
      </w:r>
    </w:p>
    <w:p w:rsidR="00000000" w:rsidDel="00000000" w:rsidP="00000000" w:rsidRDefault="00000000" w:rsidRPr="00000000" w14:paraId="00000053">
      <w:pPr>
        <w:pStyle w:val="Heading2"/>
        <w:spacing w:after="280" w:before="280" w:line="360" w:lineRule="auto"/>
        <w:jc w:val="both"/>
        <w:rPr>
          <w:sz w:val="24"/>
          <w:szCs w:val="24"/>
        </w:rPr>
      </w:pPr>
      <w:bookmarkStart w:colFirst="0" w:colLast="0" w:name="_2et92p0" w:id="6"/>
      <w:bookmarkEnd w:id="6"/>
      <w:r w:rsidDel="00000000" w:rsidR="00000000" w:rsidRPr="00000000">
        <w:rPr>
          <w:sz w:val="24"/>
          <w:szCs w:val="24"/>
          <w:rtl w:val="0"/>
        </w:rPr>
        <w:t xml:space="preserve">Instilling grit in students</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We'll never know everything there is to know on how to best grow grit in classmates, and coming up with a solution will necessitate strong cooperation between academics and researchers. This will necessarily require both drive and determination. Across the whole of her TED Talk, Duckworth said, "We must choose the suggestions, the biggest suggestions, as well as test them." "In order to identify if we were effective, we had to be prepared to fail, make complete mistakes, start over, and learn lessons." As stated in the other phrases, we must be resolute in our attempts to make our kids grittier." Duckworth has made it very clear that a "no rationales" or shame-based method to grit isn't the method to go after the pushback she did receive after her TED Talk. Duckworth explained, "It's a basic human tendency to avoid making mistakes, being confused, and being questioned by Ed-Surge. "And as such it is the obligation of the teaching assistant, classroom, or wellbeing of society that children understand because when they don't need to do something difficult, because once those who wouldn't want to do something that could not collaborate out, but then when they would not want to give up items, perhaps the most vital part is to begin by knowing and understanding that it is part of the challenge." Teachers are encouraged who would like to start nurturing grit in the schoolroom. She provides an overview of an instructor who managed to keep all of her educators' exams in a binding material that they might easily obtain to revamp the troubles they answered incorrectly in a question and answer session. Providing students with the time, room, as well as possibilities to be gritty could be a good first step toward instilling gritty mentalities in the schoolroom (Bled et al., 2017).</w:t>
      </w:r>
      <w:r w:rsidDel="00000000" w:rsidR="00000000" w:rsidRPr="00000000">
        <w:rPr>
          <w:rFonts w:ascii="Times New Roman" w:cs="Times New Roman" w:eastAsia="Times New Roman" w:hAnsi="Times New Roman"/>
          <w:sz w:val="24"/>
          <w:szCs w:val="24"/>
        </w:rPr>
        <w:drawing>
          <wp:inline distB="114300" distT="114300" distL="114300" distR="114300">
            <wp:extent cx="5277810" cy="2959100"/>
            <wp:effectExtent b="0" l="0" r="0" t="0"/>
            <wp:docPr id="13"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5277810" cy="2959100"/>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pStyle w:val="Heading1"/>
        <w:spacing w:line="360" w:lineRule="auto"/>
        <w:jc w:val="both"/>
        <w:rPr>
          <w:rFonts w:ascii="Times New Roman" w:cs="Times New Roman" w:eastAsia="Times New Roman" w:hAnsi="Times New Roman"/>
          <w:b w:val="1"/>
          <w:color w:val="000000"/>
          <w:sz w:val="24"/>
          <w:szCs w:val="24"/>
        </w:rPr>
      </w:pPr>
      <w:bookmarkStart w:colFirst="0" w:colLast="0" w:name="_tyjcwt" w:id="7"/>
      <w:bookmarkEnd w:id="7"/>
      <w:r w:rsidDel="00000000" w:rsidR="00000000" w:rsidRPr="00000000">
        <w:rPr>
          <w:rFonts w:ascii="Times New Roman" w:cs="Times New Roman" w:eastAsia="Times New Roman" w:hAnsi="Times New Roman"/>
          <w:b w:val="1"/>
          <w:color w:val="000000"/>
          <w:sz w:val="24"/>
          <w:szCs w:val="24"/>
          <w:rtl w:val="0"/>
        </w:rPr>
        <w:t xml:space="preserve">Data and Information </w:t>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1d1d1d"/>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Information has been expressed in terms of kinetic theory (physiological) randomness, data in terms of Shannon (emblem) thermodynamics, as well as knowledge in development of mental (background) entropy, in accordance with cognitive science. As a result, information can be thought of as meaningless trends, details as analysed data, as well as knowledge as "data integrated in an owner's </w:t>
      </w:r>
      <w:r w:rsidDel="00000000" w:rsidR="00000000" w:rsidRPr="00000000">
        <w:rPr>
          <w:rFonts w:ascii="Times New Roman" w:cs="Times New Roman" w:eastAsia="Times New Roman" w:hAnsi="Times New Roman"/>
          <w:sz w:val="24"/>
          <w:szCs w:val="24"/>
          <w:rtl w:val="0"/>
        </w:rPr>
        <w:t xml:space="preserve">rational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assets." Although some of the aforementioned meanings appear to imply a straight line from information to knowledge, it's also been tried to argue that data comes from knowledge, as well as facts come from knowledge. To put it another way, data can be thought of as an objective/external medium to communicate and stockpiling that is encrypted from data by a recipient and construed into data by a recipient. Encrypted </w:t>
      </w:r>
      <w:r w:rsidDel="00000000" w:rsidR="00000000" w:rsidRPr="00000000">
        <w:rPr>
          <w:rFonts w:ascii="Times New Roman" w:cs="Times New Roman" w:eastAsia="Times New Roman" w:hAnsi="Times New Roman"/>
          <w:sz w:val="24"/>
          <w:szCs w:val="24"/>
          <w:rtl w:val="0"/>
        </w:rPr>
        <w:t xml:space="preserve">files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example, can be obtaining quantitative data in the sense of cryptology. Data, on the other hand, refers to any Boolean depictions that are saved on or tried to communicate via a digital format. Data, on the other </w:t>
      </w:r>
      <w:r w:rsidDel="00000000" w:rsidR="00000000" w:rsidRPr="00000000">
        <w:rPr>
          <w:rFonts w:ascii="Times New Roman" w:cs="Times New Roman" w:eastAsia="Times New Roman" w:hAnsi="Times New Roman"/>
          <w:sz w:val="24"/>
          <w:szCs w:val="24"/>
          <w:rtl w:val="0"/>
        </w:rPr>
        <w:t xml:space="preserve">hand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can be regarded as an experience when it reduces the risks at the recipient. Others here have argued that because of its multi - dimensional nature, the notion of data is harder to specify.</w:t>
      </w:r>
      <w:r w:rsidDel="00000000" w:rsidR="00000000" w:rsidRPr="00000000">
        <w:rPr>
          <w:rtl w:val="0"/>
        </w:rPr>
      </w:r>
    </w:p>
    <w:p w:rsidR="00000000" w:rsidDel="00000000" w:rsidP="00000000" w:rsidRDefault="00000000" w:rsidRPr="00000000" w14:paraId="00000057">
      <w:pPr>
        <w:pStyle w:val="Heading1"/>
        <w:spacing w:line="360" w:lineRule="auto"/>
        <w:jc w:val="both"/>
        <w:rPr>
          <w:rFonts w:ascii="Times New Roman" w:cs="Times New Roman" w:eastAsia="Times New Roman" w:hAnsi="Times New Roman"/>
          <w:b w:val="1"/>
          <w:color w:val="000000"/>
          <w:sz w:val="24"/>
          <w:szCs w:val="24"/>
        </w:rPr>
      </w:pPr>
      <w:bookmarkStart w:colFirst="0" w:colLast="0" w:name="_3dy6vkm" w:id="8"/>
      <w:bookmarkEnd w:id="8"/>
      <w:r w:rsidDel="00000000" w:rsidR="00000000" w:rsidRPr="00000000">
        <w:rPr>
          <w:rFonts w:ascii="Times New Roman" w:cs="Times New Roman" w:eastAsia="Times New Roman" w:hAnsi="Times New Roman"/>
          <w:b w:val="1"/>
          <w:color w:val="000000"/>
          <w:sz w:val="24"/>
          <w:szCs w:val="24"/>
        </w:rPr>
        <w:drawing>
          <wp:inline distB="114300" distT="114300" distL="114300" distR="114300">
            <wp:extent cx="5277810" cy="2946400"/>
            <wp:effectExtent b="0" l="0" r="0" t="0"/>
            <wp:docPr id="12" name="image12.png"/>
            <a:graphic>
              <a:graphicData uri="http://schemas.openxmlformats.org/drawingml/2006/picture">
                <pic:pic>
                  <pic:nvPicPr>
                    <pic:cNvPr id="0" name="image12.png"/>
                    <pic:cNvPicPr preferRelativeResize="0"/>
                  </pic:nvPicPr>
                  <pic:blipFill>
                    <a:blip r:embed="rId16"/>
                    <a:srcRect b="0" l="0" r="0" t="0"/>
                    <a:stretch>
                      <a:fillRect/>
                    </a:stretch>
                  </pic:blipFill>
                  <pic:spPr>
                    <a:xfrm>
                      <a:off x="0" y="0"/>
                      <a:ext cx="5277810" cy="2946400"/>
                    </a:xfrm>
                    <a:prstGeom prst="rect"/>
                    <a:ln/>
                  </pic:spPr>
                </pic:pic>
              </a:graphicData>
            </a:graphic>
          </wp:inline>
        </w:drawing>
      </w:r>
      <w:r w:rsidDel="00000000" w:rsidR="00000000" w:rsidRPr="00000000">
        <w:rPr>
          <w:rFonts w:ascii="Times New Roman" w:cs="Times New Roman" w:eastAsia="Times New Roman" w:hAnsi="Times New Roman"/>
          <w:b w:val="1"/>
          <w:color w:val="000000"/>
          <w:sz w:val="24"/>
          <w:szCs w:val="24"/>
          <w:rtl w:val="0"/>
        </w:rPr>
        <w:t xml:space="preserve">DIKW model </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interactions among data, information, knowledge, as well as wisdom are represented by the DIKW Hierarchy. Also, every basic structure represents a step more towards a superior stage: data, information, knowledge, as well as wisdom are the first four. Each process creates value to the preliminary information by answering various questions about it. The much more indicating and background we add to the data, more and more understanding as well as deep insight humans gain, allowing us to make better, data-driven choices. The Data, Information, Knowledge, Wisdom (DIKW) Pyramid, also known as the Understanding Pyramid, Wisdom Hierarchy, as well as Data Hierarchy, is a famous depiction of the connections among data, information, knowledge, as well as wisdom. The Expertise Pyramid, like some other </w:t>
      </w:r>
      <w:r w:rsidDel="00000000" w:rsidR="00000000" w:rsidRPr="00000000">
        <w:rPr>
          <w:rFonts w:ascii="Times New Roman" w:cs="Times New Roman" w:eastAsia="Times New Roman" w:hAnsi="Times New Roman"/>
          <w:sz w:val="24"/>
          <w:szCs w:val="24"/>
          <w:rtl w:val="0"/>
        </w:rPr>
        <w:t xml:space="preserve">hierarchical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structure models, has strictly defined basic components: figures come initially, then data, then understanding, as well as eventually wisdom. Also, every step of the hierarchy creates value to the information by responding to questions about that as well. The greater we climb the hierarchy, the more questions we </w:t>
      </w:r>
      <w:r w:rsidDel="00000000" w:rsidR="00000000" w:rsidRPr="00000000">
        <w:rPr>
          <w:rFonts w:ascii="Times New Roman" w:cs="Times New Roman" w:eastAsia="Times New Roman" w:hAnsi="Times New Roman"/>
          <w:sz w:val="24"/>
          <w:szCs w:val="24"/>
          <w:rtl w:val="0"/>
        </w:rPr>
        <w:t xml:space="preserve">respond to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those other phrases, the much more indicating and background we add to our information, more and more understanding and deep insight we gain. We've started to turn our information and expertise into a learning opportunity that directs our behaviour at the top of the heap (Dearne, 2015).</w:t>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490210" cy="3877310"/>
            <wp:effectExtent b="0" l="0" r="0" t="0"/>
            <wp:docPr descr="Data and Information" id="6" name="image9.jpg"/>
            <a:graphic>
              <a:graphicData uri="http://schemas.openxmlformats.org/drawingml/2006/picture">
                <pic:pic>
                  <pic:nvPicPr>
                    <pic:cNvPr descr="Data and Information" id="0" name="image9.jpg"/>
                    <pic:cNvPicPr preferRelativeResize="0"/>
                  </pic:nvPicPr>
                  <pic:blipFill>
                    <a:blip r:embed="rId17"/>
                    <a:srcRect b="0" l="0" r="0" t="0"/>
                    <a:stretch>
                      <a:fillRect/>
                    </a:stretch>
                  </pic:blipFill>
                  <pic:spPr>
                    <a:xfrm>
                      <a:off x="0" y="0"/>
                      <a:ext cx="5490210" cy="387731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2. Scatter graph </w:t>
      </w:r>
    </w:p>
    <w:p w:rsidR="00000000" w:rsidDel="00000000" w:rsidP="00000000" w:rsidRDefault="00000000" w:rsidRPr="00000000" w14:paraId="0000005D">
      <w:pPr>
        <w:pStyle w:val="Heading2"/>
        <w:spacing w:after="280" w:before="280" w:line="360" w:lineRule="auto"/>
        <w:jc w:val="both"/>
        <w:rPr>
          <w:sz w:val="24"/>
          <w:szCs w:val="24"/>
        </w:rPr>
      </w:pPr>
      <w:bookmarkStart w:colFirst="0" w:colLast="0" w:name="_1t3h5sf" w:id="9"/>
      <w:bookmarkEnd w:id="9"/>
      <w:r w:rsidDel="00000000" w:rsidR="00000000" w:rsidRPr="00000000">
        <w:rPr>
          <w:sz w:val="24"/>
          <w:szCs w:val="24"/>
          <w:rtl w:val="0"/>
        </w:rPr>
        <w:t xml:space="preserve">How to Take Data All the Way to the Top of the Expertise Hierarchy</w:t>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 let's take a look at the Expertise Pyramid's different pieces and also how we progress back and forth through time.</w:t>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ffffff" w:val="clear"/>
        <w:spacing w:after="405"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ffffff" w:val="clear"/>
        <w:spacing w:after="405"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490210" cy="2705735"/>
            <wp:effectExtent b="0" l="0" r="0" t="0"/>
            <wp:docPr descr="DIKW Pyramid" id="8" name="image15.png"/>
            <a:graphic>
              <a:graphicData uri="http://schemas.openxmlformats.org/drawingml/2006/picture">
                <pic:pic>
                  <pic:nvPicPr>
                    <pic:cNvPr descr="DIKW Pyramid" id="0" name="image15.png"/>
                    <pic:cNvPicPr preferRelativeResize="0"/>
                  </pic:nvPicPr>
                  <pic:blipFill>
                    <a:blip r:embed="rId18"/>
                    <a:srcRect b="0" l="0" r="0" t="0"/>
                    <a:stretch>
                      <a:fillRect/>
                    </a:stretch>
                  </pic:blipFill>
                  <pic:spPr>
                    <a:xfrm>
                      <a:off x="0" y="0"/>
                      <a:ext cx="5490210" cy="2705735"/>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ffffff" w:val="clear"/>
        <w:spacing w:after="405"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3. DKIW model</w:t>
      </w:r>
    </w:p>
    <w:p w:rsidR="00000000" w:rsidDel="00000000" w:rsidP="00000000" w:rsidRDefault="00000000" w:rsidRPr="00000000" w14:paraId="00000062">
      <w:pPr>
        <w:pStyle w:val="Heading3"/>
        <w:spacing w:after="280" w:before="280" w:line="360" w:lineRule="auto"/>
        <w:jc w:val="both"/>
        <w:rPr>
          <w:sz w:val="24"/>
          <w:szCs w:val="24"/>
        </w:rPr>
      </w:pPr>
      <w:bookmarkStart w:colFirst="0" w:colLast="0" w:name="_4d34og8" w:id="10"/>
      <w:bookmarkEnd w:id="10"/>
      <w:r w:rsidDel="00000000" w:rsidR="00000000" w:rsidRPr="00000000">
        <w:rPr>
          <w:sz w:val="24"/>
          <w:szCs w:val="24"/>
        </w:rPr>
        <w:drawing>
          <wp:inline distB="114300" distT="114300" distL="114300" distR="114300">
            <wp:extent cx="5277810" cy="2971800"/>
            <wp:effectExtent b="0" l="0" r="0" t="0"/>
            <wp:docPr id="10" name="image3.png"/>
            <a:graphic>
              <a:graphicData uri="http://schemas.openxmlformats.org/drawingml/2006/picture">
                <pic:pic>
                  <pic:nvPicPr>
                    <pic:cNvPr id="0" name="image3.png"/>
                    <pic:cNvPicPr preferRelativeResize="0"/>
                  </pic:nvPicPr>
                  <pic:blipFill>
                    <a:blip r:embed="rId19"/>
                    <a:srcRect b="0" l="0" r="0" t="0"/>
                    <a:stretch>
                      <a:fillRect/>
                    </a:stretch>
                  </pic:blipFill>
                  <pic:spPr>
                    <a:xfrm>
                      <a:off x="0" y="0"/>
                      <a:ext cx="5277810" cy="2971800"/>
                    </a:xfrm>
                    <a:prstGeom prst="rect"/>
                    <a:ln/>
                  </pic:spPr>
                </pic:pic>
              </a:graphicData>
            </a:graphic>
          </wp:inline>
        </w:drawing>
      </w:r>
      <w:r w:rsidDel="00000000" w:rsidR="00000000" w:rsidRPr="00000000">
        <w:rPr>
          <w:sz w:val="24"/>
          <w:szCs w:val="24"/>
          <w:rtl w:val="0"/>
        </w:rPr>
        <w:t xml:space="preserve">Data</w:t>
      </w:r>
    </w:p>
    <w:p w:rsidR="00000000" w:rsidDel="00000000" w:rsidP="00000000" w:rsidRDefault="00000000" w:rsidRPr="00000000" w14:paraId="00000063">
      <w:pPr>
        <w:pStyle w:val="Heading3"/>
        <w:spacing w:after="280" w:before="280" w:line="360" w:lineRule="auto"/>
        <w:jc w:val="both"/>
        <w:rPr>
          <w:b w:val="0"/>
          <w:sz w:val="24"/>
          <w:szCs w:val="24"/>
        </w:rPr>
      </w:pPr>
      <w:bookmarkStart w:colFirst="0" w:colLast="0" w:name="_2s8eyo1" w:id="11"/>
      <w:bookmarkEnd w:id="11"/>
      <w:r w:rsidDel="00000000" w:rsidR="00000000" w:rsidRPr="00000000">
        <w:rPr>
          <w:b w:val="0"/>
          <w:sz w:val="24"/>
          <w:szCs w:val="24"/>
          <w:rtl w:val="0"/>
        </w:rPr>
        <w:t xml:space="preserve">How to Get Data to the Top of the Expertise Pyramid and Where to Get It Data is a collection of factual information in a fresh or unorganized shape, including figures and character types. In this context, information, on the other side, can be pointless. For instance, 12012012 is just a sequence of numbers with no evident meaning. Nevertheless, if we take into account, it in the sense of a deadline, the 12th of January, 2012, is easily identifiable. Now that background and value have been added to the statistics, they have more meaning. We've converted the raw number combination into this format.</w:t>
      </w:r>
    </w:p>
    <w:p w:rsidR="00000000" w:rsidDel="00000000" w:rsidP="00000000" w:rsidRDefault="00000000" w:rsidRPr="00000000" w14:paraId="00000064">
      <w:pPr>
        <w:pStyle w:val="Heading3"/>
        <w:spacing w:after="280" w:before="280" w:line="360" w:lineRule="auto"/>
        <w:jc w:val="both"/>
        <w:rPr>
          <w:sz w:val="24"/>
          <w:szCs w:val="24"/>
        </w:rPr>
      </w:pPr>
      <w:r w:rsidDel="00000000" w:rsidR="00000000" w:rsidRPr="00000000">
        <w:rPr>
          <w:sz w:val="24"/>
          <w:szCs w:val="24"/>
          <w:rtl w:val="0"/>
        </w:rPr>
        <w:t xml:space="preserve">Information  </w:t>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DIKW Pyramid's upcoming basic structure is data. This is information which has been "scrubbed" of mistakes and then further filtered so that it can be measured, visualised, and analysed for a clear objective. Processing of data can include a range of activities, like incorporating different types of data (agglomeration), making sure that the data collected is accurate and relevant (validation), and etc, based on the objective. For instance, we can arrange our data in such a way that it reveals connections between apparently irrelevant pieces of data. More particularly, we can evaluate the effectiveness of the Dow Jones index by constructing a chart of pieces of data for a particular time period, depending on the statistics at each day's close. We can extract valuable insights from data as well as improve user experience for us by asking some questions regarding 'who, what, when, where, and also how (Boddy et al., 2015).'</w:t>
      </w:r>
    </w:p>
    <w:p w:rsidR="00000000" w:rsidDel="00000000" w:rsidP="00000000" w:rsidRDefault="00000000" w:rsidRPr="00000000" w14:paraId="00000066">
      <w:pPr>
        <w:pStyle w:val="Heading3"/>
        <w:spacing w:after="280" w:before="280" w:line="360" w:lineRule="auto"/>
        <w:jc w:val="both"/>
        <w:rPr>
          <w:sz w:val="24"/>
          <w:szCs w:val="24"/>
        </w:rPr>
      </w:pPr>
      <w:bookmarkStart w:colFirst="0" w:colLast="0" w:name="_17dp8vu" w:id="12"/>
      <w:bookmarkEnd w:id="12"/>
      <w:r w:rsidDel="00000000" w:rsidR="00000000" w:rsidRPr="00000000">
        <w:rPr>
          <w:sz w:val="24"/>
          <w:szCs w:val="24"/>
          <w:rtl w:val="0"/>
        </w:rPr>
        <w:t xml:space="preserve">Knowledge </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is the evidence gathered from the information related to the objectives? "How" are the snippets of this data linked together to add more purpose and meaning? As well as, perhaps most notably, "how" could we use the data to accomplish our objective? We transform tacit knowledge into explicit knowledge once we comprehend how to implement it to reach the destination rather than just seeing it as a collection of facts. This expertise is frequently a competitive advantage for businesses. We gain greater insight as we unearth connections that aren't expressly mentioned as data, moving us upwards on the DIKW hierarchy. It could indeed say we've completed the top – 'wisdom' – move of the Expertise Hierarchy only because we use the information and expertise </w:t>
      </w:r>
      <w:r w:rsidDel="00000000" w:rsidR="00000000" w:rsidRPr="00000000">
        <w:rPr>
          <w:rFonts w:ascii="Times New Roman" w:cs="Times New Roman" w:eastAsia="Times New Roman" w:hAnsi="Times New Roman"/>
          <w:sz w:val="24"/>
          <w:szCs w:val="24"/>
          <w:rtl w:val="0"/>
        </w:rPr>
        <w:t xml:space="preserve">obtained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from the data to make decision making (Beynon-Davies, 2017).</w:t>
      </w:r>
    </w:p>
    <w:p w:rsidR="00000000" w:rsidDel="00000000" w:rsidP="00000000" w:rsidRDefault="00000000" w:rsidRPr="00000000" w14:paraId="00000068">
      <w:pPr>
        <w:pStyle w:val="Heading3"/>
        <w:spacing w:after="280" w:before="280" w:line="360" w:lineRule="auto"/>
        <w:jc w:val="both"/>
        <w:rPr>
          <w:sz w:val="24"/>
          <w:szCs w:val="24"/>
        </w:rPr>
      </w:pPr>
      <w:bookmarkStart w:colFirst="0" w:colLast="0" w:name="_3rdcrjn" w:id="13"/>
      <w:bookmarkEnd w:id="13"/>
      <w:r w:rsidDel="00000000" w:rsidR="00000000" w:rsidRPr="00000000">
        <w:rPr>
          <w:sz w:val="24"/>
          <w:szCs w:val="24"/>
          <w:rtl w:val="0"/>
        </w:rPr>
        <w:t xml:space="preserve">Wisdom</w:t>
      </w:r>
    </w:p>
    <w:p w:rsidR="00000000" w:rsidDel="00000000" w:rsidP="00000000" w:rsidRDefault="00000000" w:rsidRPr="00000000" w14:paraId="00000069">
      <w:pPr>
        <w:pStyle w:val="Heading3"/>
        <w:spacing w:after="280" w:before="280" w:line="360" w:lineRule="auto"/>
        <w:jc w:val="both"/>
        <w:rPr>
          <w:b w:val="0"/>
          <w:sz w:val="24"/>
          <w:szCs w:val="24"/>
        </w:rPr>
      </w:pPr>
      <w:bookmarkStart w:colFirst="0" w:colLast="0" w:name="_26in1rg" w:id="14"/>
      <w:bookmarkEnd w:id="14"/>
      <w:r w:rsidDel="00000000" w:rsidR="00000000" w:rsidRPr="00000000">
        <w:rPr>
          <w:b w:val="0"/>
          <w:sz w:val="24"/>
          <w:szCs w:val="24"/>
          <w:rtl w:val="0"/>
        </w:rPr>
        <w:t xml:space="preserve">When to Use Information to Scale It up the Expertise Pyramid-Wisdom.  Knowledge has been at the pinnacle of the DIKW power structure, and therefore we must respond to questions like "why do stuff" as well as "what is better" to get somewhere. Wisdom, in those other phrases, is understanding put into practice. We also can have said that, whereas data or information are affiliated with what we're doing now as well as what we really want to accomplish in the future, knowledge and abilities are affiliated with everything we want to improve in the future.</w:t>
      </w:r>
    </w:p>
    <w:p w:rsidR="00000000" w:rsidDel="00000000" w:rsidP="00000000" w:rsidRDefault="00000000" w:rsidRPr="00000000" w14:paraId="0000006A">
      <w:pPr>
        <w:pStyle w:val="Heading3"/>
        <w:spacing w:after="280" w:before="280" w:line="360" w:lineRule="auto"/>
        <w:jc w:val="both"/>
        <w:rPr>
          <w:sz w:val="24"/>
          <w:szCs w:val="24"/>
        </w:rPr>
      </w:pPr>
      <w:r w:rsidDel="00000000" w:rsidR="00000000" w:rsidRPr="00000000">
        <w:rPr>
          <w:sz w:val="24"/>
          <w:szCs w:val="24"/>
          <w:rtl w:val="0"/>
        </w:rPr>
        <w:t xml:space="preserve">The Expertise Pyramid and Also how Companies and Businesses Move Up It</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Semantic Innovations including such Data Sources and Keyword Data Lakes is one simple and quick way for businesses to move from documentation to information to experience and intelligence. These innovations can connect divergent and inhomogeneous information and generate new information from existing information. With this newfound information, businesses can ascend the knowledge volcano and achieve a competitive edge by using data-driven analytics to enhance their business choices (Bocij et al., 2013).</w:t>
      </w:r>
    </w:p>
    <w:p w:rsidR="00000000" w:rsidDel="00000000" w:rsidP="00000000" w:rsidRDefault="00000000" w:rsidRPr="00000000" w14:paraId="0000006C">
      <w:pPr>
        <w:pStyle w:val="Heading1"/>
        <w:spacing w:line="360" w:lineRule="auto"/>
        <w:jc w:val="both"/>
        <w:rPr>
          <w:rFonts w:ascii="Times New Roman" w:cs="Times New Roman" w:eastAsia="Times New Roman" w:hAnsi="Times New Roman"/>
          <w:b w:val="1"/>
          <w:color w:val="000000"/>
          <w:sz w:val="24"/>
          <w:szCs w:val="24"/>
        </w:rPr>
      </w:pPr>
      <w:bookmarkStart w:colFirst="0" w:colLast="0" w:name="_lnxbz9" w:id="15"/>
      <w:bookmarkEnd w:id="15"/>
      <w:r w:rsidDel="00000000" w:rsidR="00000000" w:rsidRPr="00000000">
        <w:rPr>
          <w:rFonts w:ascii="Times New Roman" w:cs="Times New Roman" w:eastAsia="Times New Roman" w:hAnsi="Times New Roman"/>
          <w:b w:val="1"/>
          <w:color w:val="000000"/>
          <w:sz w:val="24"/>
          <w:szCs w:val="24"/>
          <w:rtl w:val="0"/>
        </w:rPr>
        <w:t xml:space="preserve">Conclusion</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ffffff"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focus of this article was to review the available literature on the DIKW power structure, its component elements, as well as its genuine progress in depth as well as provide a high-level formulation. Moreover, in order to provide clear as well as consistent interpretations, we aimed to ground the pecking order in a signification structure. While a few scientists have closely examined the DIKW hierarchy as well as its particular requirements, this study builds on Falkenberg et al. (2018) by expressly anchoring the pecking order in semiology literary works and investigate the association between both the power structure as well as its genuine progress. The article also makes an evidence-based donation by demonstrating the lack of coherence in the use of the appropriate words in ordinary speech and by data management specialists.</w:t>
      </w:r>
    </w:p>
    <w:p w:rsidR="00000000" w:rsidDel="00000000" w:rsidP="00000000" w:rsidRDefault="00000000" w:rsidRPr="00000000" w14:paraId="0000006E">
      <w:pPr>
        <w:pStyle w:val="Heading1"/>
        <w:spacing w:line="360" w:lineRule="auto"/>
        <w:jc w:val="both"/>
        <w:rPr>
          <w:rFonts w:ascii="Times New Roman" w:cs="Times New Roman" w:eastAsia="Times New Roman" w:hAnsi="Times New Roman"/>
          <w:b w:val="1"/>
          <w:color w:val="000000"/>
          <w:sz w:val="24"/>
          <w:szCs w:val="24"/>
        </w:rPr>
      </w:pPr>
      <w:bookmarkStart w:colFirst="0" w:colLast="0" w:name="_35nkun2" w:id="16"/>
      <w:bookmarkEnd w:id="16"/>
      <w:r w:rsidDel="00000000" w:rsidR="00000000" w:rsidRPr="00000000">
        <w:rPr>
          <w:rFonts w:ascii="Times New Roman" w:cs="Times New Roman" w:eastAsia="Times New Roman" w:hAnsi="Times New Roman"/>
          <w:b w:val="1"/>
          <w:color w:val="000000"/>
          <w:sz w:val="24"/>
          <w:szCs w:val="24"/>
        </w:rPr>
        <w:drawing>
          <wp:inline distB="114300" distT="114300" distL="114300" distR="114300">
            <wp:extent cx="5277810" cy="2946400"/>
            <wp:effectExtent b="0" l="0" r="0" t="0"/>
            <wp:docPr id="2" name="image5.png"/>
            <a:graphic>
              <a:graphicData uri="http://schemas.openxmlformats.org/drawingml/2006/picture">
                <pic:pic>
                  <pic:nvPicPr>
                    <pic:cNvPr id="0" name="image5.png"/>
                    <pic:cNvPicPr preferRelativeResize="0"/>
                  </pic:nvPicPr>
                  <pic:blipFill>
                    <a:blip r:embed="rId20"/>
                    <a:srcRect b="0" l="0" r="0" t="0"/>
                    <a:stretch>
                      <a:fillRect/>
                    </a:stretch>
                  </pic:blipFill>
                  <pic:spPr>
                    <a:xfrm>
                      <a:off x="0" y="0"/>
                      <a:ext cx="5277810" cy="2946400"/>
                    </a:xfrm>
                    <a:prstGeom prst="rect"/>
                    <a:ln/>
                  </pic:spPr>
                </pic:pic>
              </a:graphicData>
            </a:graphic>
          </wp:inline>
        </w:drawing>
      </w:r>
      <w:r w:rsidDel="00000000" w:rsidR="00000000" w:rsidRPr="00000000">
        <w:rPr>
          <w:rFonts w:ascii="Times New Roman" w:cs="Times New Roman" w:eastAsia="Times New Roman" w:hAnsi="Times New Roman"/>
          <w:b w:val="1"/>
          <w:color w:val="000000"/>
          <w:sz w:val="24"/>
          <w:szCs w:val="24"/>
          <w:rtl w:val="0"/>
        </w:rPr>
        <w:t xml:space="preserve">References </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 Khattabi, M., Neagu, D. &amp; Cullen, A. 2016. Assessing information quality of e-learning systems: a web mining approach. Comput. Hum. Behav., 27, 862-873. </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Allen, J. P. 2014. Information systems as technological innovation. Information Technology &amp; People, 13, 210-221.</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Baškarada, S. 2014. Towards a Semiotic Information Position Framework for Network Centric Warfare. 16th International Command and Control Research and Technology Symposia (ICCRTS). Québec City, Canada</w:t>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Beynon-Davies, P. 2017. Informatics and the Inca. International Journal of Information Management, 27, 306-318.</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Bocij, P., Chaffey, D., Greasley, A. &amp; Hickie, S. 2013. Business Information Systems: Technology, Development and Management for the e-Business, Harlow, FT Prentice Hall. </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Boddy, D., Boonstra, A. &amp; Kennedy, G. 2015. Managing Information Systems: an Organizational Perspective, Harlow, FT Prentice Hall.</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Chen, M., Ebert, D., Hagen, H., Laramee, R. S., Liere, R. v., Ma, K.-L., Ribarsky, W., Scheuermann, G. &amp; Silver, D. 2019. Data, Information, and Knowledge in Visualization. IEEE Computer Graphics and Applications, 29, 12-19.</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Dampney, K., Busch, P. &amp; Richards, D. 2012. The Meaning of Tacit Knowledge. Australasian Journal of Information Systems, 10, 3-13. Available: http://dl.acs.org.au/index.php/ajis/article/view/438 [Accessed Dec 2021]. </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Dearne, K. 2015. SAS, Accenture in data analytics alliance [Online]. Available: http://www.theaustralian.com.au/australian-it/sas-accenture-in-data-analytics-alliance/storye6frgakx-1226076874647 [Accessed Dec 2021].</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Galliers, R. &amp; Newell, S. 2015. Back to the Future: From Knowledge Management to Data Management. Proceedings of ECIS. </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Bled, Slovenia. Garvin, D. 2017. Competing on the Eight Dimensions of Quality. Harvard Business Review, 65, 101- 109</w:t>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ffffff" w:val="clear"/>
        <w:spacing w:after="16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headerReference r:id="rId21" w:type="default"/>
      <w:pgSz w:h="16838" w:w="11906" w:orient="portrait"/>
      <w:pgMar w:bottom="1440" w:top="1440" w:left="1797" w:right="1797"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11" Type="http://schemas.openxmlformats.org/officeDocument/2006/relationships/image" Target="media/image7.png"/><Relationship Id="rId10" Type="http://schemas.openxmlformats.org/officeDocument/2006/relationships/image" Target="media/image2.png"/><Relationship Id="rId21" Type="http://schemas.openxmlformats.org/officeDocument/2006/relationships/header" Target="header1.xml"/><Relationship Id="rId13" Type="http://schemas.openxmlformats.org/officeDocument/2006/relationships/image" Target="media/image14.png"/><Relationship Id="rId12" Type="http://schemas.openxmlformats.org/officeDocument/2006/relationships/image" Target="media/image1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image" Target="media/image4.png"/><Relationship Id="rId14" Type="http://schemas.openxmlformats.org/officeDocument/2006/relationships/image" Target="media/image8.jpg"/><Relationship Id="rId17" Type="http://schemas.openxmlformats.org/officeDocument/2006/relationships/image" Target="media/image9.jpg"/><Relationship Id="rId16" Type="http://schemas.openxmlformats.org/officeDocument/2006/relationships/image" Target="media/image12.png"/><Relationship Id="rId5" Type="http://schemas.openxmlformats.org/officeDocument/2006/relationships/styles" Target="styles.xml"/><Relationship Id="rId19" Type="http://schemas.openxmlformats.org/officeDocument/2006/relationships/image" Target="media/image3.png"/><Relationship Id="rId6" Type="http://schemas.openxmlformats.org/officeDocument/2006/relationships/image" Target="media/image1.png"/><Relationship Id="rId18" Type="http://schemas.openxmlformats.org/officeDocument/2006/relationships/image" Target="media/image15.png"/><Relationship Id="rId7" Type="http://schemas.openxmlformats.org/officeDocument/2006/relationships/image" Target="media/image6.png"/><Relationship Id="rId8"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