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D198D" w14:textId="77B5F607" w:rsidR="00C5780C" w:rsidRPr="00C5780C" w:rsidRDefault="00C5780C" w:rsidP="001C7278">
      <w:pPr>
        <w:adjustRightInd w:val="0"/>
        <w:snapToGrid w:val="0"/>
        <w:spacing w:before="180" w:line="0" w:lineRule="atLeast"/>
        <w:rPr>
          <w:rFonts w:hint="eastAsia"/>
          <w:b/>
          <w:sz w:val="26"/>
        </w:rPr>
      </w:pPr>
    </w:p>
    <w:p w14:paraId="67614CF2" w14:textId="77777777" w:rsidR="003C1399" w:rsidRPr="00C358E9" w:rsidRDefault="003C1399" w:rsidP="003C1399">
      <w:pPr>
        <w:adjustRightInd w:val="0"/>
        <w:snapToGrid w:val="0"/>
        <w:spacing w:before="180" w:line="0" w:lineRule="atLeast"/>
        <w:jc w:val="center"/>
        <w:rPr>
          <w:b/>
          <w:sz w:val="26"/>
          <w:szCs w:val="26"/>
          <w:lang w:val="en-HK"/>
        </w:rPr>
      </w:pPr>
      <w:r w:rsidRPr="00C358E9">
        <w:rPr>
          <w:b/>
          <w:noProof/>
          <w:sz w:val="26"/>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1777998" w:rsidR="003C1399" w:rsidRPr="00C358E9" w:rsidRDefault="003C1399" w:rsidP="003C1399">
      <w:pPr>
        <w:adjustRightInd w:val="0"/>
        <w:snapToGrid w:val="0"/>
        <w:spacing w:before="180" w:line="0" w:lineRule="atLeast"/>
        <w:jc w:val="center"/>
        <w:rPr>
          <w:b/>
          <w:sz w:val="26"/>
          <w:szCs w:val="26"/>
          <w:lang w:val="en-HK"/>
        </w:rPr>
      </w:pPr>
    </w:p>
    <w:p w14:paraId="009B300F" w14:textId="73642E31" w:rsidR="003C1399" w:rsidRPr="00C358E9" w:rsidRDefault="003C1399" w:rsidP="003C1399">
      <w:pPr>
        <w:adjustRightInd w:val="0"/>
        <w:snapToGrid w:val="0"/>
        <w:spacing w:before="180" w:line="0" w:lineRule="atLeast"/>
        <w:jc w:val="center"/>
        <w:rPr>
          <w:b/>
          <w:sz w:val="26"/>
          <w:szCs w:val="26"/>
          <w:lang w:val="en-HK"/>
        </w:rPr>
      </w:pPr>
    </w:p>
    <w:p w14:paraId="18C8F440" w14:textId="6333F4C9" w:rsidR="00313CFB" w:rsidRPr="00C358E9" w:rsidRDefault="00E940F0" w:rsidP="003C1399">
      <w:pPr>
        <w:adjustRightInd w:val="0"/>
        <w:snapToGrid w:val="0"/>
        <w:spacing w:before="180" w:line="0" w:lineRule="atLeast"/>
        <w:jc w:val="center"/>
        <w:rPr>
          <w:b/>
          <w:sz w:val="36"/>
          <w:szCs w:val="36"/>
          <w:lang w:val="en-HK"/>
        </w:rPr>
      </w:pPr>
      <w:r w:rsidRPr="00C358E9">
        <w:rPr>
          <w:color w:val="000000"/>
          <w:sz w:val="36"/>
          <w:szCs w:val="36"/>
        </w:rPr>
        <w:t>UWTSD MBA HKBM7009</w:t>
      </w:r>
      <w:r w:rsidRPr="00C358E9">
        <w:rPr>
          <w:color w:val="000000"/>
          <w:sz w:val="36"/>
          <w:szCs w:val="36"/>
        </w:rPr>
        <w:br/>
        <w:t>(UWMBA-30013-2022-1-SS)</w:t>
      </w:r>
    </w:p>
    <w:p w14:paraId="1E48F155" w14:textId="25999459" w:rsidR="00313CFB" w:rsidRPr="00C358E9" w:rsidRDefault="00CD7E3B" w:rsidP="003C1399">
      <w:pPr>
        <w:adjustRightInd w:val="0"/>
        <w:snapToGrid w:val="0"/>
        <w:spacing w:before="180" w:line="0" w:lineRule="atLeast"/>
        <w:jc w:val="center"/>
        <w:rPr>
          <w:bCs/>
          <w:sz w:val="36"/>
          <w:szCs w:val="36"/>
          <w:lang w:val="en-HK"/>
        </w:rPr>
      </w:pPr>
      <w:r w:rsidRPr="00C358E9">
        <w:rPr>
          <w:bCs/>
          <w:sz w:val="36"/>
          <w:szCs w:val="36"/>
          <w:lang w:val="en-HK"/>
        </w:rPr>
        <w:t xml:space="preserve">HKBM7009 </w:t>
      </w:r>
      <w:r w:rsidR="00E940F0" w:rsidRPr="00C358E9">
        <w:rPr>
          <w:bCs/>
          <w:sz w:val="36"/>
          <w:szCs w:val="36"/>
          <w:lang w:val="en-HK"/>
        </w:rPr>
        <w:t xml:space="preserve">Global Business Challenges </w:t>
      </w:r>
    </w:p>
    <w:p w14:paraId="2C46C56B" w14:textId="1E35C84E" w:rsidR="00313CFB" w:rsidRPr="00C358E9" w:rsidRDefault="00313CFB" w:rsidP="003C1399">
      <w:pPr>
        <w:adjustRightInd w:val="0"/>
        <w:snapToGrid w:val="0"/>
        <w:spacing w:before="180" w:line="0" w:lineRule="atLeast"/>
        <w:jc w:val="center"/>
        <w:rPr>
          <w:b/>
          <w:sz w:val="32"/>
          <w:szCs w:val="32"/>
          <w:lang w:val="en-HK"/>
        </w:rPr>
      </w:pPr>
    </w:p>
    <w:p w14:paraId="10522B82" w14:textId="6A1EBF65" w:rsidR="00E940F0" w:rsidRPr="00C358E9" w:rsidRDefault="00E940F0" w:rsidP="003C1399">
      <w:pPr>
        <w:adjustRightInd w:val="0"/>
        <w:snapToGrid w:val="0"/>
        <w:spacing w:before="180" w:line="0" w:lineRule="atLeast"/>
        <w:jc w:val="center"/>
        <w:rPr>
          <w:b/>
          <w:sz w:val="32"/>
          <w:szCs w:val="32"/>
          <w:lang w:val="en-HK"/>
        </w:rPr>
      </w:pPr>
    </w:p>
    <w:p w14:paraId="38A16873" w14:textId="2330C6B1" w:rsidR="00684616" w:rsidRPr="00C358E9" w:rsidRDefault="00684616" w:rsidP="003C1399">
      <w:pPr>
        <w:adjustRightInd w:val="0"/>
        <w:snapToGrid w:val="0"/>
        <w:spacing w:before="180" w:line="0" w:lineRule="atLeast"/>
        <w:jc w:val="center"/>
        <w:rPr>
          <w:b/>
          <w:sz w:val="32"/>
          <w:szCs w:val="32"/>
          <w:lang w:val="en-HK"/>
        </w:rPr>
      </w:pPr>
    </w:p>
    <w:p w14:paraId="21432FA5" w14:textId="77777777" w:rsidR="00684616" w:rsidRPr="00C358E9" w:rsidRDefault="00684616" w:rsidP="003C1399">
      <w:pPr>
        <w:adjustRightInd w:val="0"/>
        <w:snapToGrid w:val="0"/>
        <w:spacing w:before="180" w:line="0" w:lineRule="atLeast"/>
        <w:jc w:val="center"/>
        <w:rPr>
          <w:b/>
          <w:sz w:val="32"/>
          <w:szCs w:val="32"/>
          <w:lang w:val="en-HK"/>
        </w:rPr>
      </w:pPr>
    </w:p>
    <w:p w14:paraId="5C8F51FD" w14:textId="395C1C43" w:rsidR="003C1399" w:rsidRPr="00C358E9" w:rsidRDefault="003C1399" w:rsidP="003C1399">
      <w:pPr>
        <w:adjustRightInd w:val="0"/>
        <w:snapToGrid w:val="0"/>
        <w:spacing w:before="180" w:line="0" w:lineRule="atLeast"/>
        <w:jc w:val="center"/>
        <w:rPr>
          <w:b/>
          <w:sz w:val="32"/>
          <w:szCs w:val="32"/>
          <w:lang w:val="en-HK"/>
        </w:rPr>
      </w:pPr>
      <w:r w:rsidRPr="00C358E9">
        <w:rPr>
          <w:b/>
          <w:sz w:val="32"/>
          <w:szCs w:val="32"/>
          <w:lang w:val="en-HK"/>
        </w:rPr>
        <w:t xml:space="preserve">An Analytical Study on </w:t>
      </w:r>
      <w:r w:rsidR="00313CFB" w:rsidRPr="00C358E9">
        <w:rPr>
          <w:b/>
          <w:sz w:val="32"/>
          <w:szCs w:val="32"/>
          <w:lang w:val="en-HK"/>
        </w:rPr>
        <w:t>E</w:t>
      </w:r>
      <w:r w:rsidRPr="00C358E9">
        <w:rPr>
          <w:b/>
          <w:sz w:val="32"/>
          <w:szCs w:val="32"/>
          <w:lang w:val="en-HK"/>
        </w:rPr>
        <w:t xml:space="preserve">xploring </w:t>
      </w:r>
      <w:r w:rsidR="00313CFB" w:rsidRPr="00C358E9">
        <w:rPr>
          <w:b/>
          <w:sz w:val="32"/>
          <w:szCs w:val="32"/>
          <w:lang w:val="en-HK"/>
        </w:rPr>
        <w:t>I</w:t>
      </w:r>
      <w:r w:rsidRPr="00C358E9">
        <w:rPr>
          <w:b/>
          <w:sz w:val="32"/>
          <w:szCs w:val="32"/>
          <w:lang w:val="en-HK"/>
        </w:rPr>
        <w:t xml:space="preserve">nvestment </w:t>
      </w:r>
      <w:r w:rsidR="00313CFB" w:rsidRPr="00C358E9">
        <w:rPr>
          <w:b/>
          <w:sz w:val="32"/>
          <w:szCs w:val="32"/>
          <w:lang w:val="en-HK"/>
        </w:rPr>
        <w:t>O</w:t>
      </w:r>
      <w:r w:rsidRPr="00C358E9">
        <w:rPr>
          <w:b/>
          <w:sz w:val="32"/>
          <w:szCs w:val="32"/>
          <w:lang w:val="en-HK"/>
        </w:rPr>
        <w:t xml:space="preserve">pportunities in </w:t>
      </w:r>
      <w:r w:rsidR="00313CFB" w:rsidRPr="00C358E9">
        <w:rPr>
          <w:b/>
          <w:sz w:val="32"/>
          <w:szCs w:val="32"/>
          <w:lang w:val="en-HK"/>
        </w:rPr>
        <w:t>a</w:t>
      </w:r>
      <w:r w:rsidRPr="00C358E9">
        <w:rPr>
          <w:b/>
          <w:sz w:val="32"/>
          <w:szCs w:val="32"/>
          <w:lang w:val="en-HK"/>
        </w:rPr>
        <w:t xml:space="preserve"> </w:t>
      </w:r>
      <w:r w:rsidR="00313CFB" w:rsidRPr="00C358E9">
        <w:rPr>
          <w:b/>
          <w:sz w:val="32"/>
          <w:szCs w:val="32"/>
          <w:lang w:val="en-HK"/>
        </w:rPr>
        <w:t>G</w:t>
      </w:r>
      <w:r w:rsidRPr="00C358E9">
        <w:rPr>
          <w:b/>
          <w:sz w:val="32"/>
          <w:szCs w:val="32"/>
          <w:lang w:val="en-HK"/>
        </w:rPr>
        <w:t xml:space="preserve">lobal </w:t>
      </w:r>
      <w:r w:rsidR="00313CFB" w:rsidRPr="00C358E9">
        <w:rPr>
          <w:b/>
          <w:sz w:val="32"/>
          <w:szCs w:val="32"/>
          <w:lang w:val="en-HK"/>
        </w:rPr>
        <w:t>F</w:t>
      </w:r>
      <w:r w:rsidRPr="00C358E9">
        <w:rPr>
          <w:b/>
          <w:sz w:val="32"/>
          <w:szCs w:val="32"/>
          <w:lang w:val="en-HK"/>
        </w:rPr>
        <w:t xml:space="preserve">inancial </w:t>
      </w:r>
      <w:r w:rsidR="00313CFB" w:rsidRPr="00C358E9">
        <w:rPr>
          <w:b/>
          <w:sz w:val="32"/>
          <w:szCs w:val="32"/>
          <w:lang w:val="en-HK"/>
        </w:rPr>
        <w:t>M</w:t>
      </w:r>
      <w:r w:rsidRPr="00C358E9">
        <w:rPr>
          <w:b/>
          <w:sz w:val="32"/>
          <w:szCs w:val="32"/>
          <w:lang w:val="en-HK"/>
        </w:rPr>
        <w:t xml:space="preserve">arket: </w:t>
      </w:r>
      <w:r w:rsidR="004464F4" w:rsidRPr="00C358E9">
        <w:rPr>
          <w:b/>
          <w:sz w:val="32"/>
          <w:szCs w:val="32"/>
          <w:lang w:val="en-HK"/>
        </w:rPr>
        <w:t>Australia</w:t>
      </w:r>
    </w:p>
    <w:p w14:paraId="6108190B" w14:textId="77777777" w:rsidR="003C1399" w:rsidRPr="00C358E9" w:rsidRDefault="003C1399" w:rsidP="003C1399">
      <w:pPr>
        <w:adjustRightInd w:val="0"/>
        <w:snapToGrid w:val="0"/>
        <w:spacing w:before="180" w:line="0" w:lineRule="atLeast"/>
        <w:jc w:val="center"/>
        <w:rPr>
          <w:b/>
          <w:sz w:val="26"/>
          <w:szCs w:val="26"/>
          <w:lang w:val="en-HK"/>
        </w:rPr>
      </w:pPr>
    </w:p>
    <w:p w14:paraId="741BC221" w14:textId="4CE14C2E" w:rsidR="003C1399" w:rsidRPr="00C358E9" w:rsidRDefault="003C1399" w:rsidP="003C1399">
      <w:pPr>
        <w:adjustRightInd w:val="0"/>
        <w:snapToGrid w:val="0"/>
        <w:spacing w:before="180" w:line="0" w:lineRule="atLeast"/>
        <w:jc w:val="center"/>
        <w:rPr>
          <w:b/>
          <w:sz w:val="32"/>
          <w:szCs w:val="32"/>
          <w:lang w:val="en-HK"/>
        </w:rPr>
      </w:pPr>
      <w:r w:rsidRPr="00C358E9">
        <w:rPr>
          <w:b/>
          <w:sz w:val="32"/>
          <w:szCs w:val="32"/>
          <w:lang w:val="en-HK"/>
        </w:rPr>
        <w:t xml:space="preserve"> </w:t>
      </w:r>
    </w:p>
    <w:p w14:paraId="67F3509E" w14:textId="77777777" w:rsidR="003C1399" w:rsidRPr="00C358E9" w:rsidRDefault="003C1399" w:rsidP="003C1399">
      <w:pPr>
        <w:adjustRightInd w:val="0"/>
        <w:snapToGrid w:val="0"/>
        <w:spacing w:before="180" w:line="0" w:lineRule="atLeast"/>
        <w:jc w:val="center"/>
        <w:rPr>
          <w:b/>
          <w:sz w:val="26"/>
          <w:lang w:val="en-HK"/>
        </w:rPr>
      </w:pPr>
    </w:p>
    <w:p w14:paraId="7C68A0AD" w14:textId="77777777" w:rsidR="003C1399" w:rsidRPr="00C358E9" w:rsidRDefault="003C1399" w:rsidP="003C1399">
      <w:pPr>
        <w:adjustRightInd w:val="0"/>
        <w:snapToGrid w:val="0"/>
        <w:spacing w:before="180" w:line="0" w:lineRule="atLeast"/>
        <w:jc w:val="center"/>
        <w:rPr>
          <w:b/>
          <w:sz w:val="26"/>
          <w:lang w:val="en-HK"/>
        </w:rPr>
      </w:pPr>
    </w:p>
    <w:p w14:paraId="0FD2F0AB" w14:textId="77777777" w:rsidR="003C1399" w:rsidRPr="00C358E9" w:rsidRDefault="003C1399" w:rsidP="003C1399">
      <w:pPr>
        <w:adjustRightInd w:val="0"/>
        <w:snapToGrid w:val="0"/>
        <w:spacing w:before="180" w:line="0" w:lineRule="atLeast"/>
        <w:jc w:val="both"/>
        <w:rPr>
          <w:b/>
          <w:sz w:val="26"/>
          <w:lang w:val="en-HK"/>
        </w:rPr>
      </w:pPr>
    </w:p>
    <w:p w14:paraId="5D9608A1" w14:textId="77777777" w:rsidR="003C1399" w:rsidRPr="00C358E9" w:rsidRDefault="003C1399" w:rsidP="003C1399">
      <w:pPr>
        <w:adjustRightInd w:val="0"/>
        <w:snapToGrid w:val="0"/>
        <w:spacing w:before="180" w:line="0" w:lineRule="atLeast"/>
        <w:jc w:val="both"/>
        <w:rPr>
          <w:b/>
          <w:sz w:val="26"/>
          <w:lang w:val="en-HK"/>
        </w:rPr>
      </w:pPr>
    </w:p>
    <w:p w14:paraId="5FD5EC24" w14:textId="3CE6A0B5" w:rsidR="003C1399" w:rsidRDefault="003C1399" w:rsidP="003C1399">
      <w:pPr>
        <w:adjustRightInd w:val="0"/>
        <w:snapToGrid w:val="0"/>
        <w:spacing w:before="180" w:line="0" w:lineRule="atLeast"/>
        <w:jc w:val="both"/>
        <w:rPr>
          <w:b/>
          <w:sz w:val="26"/>
          <w:lang w:val="en-HK"/>
        </w:rPr>
      </w:pPr>
    </w:p>
    <w:p w14:paraId="76B0225B" w14:textId="5E22FEC2" w:rsidR="003B343D" w:rsidRDefault="003B343D" w:rsidP="003C1399">
      <w:pPr>
        <w:adjustRightInd w:val="0"/>
        <w:snapToGrid w:val="0"/>
        <w:spacing w:before="180" w:line="0" w:lineRule="atLeast"/>
        <w:jc w:val="both"/>
        <w:rPr>
          <w:b/>
          <w:sz w:val="26"/>
          <w:lang w:val="en-HK"/>
        </w:rPr>
      </w:pPr>
    </w:p>
    <w:p w14:paraId="6775652E" w14:textId="77777777" w:rsidR="003B343D" w:rsidRPr="009B5084" w:rsidRDefault="003B343D" w:rsidP="003C1399">
      <w:pPr>
        <w:adjustRightInd w:val="0"/>
        <w:snapToGrid w:val="0"/>
        <w:spacing w:before="180" w:line="0" w:lineRule="atLeast"/>
        <w:jc w:val="both"/>
        <w:rPr>
          <w:b/>
          <w:sz w:val="26"/>
          <w:lang w:val="en-HK"/>
        </w:rPr>
      </w:pPr>
    </w:p>
    <w:p w14:paraId="1A89CACF" w14:textId="41370FF1" w:rsidR="00313CFB" w:rsidRPr="00C358E9" w:rsidRDefault="003C1399" w:rsidP="003C1399">
      <w:pPr>
        <w:adjustRightInd w:val="0"/>
        <w:snapToGrid w:val="0"/>
        <w:spacing w:before="180" w:line="0" w:lineRule="atLeast"/>
        <w:jc w:val="center"/>
        <w:rPr>
          <w:sz w:val="28"/>
          <w:szCs w:val="28"/>
          <w:lang w:val="en-HK"/>
        </w:rPr>
      </w:pPr>
      <w:r w:rsidRPr="00C358E9">
        <w:rPr>
          <w:sz w:val="28"/>
          <w:szCs w:val="28"/>
          <w:lang w:val="en-HK"/>
        </w:rPr>
        <w:t>A</w:t>
      </w:r>
      <w:r w:rsidR="00313CFB" w:rsidRPr="00C358E9">
        <w:rPr>
          <w:sz w:val="28"/>
          <w:szCs w:val="28"/>
          <w:lang w:val="en-HK"/>
        </w:rPr>
        <w:t>n</w:t>
      </w:r>
      <w:r w:rsidRPr="00C358E9">
        <w:rPr>
          <w:sz w:val="28"/>
          <w:szCs w:val="28"/>
          <w:lang w:val="en-HK"/>
        </w:rPr>
        <w:t xml:space="preserve"> </w:t>
      </w:r>
      <w:r w:rsidR="00313CFB" w:rsidRPr="00C358E9">
        <w:rPr>
          <w:sz w:val="28"/>
          <w:szCs w:val="28"/>
          <w:lang w:val="en-HK"/>
        </w:rPr>
        <w:t xml:space="preserve">Analytical Report </w:t>
      </w:r>
      <w:r w:rsidRPr="00C358E9">
        <w:rPr>
          <w:sz w:val="28"/>
          <w:szCs w:val="28"/>
          <w:lang w:val="en-HK"/>
        </w:rPr>
        <w:t xml:space="preserve">Submitted in </w:t>
      </w:r>
      <w:r w:rsidR="00313CFB" w:rsidRPr="00C358E9">
        <w:rPr>
          <w:sz w:val="28"/>
          <w:szCs w:val="28"/>
          <w:lang w:val="en-HK"/>
        </w:rPr>
        <w:t xml:space="preserve">Contribution to 100% </w:t>
      </w:r>
      <w:r w:rsidR="00E940F0" w:rsidRPr="00C358E9">
        <w:rPr>
          <w:sz w:val="28"/>
          <w:szCs w:val="28"/>
          <w:lang w:val="en-HK"/>
        </w:rPr>
        <w:t xml:space="preserve">Module </w:t>
      </w:r>
      <w:r w:rsidR="00313CFB" w:rsidRPr="00C358E9">
        <w:rPr>
          <w:sz w:val="28"/>
          <w:szCs w:val="28"/>
          <w:lang w:val="en-HK"/>
        </w:rPr>
        <w:t>Assessment</w:t>
      </w:r>
    </w:p>
    <w:p w14:paraId="2CD1113F" w14:textId="786B66B7" w:rsidR="003C1399" w:rsidRPr="00C358E9" w:rsidRDefault="003C1399" w:rsidP="003C1399">
      <w:pPr>
        <w:adjustRightInd w:val="0"/>
        <w:snapToGrid w:val="0"/>
        <w:spacing w:before="180" w:line="0" w:lineRule="atLeast"/>
        <w:jc w:val="center"/>
        <w:rPr>
          <w:lang w:val="en-HK"/>
        </w:rPr>
      </w:pPr>
    </w:p>
    <w:p w14:paraId="2FEBE151" w14:textId="6C110FF3" w:rsidR="003C1399" w:rsidRDefault="003C1399" w:rsidP="003C1399">
      <w:pPr>
        <w:adjustRightInd w:val="0"/>
        <w:snapToGrid w:val="0"/>
        <w:spacing w:before="180" w:line="0" w:lineRule="atLeast"/>
        <w:jc w:val="both"/>
        <w:rPr>
          <w:b/>
          <w:sz w:val="26"/>
          <w:lang w:val="en-HK"/>
        </w:rPr>
      </w:pPr>
      <w:r w:rsidRPr="00C358E9">
        <w:rPr>
          <w:b/>
          <w:sz w:val="26"/>
          <w:lang w:val="en-HK"/>
        </w:rPr>
        <w:t xml:space="preserve"> </w:t>
      </w:r>
    </w:p>
    <w:p w14:paraId="659DDA08" w14:textId="73C24F60" w:rsidR="00DB498D" w:rsidRDefault="00DB498D" w:rsidP="003C1399">
      <w:pPr>
        <w:adjustRightInd w:val="0"/>
        <w:snapToGrid w:val="0"/>
        <w:spacing w:before="180" w:line="0" w:lineRule="atLeast"/>
        <w:jc w:val="both"/>
        <w:rPr>
          <w:b/>
          <w:sz w:val="26"/>
          <w:lang w:val="en-HK"/>
        </w:rPr>
      </w:pPr>
    </w:p>
    <w:p w14:paraId="006C1A5A" w14:textId="4E3BA791" w:rsidR="00DB498D" w:rsidRDefault="00DB498D" w:rsidP="003C1399">
      <w:pPr>
        <w:adjustRightInd w:val="0"/>
        <w:snapToGrid w:val="0"/>
        <w:spacing w:before="180" w:line="0" w:lineRule="atLeast"/>
        <w:jc w:val="both"/>
        <w:rPr>
          <w:b/>
          <w:sz w:val="26"/>
          <w:lang w:val="en-HK"/>
        </w:rPr>
      </w:pPr>
    </w:p>
    <w:p w14:paraId="61983A58" w14:textId="77777777" w:rsidR="00DB498D" w:rsidRPr="00C358E9" w:rsidRDefault="00DB498D" w:rsidP="003C1399">
      <w:pPr>
        <w:adjustRightInd w:val="0"/>
        <w:snapToGrid w:val="0"/>
        <w:spacing w:before="180" w:line="0" w:lineRule="atLeast"/>
        <w:jc w:val="both"/>
        <w:rPr>
          <w:rFonts w:hint="eastAsia"/>
          <w:b/>
          <w:sz w:val="26"/>
          <w:lang w:val="en-HK"/>
        </w:rPr>
      </w:pPr>
    </w:p>
    <w:tbl>
      <w:tblPr>
        <w:tblW w:w="8610" w:type="dxa"/>
        <w:tblLayout w:type="fixed"/>
        <w:tblLook w:val="04A0" w:firstRow="1" w:lastRow="0" w:firstColumn="1" w:lastColumn="0" w:noHBand="0" w:noVBand="1"/>
      </w:tblPr>
      <w:tblGrid>
        <w:gridCol w:w="2942"/>
        <w:gridCol w:w="284"/>
        <w:gridCol w:w="5384"/>
      </w:tblGrid>
      <w:tr w:rsidR="003C1399" w:rsidRPr="00C358E9" w14:paraId="1DAA85DD" w14:textId="77777777" w:rsidTr="00E940F0">
        <w:tc>
          <w:tcPr>
            <w:tcW w:w="2942" w:type="dxa"/>
            <w:hideMark/>
          </w:tcPr>
          <w:p w14:paraId="3C195889" w14:textId="77777777" w:rsidR="003C1399" w:rsidRPr="00C358E9" w:rsidRDefault="003C1399" w:rsidP="003C1399">
            <w:pPr>
              <w:tabs>
                <w:tab w:val="left" w:pos="4606"/>
              </w:tabs>
              <w:adjustRightInd w:val="0"/>
              <w:snapToGrid w:val="0"/>
              <w:spacing w:before="180"/>
              <w:jc w:val="both"/>
              <w:rPr>
                <w:b/>
                <w:sz w:val="26"/>
                <w:lang w:val="en-HK"/>
              </w:rPr>
            </w:pPr>
            <w:r w:rsidRPr="00C358E9">
              <w:rPr>
                <w:b/>
                <w:sz w:val="28"/>
                <w:szCs w:val="28"/>
                <w:lang w:val="en-HK"/>
              </w:rPr>
              <w:t>Student Name</w:t>
            </w:r>
          </w:p>
        </w:tc>
        <w:tc>
          <w:tcPr>
            <w:tcW w:w="284" w:type="dxa"/>
            <w:hideMark/>
          </w:tcPr>
          <w:p w14:paraId="33665D5B" w14:textId="77777777" w:rsidR="003C1399" w:rsidRPr="00C358E9" w:rsidRDefault="003C1399" w:rsidP="003C1399">
            <w:pPr>
              <w:tabs>
                <w:tab w:val="left" w:pos="4606"/>
              </w:tabs>
              <w:adjustRightInd w:val="0"/>
              <w:snapToGrid w:val="0"/>
              <w:spacing w:before="180"/>
              <w:jc w:val="both"/>
              <w:rPr>
                <w:b/>
                <w:sz w:val="26"/>
                <w:lang w:val="en-HK"/>
              </w:rPr>
            </w:pPr>
            <w:r w:rsidRPr="00C358E9">
              <w:rPr>
                <w:rFonts w:hint="eastAsia"/>
                <w:b/>
                <w:sz w:val="28"/>
                <w:szCs w:val="28"/>
                <w:lang w:val="en-HK"/>
              </w:rPr>
              <w:t>：</w:t>
            </w:r>
          </w:p>
        </w:tc>
        <w:tc>
          <w:tcPr>
            <w:tcW w:w="5384" w:type="dxa"/>
          </w:tcPr>
          <w:p w14:paraId="327DC2E4" w14:textId="758C1655" w:rsidR="003C1399" w:rsidRPr="00C358E9" w:rsidRDefault="0019609F" w:rsidP="003C1399">
            <w:pPr>
              <w:tabs>
                <w:tab w:val="left" w:pos="4606"/>
              </w:tabs>
              <w:adjustRightInd w:val="0"/>
              <w:snapToGrid w:val="0"/>
              <w:spacing w:before="180"/>
              <w:jc w:val="both"/>
              <w:rPr>
                <w:sz w:val="26"/>
                <w:lang w:val="en-HK"/>
              </w:rPr>
            </w:pPr>
            <w:r w:rsidRPr="00C358E9">
              <w:rPr>
                <w:sz w:val="26"/>
                <w:lang w:val="en-HK"/>
              </w:rPr>
              <w:t>AU YEUNG YAT HEI</w:t>
            </w:r>
          </w:p>
        </w:tc>
      </w:tr>
      <w:tr w:rsidR="003C1399" w:rsidRPr="00C358E9" w14:paraId="32CBE455" w14:textId="77777777" w:rsidTr="00E940F0">
        <w:tc>
          <w:tcPr>
            <w:tcW w:w="2942" w:type="dxa"/>
            <w:hideMark/>
          </w:tcPr>
          <w:p w14:paraId="31DE2B61" w14:textId="77777777" w:rsidR="003C1399" w:rsidRPr="00C358E9" w:rsidRDefault="003C1399" w:rsidP="003C1399">
            <w:pPr>
              <w:tabs>
                <w:tab w:val="left" w:pos="4606"/>
              </w:tabs>
              <w:adjustRightInd w:val="0"/>
              <w:snapToGrid w:val="0"/>
              <w:spacing w:before="180"/>
              <w:jc w:val="both"/>
              <w:rPr>
                <w:b/>
                <w:sz w:val="26"/>
                <w:lang w:val="en-HK"/>
              </w:rPr>
            </w:pPr>
            <w:r w:rsidRPr="00C358E9">
              <w:rPr>
                <w:b/>
                <w:sz w:val="28"/>
                <w:szCs w:val="28"/>
                <w:lang w:val="en-HK"/>
              </w:rPr>
              <w:t>Student ID Number</w:t>
            </w:r>
          </w:p>
        </w:tc>
        <w:tc>
          <w:tcPr>
            <w:tcW w:w="284" w:type="dxa"/>
            <w:hideMark/>
          </w:tcPr>
          <w:p w14:paraId="3332F5A4" w14:textId="77777777" w:rsidR="003C1399" w:rsidRPr="00C358E9" w:rsidRDefault="003C1399" w:rsidP="003C1399">
            <w:pPr>
              <w:tabs>
                <w:tab w:val="left" w:pos="4606"/>
              </w:tabs>
              <w:adjustRightInd w:val="0"/>
              <w:snapToGrid w:val="0"/>
              <w:spacing w:before="180"/>
              <w:jc w:val="both"/>
              <w:rPr>
                <w:b/>
                <w:sz w:val="26"/>
                <w:lang w:val="en-HK"/>
              </w:rPr>
            </w:pPr>
            <w:r w:rsidRPr="00C358E9">
              <w:rPr>
                <w:rFonts w:hint="eastAsia"/>
                <w:b/>
                <w:sz w:val="28"/>
                <w:szCs w:val="28"/>
                <w:lang w:val="en-HK"/>
              </w:rPr>
              <w:t>：</w:t>
            </w:r>
          </w:p>
        </w:tc>
        <w:tc>
          <w:tcPr>
            <w:tcW w:w="5384" w:type="dxa"/>
          </w:tcPr>
          <w:p w14:paraId="20AD48BB" w14:textId="385DC93A" w:rsidR="003C1399" w:rsidRPr="00C358E9" w:rsidRDefault="00680643" w:rsidP="00E940F0">
            <w:pPr>
              <w:tabs>
                <w:tab w:val="left" w:pos="4606"/>
              </w:tabs>
              <w:adjustRightInd w:val="0"/>
              <w:snapToGrid w:val="0"/>
              <w:spacing w:before="180"/>
              <w:jc w:val="both"/>
              <w:rPr>
                <w:sz w:val="26"/>
                <w:lang w:val="en-HK"/>
              </w:rPr>
            </w:pPr>
            <w:r w:rsidRPr="00C358E9">
              <w:rPr>
                <w:rFonts w:hint="eastAsia"/>
                <w:sz w:val="26"/>
                <w:lang w:val="en-HK"/>
              </w:rPr>
              <w:t>2</w:t>
            </w:r>
            <w:r w:rsidRPr="00C358E9">
              <w:rPr>
                <w:sz w:val="26"/>
                <w:lang w:val="en-HK"/>
              </w:rPr>
              <w:t>227239</w:t>
            </w:r>
          </w:p>
        </w:tc>
      </w:tr>
      <w:tr w:rsidR="003C1399" w:rsidRPr="00C358E9" w14:paraId="0396F091" w14:textId="77777777" w:rsidTr="00E940F0">
        <w:tc>
          <w:tcPr>
            <w:tcW w:w="2942" w:type="dxa"/>
          </w:tcPr>
          <w:p w14:paraId="530365C6" w14:textId="77777777" w:rsidR="003C1399" w:rsidRPr="00C358E9" w:rsidRDefault="003C1399" w:rsidP="003C1399">
            <w:pPr>
              <w:tabs>
                <w:tab w:val="left" w:pos="4606"/>
              </w:tabs>
              <w:adjustRightInd w:val="0"/>
              <w:snapToGrid w:val="0"/>
              <w:spacing w:before="180"/>
              <w:jc w:val="both"/>
              <w:rPr>
                <w:b/>
                <w:sz w:val="28"/>
                <w:szCs w:val="28"/>
                <w:lang w:val="en-HK"/>
              </w:rPr>
            </w:pPr>
            <w:r w:rsidRPr="00C358E9">
              <w:rPr>
                <w:b/>
                <w:sz w:val="28"/>
                <w:szCs w:val="28"/>
                <w:lang w:val="en-HK"/>
              </w:rPr>
              <w:t>Date of Submission</w:t>
            </w:r>
          </w:p>
          <w:p w14:paraId="44642F0D" w14:textId="77777777" w:rsidR="003C1399" w:rsidRPr="00C358E9" w:rsidRDefault="003C1399" w:rsidP="003C1399">
            <w:pPr>
              <w:tabs>
                <w:tab w:val="left" w:pos="4606"/>
              </w:tabs>
              <w:adjustRightInd w:val="0"/>
              <w:snapToGrid w:val="0"/>
              <w:spacing w:before="180"/>
              <w:jc w:val="both"/>
              <w:rPr>
                <w:b/>
                <w:sz w:val="16"/>
                <w:szCs w:val="16"/>
                <w:lang w:val="en-HK"/>
              </w:rPr>
            </w:pPr>
          </w:p>
        </w:tc>
        <w:tc>
          <w:tcPr>
            <w:tcW w:w="284" w:type="dxa"/>
            <w:hideMark/>
          </w:tcPr>
          <w:p w14:paraId="526DE28F" w14:textId="77777777" w:rsidR="003C1399" w:rsidRPr="00C358E9" w:rsidRDefault="003C1399" w:rsidP="003C1399">
            <w:pPr>
              <w:tabs>
                <w:tab w:val="left" w:pos="4606"/>
              </w:tabs>
              <w:adjustRightInd w:val="0"/>
              <w:snapToGrid w:val="0"/>
              <w:spacing w:before="180"/>
              <w:jc w:val="both"/>
              <w:rPr>
                <w:b/>
                <w:sz w:val="26"/>
                <w:lang w:val="en-HK"/>
              </w:rPr>
            </w:pPr>
            <w:r w:rsidRPr="00C358E9">
              <w:rPr>
                <w:rFonts w:hint="eastAsia"/>
                <w:b/>
                <w:sz w:val="28"/>
                <w:szCs w:val="28"/>
                <w:lang w:val="en-HK"/>
              </w:rPr>
              <w:t>：</w:t>
            </w:r>
          </w:p>
        </w:tc>
        <w:tc>
          <w:tcPr>
            <w:tcW w:w="5384" w:type="dxa"/>
            <w:hideMark/>
          </w:tcPr>
          <w:p w14:paraId="5C9963CF" w14:textId="38151D46" w:rsidR="003C1399" w:rsidRPr="00C358E9" w:rsidRDefault="00E940F0" w:rsidP="003C1399">
            <w:pPr>
              <w:tabs>
                <w:tab w:val="left" w:pos="4606"/>
              </w:tabs>
              <w:adjustRightInd w:val="0"/>
              <w:snapToGrid w:val="0"/>
              <w:spacing w:before="180"/>
              <w:jc w:val="both"/>
              <w:rPr>
                <w:sz w:val="26"/>
                <w:lang w:val="en-HK"/>
              </w:rPr>
            </w:pPr>
            <w:r w:rsidRPr="00C358E9">
              <w:rPr>
                <w:sz w:val="26"/>
                <w:lang w:val="en-HK"/>
              </w:rPr>
              <w:t>2</w:t>
            </w:r>
            <w:r w:rsidR="00544B7F">
              <w:rPr>
                <w:sz w:val="26"/>
                <w:lang w:val="en-HK"/>
              </w:rPr>
              <w:t xml:space="preserve">6 </w:t>
            </w:r>
            <w:r w:rsidRPr="00C358E9">
              <w:rPr>
                <w:sz w:val="26"/>
                <w:lang w:val="en-HK"/>
              </w:rPr>
              <w:t>February 2023</w:t>
            </w:r>
          </w:p>
        </w:tc>
      </w:tr>
      <w:tr w:rsidR="00E940F0" w:rsidRPr="00C358E9" w14:paraId="3D778F36" w14:textId="77777777" w:rsidTr="00E940F0">
        <w:tc>
          <w:tcPr>
            <w:tcW w:w="2942" w:type="dxa"/>
          </w:tcPr>
          <w:p w14:paraId="3C5CF1D2" w14:textId="0079BCEE" w:rsidR="00E940F0" w:rsidRPr="00C358E9" w:rsidRDefault="00E940F0" w:rsidP="00E940F0">
            <w:pPr>
              <w:tabs>
                <w:tab w:val="left" w:pos="4606"/>
              </w:tabs>
              <w:adjustRightInd w:val="0"/>
              <w:snapToGrid w:val="0"/>
              <w:spacing w:before="180"/>
              <w:jc w:val="both"/>
              <w:rPr>
                <w:b/>
                <w:sz w:val="28"/>
                <w:szCs w:val="28"/>
                <w:lang w:val="en-HK"/>
              </w:rPr>
            </w:pPr>
            <w:r w:rsidRPr="00C358E9">
              <w:rPr>
                <w:rFonts w:hint="eastAsia"/>
                <w:b/>
                <w:sz w:val="28"/>
                <w:szCs w:val="28"/>
                <w:lang w:val="en-HK"/>
              </w:rPr>
              <w:t>L</w:t>
            </w:r>
            <w:r w:rsidRPr="00C358E9">
              <w:rPr>
                <w:b/>
                <w:sz w:val="28"/>
                <w:szCs w:val="28"/>
                <w:lang w:val="en-HK"/>
              </w:rPr>
              <w:t>ecturer</w:t>
            </w:r>
          </w:p>
        </w:tc>
        <w:tc>
          <w:tcPr>
            <w:tcW w:w="284" w:type="dxa"/>
          </w:tcPr>
          <w:p w14:paraId="54B5CBA5" w14:textId="2B4F1065" w:rsidR="00E940F0" w:rsidRPr="00C358E9" w:rsidRDefault="00E940F0" w:rsidP="00E940F0">
            <w:pPr>
              <w:tabs>
                <w:tab w:val="left" w:pos="4606"/>
              </w:tabs>
              <w:adjustRightInd w:val="0"/>
              <w:snapToGrid w:val="0"/>
              <w:spacing w:before="180"/>
              <w:jc w:val="both"/>
              <w:rPr>
                <w:b/>
                <w:sz w:val="28"/>
                <w:szCs w:val="28"/>
                <w:lang w:val="en-HK"/>
              </w:rPr>
            </w:pPr>
            <w:r w:rsidRPr="00C358E9">
              <w:rPr>
                <w:rFonts w:hint="eastAsia"/>
                <w:b/>
                <w:sz w:val="28"/>
                <w:szCs w:val="28"/>
                <w:lang w:val="en-HK"/>
              </w:rPr>
              <w:t>：</w:t>
            </w:r>
          </w:p>
        </w:tc>
        <w:tc>
          <w:tcPr>
            <w:tcW w:w="5384" w:type="dxa"/>
          </w:tcPr>
          <w:p w14:paraId="5D526849" w14:textId="7A4B362D" w:rsidR="00E940F0" w:rsidRPr="00C358E9" w:rsidRDefault="00E940F0" w:rsidP="00E940F0">
            <w:pPr>
              <w:tabs>
                <w:tab w:val="left" w:pos="4606"/>
              </w:tabs>
              <w:adjustRightInd w:val="0"/>
              <w:snapToGrid w:val="0"/>
              <w:spacing w:before="180"/>
              <w:jc w:val="both"/>
              <w:rPr>
                <w:sz w:val="26"/>
                <w:lang w:val="en-HK"/>
              </w:rPr>
            </w:pPr>
            <w:proofErr w:type="spellStart"/>
            <w:r w:rsidRPr="00C358E9">
              <w:rPr>
                <w:sz w:val="26"/>
                <w:lang w:val="en-HK"/>
              </w:rPr>
              <w:t>Dr.</w:t>
            </w:r>
            <w:proofErr w:type="spellEnd"/>
            <w:r w:rsidRPr="00C358E9">
              <w:rPr>
                <w:sz w:val="26"/>
                <w:lang w:val="en-HK"/>
              </w:rPr>
              <w:t xml:space="preserve"> Che Cheong Poon</w:t>
            </w:r>
          </w:p>
        </w:tc>
      </w:tr>
    </w:tbl>
    <w:p w14:paraId="5097A186" w14:textId="77777777" w:rsidR="003C1399" w:rsidRPr="00C358E9" w:rsidRDefault="003C1399" w:rsidP="003C1399">
      <w:pPr>
        <w:autoSpaceDE w:val="0"/>
        <w:autoSpaceDN w:val="0"/>
        <w:adjustRightInd w:val="0"/>
        <w:snapToGrid w:val="0"/>
        <w:spacing w:before="180" w:line="360" w:lineRule="auto"/>
        <w:rPr>
          <w:rFonts w:ascii="TimesNewRoman,Bold" w:hAnsi="TimesNewRoman,Bold" w:cs="TimesNewRoman,Bold"/>
          <w:b/>
          <w:bCs/>
          <w:sz w:val="40"/>
          <w:szCs w:val="40"/>
          <w:lang w:val="en-HK"/>
        </w:rPr>
      </w:pPr>
    </w:p>
    <w:p w14:paraId="1C9A7BEE" w14:textId="6D911B18" w:rsidR="003C1399" w:rsidRPr="00C358E9" w:rsidRDefault="003C1399" w:rsidP="00490413">
      <w:pPr>
        <w:adjustRightInd w:val="0"/>
        <w:snapToGrid w:val="0"/>
        <w:spacing w:before="180"/>
        <w:jc w:val="center"/>
        <w:rPr>
          <w:sz w:val="20"/>
          <w:szCs w:val="20"/>
          <w:lang w:val="en-GB"/>
        </w:rPr>
      </w:pPr>
    </w:p>
    <w:p w14:paraId="72C96C6A" w14:textId="345112B9" w:rsidR="003C1399" w:rsidRPr="00C358E9" w:rsidRDefault="003C1399" w:rsidP="00490413">
      <w:pPr>
        <w:adjustRightInd w:val="0"/>
        <w:snapToGrid w:val="0"/>
        <w:spacing w:before="180"/>
        <w:jc w:val="center"/>
        <w:rPr>
          <w:sz w:val="20"/>
          <w:szCs w:val="20"/>
          <w:lang w:val="en-GB"/>
        </w:rPr>
      </w:pPr>
    </w:p>
    <w:p w14:paraId="2548128F" w14:textId="58FCB923" w:rsidR="003C1399" w:rsidRPr="00C358E9" w:rsidRDefault="003C1399" w:rsidP="00490413">
      <w:pPr>
        <w:adjustRightInd w:val="0"/>
        <w:snapToGrid w:val="0"/>
        <w:spacing w:before="180"/>
        <w:jc w:val="center"/>
        <w:rPr>
          <w:sz w:val="20"/>
          <w:szCs w:val="20"/>
          <w:lang w:val="en-GB"/>
        </w:rPr>
      </w:pPr>
    </w:p>
    <w:p w14:paraId="0FBA2A24" w14:textId="77777777" w:rsidR="004238D8" w:rsidRPr="00C358E9" w:rsidRDefault="004238D8">
      <w:pPr>
        <w:spacing w:before="180"/>
        <w:jc w:val="both"/>
        <w:rPr>
          <w:rFonts w:eastAsia="標楷體"/>
          <w:b/>
          <w:smallCaps/>
          <w:sz w:val="22"/>
          <w:u w:val="single"/>
          <w:lang w:val="en-GB"/>
        </w:rPr>
        <w:sectPr w:rsidR="004238D8" w:rsidRPr="00C358E9" w:rsidSect="00F74BBF">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73EF718E" w14:textId="77777777" w:rsidR="004238D8" w:rsidRPr="00C358E9" w:rsidRDefault="004238D8">
      <w:pPr>
        <w:spacing w:before="180"/>
        <w:jc w:val="both"/>
        <w:rPr>
          <w:b/>
          <w:sz w:val="20"/>
          <w:szCs w:val="20"/>
          <w:u w:val="single"/>
        </w:rPr>
      </w:pPr>
    </w:p>
    <w:p w14:paraId="43E4438E" w14:textId="6D995A0D" w:rsidR="00B638D9" w:rsidRPr="00C358E9" w:rsidRDefault="00311ADA" w:rsidP="00311ADA">
      <w:pPr>
        <w:adjustRightInd w:val="0"/>
        <w:spacing w:before="180"/>
        <w:jc w:val="center"/>
        <w:rPr>
          <w:b/>
          <w:sz w:val="26"/>
          <w:szCs w:val="26"/>
          <w:u w:val="single"/>
        </w:rPr>
      </w:pPr>
      <w:r w:rsidRPr="00C358E9">
        <w:rPr>
          <w:color w:val="000000"/>
          <w:sz w:val="26"/>
          <w:szCs w:val="26"/>
        </w:rPr>
        <w:t>UWTSD MBA (</w:t>
      </w:r>
      <w:r w:rsidR="002904D7" w:rsidRPr="00C358E9">
        <w:rPr>
          <w:color w:val="000000"/>
          <w:sz w:val="26"/>
          <w:szCs w:val="26"/>
        </w:rPr>
        <w:t>May/</w:t>
      </w:r>
      <w:r w:rsidRPr="00C358E9">
        <w:rPr>
          <w:color w:val="000000"/>
          <w:sz w:val="26"/>
          <w:szCs w:val="26"/>
        </w:rPr>
        <w:t xml:space="preserve">Nov </w:t>
      </w:r>
      <w:r w:rsidR="002904D7" w:rsidRPr="00C358E9">
        <w:rPr>
          <w:color w:val="000000"/>
          <w:sz w:val="26"/>
          <w:szCs w:val="26"/>
        </w:rPr>
        <w:t>20</w:t>
      </w:r>
      <w:r w:rsidR="00DF39E6" w:rsidRPr="00C358E9">
        <w:rPr>
          <w:color w:val="000000"/>
          <w:sz w:val="26"/>
          <w:szCs w:val="26"/>
        </w:rPr>
        <w:t>2</w:t>
      </w:r>
      <w:r w:rsidR="00CD7E3B" w:rsidRPr="00C358E9">
        <w:rPr>
          <w:color w:val="000000"/>
          <w:sz w:val="26"/>
          <w:szCs w:val="26"/>
        </w:rPr>
        <w:t>2</w:t>
      </w:r>
      <w:r w:rsidRPr="00C358E9">
        <w:rPr>
          <w:color w:val="000000"/>
          <w:sz w:val="26"/>
          <w:szCs w:val="26"/>
        </w:rPr>
        <w:t xml:space="preserve"> intake</w:t>
      </w:r>
      <w:r w:rsidR="002904D7" w:rsidRPr="00C358E9">
        <w:rPr>
          <w:color w:val="000000"/>
          <w:sz w:val="26"/>
          <w:szCs w:val="26"/>
        </w:rPr>
        <w:t>s</w:t>
      </w:r>
      <w:r w:rsidRPr="00C358E9">
        <w:rPr>
          <w:color w:val="000000"/>
          <w:sz w:val="26"/>
          <w:szCs w:val="26"/>
        </w:rPr>
        <w:t xml:space="preserve">) </w:t>
      </w:r>
      <w:r w:rsidR="002904D7" w:rsidRPr="00C358E9">
        <w:rPr>
          <w:color w:val="000000"/>
          <w:sz w:val="26"/>
          <w:szCs w:val="26"/>
        </w:rPr>
        <w:br/>
        <w:t>BMMB700</w:t>
      </w:r>
      <w:r w:rsidR="00DF39E6" w:rsidRPr="00C358E9">
        <w:rPr>
          <w:color w:val="000000"/>
          <w:sz w:val="26"/>
          <w:szCs w:val="26"/>
        </w:rPr>
        <w:t>9</w:t>
      </w:r>
      <w:r w:rsidR="002904D7" w:rsidRPr="00C358E9">
        <w:rPr>
          <w:color w:val="000000"/>
          <w:sz w:val="26"/>
          <w:szCs w:val="26"/>
        </w:rPr>
        <w:t xml:space="preserve"> Global Business Challenges</w:t>
      </w:r>
    </w:p>
    <w:p w14:paraId="270078E0" w14:textId="77777777" w:rsidR="00B638D9" w:rsidRPr="00C358E9" w:rsidRDefault="00B638D9" w:rsidP="00311ADA">
      <w:pPr>
        <w:adjustRightInd w:val="0"/>
        <w:spacing w:before="180"/>
        <w:jc w:val="center"/>
        <w:rPr>
          <w:b/>
          <w:sz w:val="26"/>
          <w:szCs w:val="26"/>
          <w:u w:val="single"/>
        </w:rPr>
      </w:pPr>
    </w:p>
    <w:p w14:paraId="5829FE7E" w14:textId="77777777" w:rsidR="00311ADA" w:rsidRPr="00C358E9" w:rsidRDefault="00311ADA" w:rsidP="00311ADA">
      <w:pPr>
        <w:spacing w:before="180"/>
        <w:rPr>
          <w:sz w:val="26"/>
          <w:szCs w:val="26"/>
        </w:rPr>
      </w:pPr>
      <w:r w:rsidRPr="00C358E9">
        <w:rPr>
          <w:sz w:val="26"/>
          <w:szCs w:val="26"/>
        </w:rPr>
        <w:t>Assignment Title:</w:t>
      </w:r>
    </w:p>
    <w:p w14:paraId="71A4DE2F" w14:textId="053592AC" w:rsidR="00BB4C1B" w:rsidRPr="00C358E9" w:rsidRDefault="00BB4C1B">
      <w:pPr>
        <w:spacing w:before="180"/>
        <w:jc w:val="both"/>
        <w:rPr>
          <w:szCs w:val="21"/>
        </w:rPr>
      </w:pPr>
      <w:r w:rsidRPr="00C358E9">
        <w:rPr>
          <w:szCs w:val="21"/>
        </w:rPr>
        <w:t xml:space="preserve">An Analytical Study on Exploring Investment Opportunities in a Global Financial Market: </w:t>
      </w:r>
      <w:r w:rsidR="009A478B" w:rsidRPr="00C358E9">
        <w:rPr>
          <w:szCs w:val="21"/>
        </w:rPr>
        <w:t>Australia</w:t>
      </w:r>
    </w:p>
    <w:p w14:paraId="7C296744" w14:textId="77777777" w:rsidR="00BB4C1B" w:rsidRPr="00C358E9" w:rsidRDefault="00BB4C1B">
      <w:pPr>
        <w:spacing w:before="180"/>
        <w:jc w:val="both"/>
        <w:rPr>
          <w:szCs w:val="21"/>
        </w:rPr>
      </w:pPr>
    </w:p>
    <w:p w14:paraId="0AB70F5B" w14:textId="3BC5E5C8" w:rsidR="004238D8" w:rsidRPr="00C358E9" w:rsidRDefault="00B25B3D">
      <w:pPr>
        <w:spacing w:before="180"/>
        <w:jc w:val="both"/>
        <w:rPr>
          <w:sz w:val="32"/>
          <w:szCs w:val="32"/>
        </w:rPr>
      </w:pPr>
      <w:r w:rsidRPr="00C358E9">
        <w:rPr>
          <w:sz w:val="32"/>
          <w:szCs w:val="32"/>
        </w:rPr>
        <w:t xml:space="preserve">“I, </w:t>
      </w:r>
      <w:r w:rsidR="00E73E2F" w:rsidRPr="00C358E9">
        <w:rPr>
          <w:sz w:val="32"/>
          <w:szCs w:val="32"/>
        </w:rPr>
        <w:t xml:space="preserve">Au Yeung </w:t>
      </w:r>
      <w:proofErr w:type="spellStart"/>
      <w:r w:rsidR="00E73E2F" w:rsidRPr="00C358E9">
        <w:rPr>
          <w:sz w:val="32"/>
          <w:szCs w:val="32"/>
        </w:rPr>
        <w:t>Yat</w:t>
      </w:r>
      <w:proofErr w:type="spellEnd"/>
      <w:r w:rsidR="00E73E2F" w:rsidRPr="00C358E9">
        <w:rPr>
          <w:sz w:val="32"/>
          <w:szCs w:val="32"/>
        </w:rPr>
        <w:t xml:space="preserve"> </w:t>
      </w:r>
      <w:proofErr w:type="spellStart"/>
      <w:r w:rsidR="00E73E2F" w:rsidRPr="00C358E9">
        <w:rPr>
          <w:sz w:val="32"/>
          <w:szCs w:val="32"/>
        </w:rPr>
        <w:t>Hei</w:t>
      </w:r>
      <w:proofErr w:type="spellEnd"/>
      <w:r w:rsidR="00E73E2F" w:rsidRPr="00C358E9">
        <w:rPr>
          <w:sz w:val="32"/>
          <w:szCs w:val="32"/>
        </w:rPr>
        <w:t xml:space="preserve"> </w:t>
      </w:r>
      <w:r w:rsidR="00E73E2F" w:rsidRPr="00C358E9">
        <w:rPr>
          <w:color w:val="000000" w:themeColor="text1"/>
          <w:sz w:val="32"/>
          <w:szCs w:val="32"/>
        </w:rPr>
        <w:t>s</w:t>
      </w:r>
      <w:r w:rsidRPr="00C358E9">
        <w:rPr>
          <w:color w:val="000000" w:themeColor="text1"/>
          <w:sz w:val="32"/>
          <w:szCs w:val="32"/>
        </w:rPr>
        <w:t>tudent number</w:t>
      </w:r>
      <w:r w:rsidR="00E73E2F" w:rsidRPr="00C358E9">
        <w:rPr>
          <w:color w:val="000000" w:themeColor="text1"/>
          <w:sz w:val="32"/>
          <w:szCs w:val="32"/>
        </w:rPr>
        <w:t>: 2227239</w:t>
      </w:r>
      <w:r w:rsidRPr="00C358E9">
        <w:rPr>
          <w:sz w:val="32"/>
          <w:szCs w:val="32"/>
        </w:rPr>
        <w:t xml:space="preserve">, </w:t>
      </w:r>
      <w:r w:rsidR="004238D8" w:rsidRPr="00C358E9">
        <w:rPr>
          <w:sz w:val="32"/>
          <w:szCs w:val="32"/>
        </w:rPr>
        <w:t>certify this work is the result of my own investigations, except where otherwise stated.  All references have been duly cited”</w:t>
      </w:r>
    </w:p>
    <w:p w14:paraId="2001BEE3" w14:textId="77777777" w:rsidR="004238D8" w:rsidRPr="00C358E9" w:rsidRDefault="004238D8">
      <w:pPr>
        <w:spacing w:before="180"/>
        <w:jc w:val="both"/>
      </w:pPr>
    </w:p>
    <w:p w14:paraId="1B6FA4C1" w14:textId="77777777" w:rsidR="00B638D9" w:rsidRPr="00C358E9" w:rsidRDefault="00B638D9">
      <w:pPr>
        <w:spacing w:before="180"/>
        <w:jc w:val="both"/>
      </w:pPr>
    </w:p>
    <w:p w14:paraId="25103C95" w14:textId="77777777" w:rsidR="00B638D9" w:rsidRPr="00C358E9" w:rsidRDefault="00B638D9">
      <w:pPr>
        <w:spacing w:before="180"/>
        <w:jc w:val="both"/>
      </w:pPr>
    </w:p>
    <w:p w14:paraId="7AF0EA01" w14:textId="77777777" w:rsidR="004238D8" w:rsidRPr="00C358E9" w:rsidRDefault="004238D8">
      <w:pPr>
        <w:spacing w:before="180"/>
        <w:jc w:val="both"/>
        <w:rPr>
          <w:b/>
        </w:rPr>
      </w:pPr>
    </w:p>
    <w:p w14:paraId="074E2C51" w14:textId="7845762A" w:rsidR="004238D8" w:rsidRPr="00C358E9" w:rsidRDefault="004238D8">
      <w:pPr>
        <w:spacing w:before="180"/>
        <w:jc w:val="both"/>
      </w:pPr>
      <w:r w:rsidRPr="00C358E9">
        <w:t>Signed</w:t>
      </w:r>
      <w:r w:rsidR="000C61E4" w:rsidRPr="00C358E9">
        <w:t>:</w:t>
      </w:r>
      <w:r w:rsidR="00B25B3D" w:rsidRPr="00C358E9">
        <w:t xml:space="preserve"> </w:t>
      </w:r>
      <w:r w:rsidR="005661BD" w:rsidRPr="005661BD">
        <w:rPr>
          <w:noProof/>
        </w:rPr>
        <w:drawing>
          <wp:inline distT="0" distB="0" distL="0" distR="0" wp14:anchorId="074D2D8C" wp14:editId="337D0DFF">
            <wp:extent cx="1722474" cy="1047750"/>
            <wp:effectExtent l="0" t="0" r="5080"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87143" cy="1087087"/>
                    </a:xfrm>
                    <a:prstGeom prst="rect">
                      <a:avLst/>
                    </a:prstGeom>
                  </pic:spPr>
                </pic:pic>
              </a:graphicData>
            </a:graphic>
          </wp:inline>
        </w:drawing>
      </w:r>
    </w:p>
    <w:p w14:paraId="5D06CDF4" w14:textId="77777777" w:rsidR="00FE6608" w:rsidRPr="00C358E9" w:rsidRDefault="00FE6608" w:rsidP="00B25B3D">
      <w:pPr>
        <w:spacing w:before="180"/>
        <w:rPr>
          <w:sz w:val="26"/>
        </w:rPr>
      </w:pPr>
    </w:p>
    <w:p w14:paraId="69180220" w14:textId="06E61D93" w:rsidR="00603E07" w:rsidRPr="00C358E9" w:rsidRDefault="000C61E4" w:rsidP="00B25B3D">
      <w:pPr>
        <w:spacing w:before="180"/>
        <w:rPr>
          <w:sz w:val="26"/>
          <w:lang w:val="x-none"/>
        </w:rPr>
      </w:pPr>
      <w:r w:rsidRPr="00C358E9">
        <w:rPr>
          <w:sz w:val="26"/>
        </w:rPr>
        <w:t>D</w:t>
      </w:r>
      <w:r w:rsidR="00B25B3D" w:rsidRPr="00C358E9">
        <w:rPr>
          <w:sz w:val="26"/>
        </w:rPr>
        <w:t>ate</w:t>
      </w:r>
      <w:r w:rsidRPr="00C358E9">
        <w:rPr>
          <w:sz w:val="26"/>
        </w:rPr>
        <w:t>:</w:t>
      </w:r>
      <w:r w:rsidR="00FE6608" w:rsidRPr="00C358E9">
        <w:rPr>
          <w:sz w:val="26"/>
        </w:rPr>
        <w:t xml:space="preserve">  </w:t>
      </w:r>
      <w:r w:rsidR="005661BD">
        <w:rPr>
          <w:sz w:val="26"/>
        </w:rPr>
        <w:t>26</w:t>
      </w:r>
      <w:r w:rsidR="005661BD">
        <w:rPr>
          <w:rFonts w:ascii="新細明體" w:eastAsia="新細明體" w:hAnsi="新細明體" w:cs="新細明體" w:hint="eastAsia"/>
          <w:sz w:val="26"/>
          <w:lang w:val="x-none"/>
        </w:rPr>
        <w:t>-</w:t>
      </w:r>
      <w:r w:rsidR="005661BD">
        <w:rPr>
          <w:rFonts w:ascii="新細明體" w:eastAsia="新細明體" w:hAnsi="新細明體" w:cs="新細明體"/>
          <w:sz w:val="26"/>
          <w:lang w:val="x-none"/>
        </w:rPr>
        <w:t>02-2023</w:t>
      </w:r>
    </w:p>
    <w:p w14:paraId="4ACC24BB" w14:textId="69B0DBCA" w:rsidR="00074B88" w:rsidRPr="00C358E9" w:rsidRDefault="00074B88" w:rsidP="008F19ED">
      <w:pPr>
        <w:adjustRightInd w:val="0"/>
        <w:snapToGrid w:val="0"/>
        <w:spacing w:before="180"/>
        <w:rPr>
          <w:color w:val="0000CC"/>
          <w:sz w:val="26"/>
        </w:rPr>
      </w:pPr>
    </w:p>
    <w:p w14:paraId="14A9E7F0" w14:textId="052912AC" w:rsidR="00074B88" w:rsidRPr="00C358E9" w:rsidRDefault="00074B88" w:rsidP="00C65A3F">
      <w:pPr>
        <w:adjustRightInd w:val="0"/>
        <w:snapToGrid w:val="0"/>
        <w:spacing w:before="180"/>
        <w:jc w:val="center"/>
        <w:rPr>
          <w:color w:val="0000CC"/>
          <w:sz w:val="26"/>
          <w:szCs w:val="26"/>
        </w:rPr>
      </w:pPr>
      <w:r w:rsidRPr="00C358E9">
        <w:rPr>
          <w:b/>
          <w:sz w:val="26"/>
          <w:szCs w:val="26"/>
        </w:rPr>
        <w:lastRenderedPageBreak/>
        <w:t>Synopsis</w:t>
      </w:r>
      <w:r w:rsidR="00CA1589" w:rsidRPr="00C358E9">
        <w:rPr>
          <w:b/>
          <w:sz w:val="26"/>
          <w:szCs w:val="26"/>
        </w:rPr>
        <w:t xml:space="preserve"> </w:t>
      </w:r>
    </w:p>
    <w:p w14:paraId="55339909" w14:textId="77777777" w:rsidR="00074B88" w:rsidRPr="00C358E9" w:rsidRDefault="00074B88" w:rsidP="00C65A3F">
      <w:pPr>
        <w:adjustRightInd w:val="0"/>
        <w:snapToGrid w:val="0"/>
        <w:spacing w:before="180"/>
        <w:jc w:val="center"/>
        <w:rPr>
          <w:b/>
          <w:sz w:val="26"/>
          <w:szCs w:val="26"/>
        </w:rPr>
      </w:pPr>
    </w:p>
    <w:p w14:paraId="22FCB631" w14:textId="6446ED08" w:rsidR="00DD79F6" w:rsidRPr="004A0BE0" w:rsidRDefault="00DD404D" w:rsidP="00DD79F6">
      <w:pPr>
        <w:adjustRightInd w:val="0"/>
        <w:snapToGrid w:val="0"/>
        <w:spacing w:before="180" w:line="360" w:lineRule="auto"/>
        <w:jc w:val="both"/>
        <w:rPr>
          <w:color w:val="000000" w:themeColor="text1"/>
          <w:sz w:val="26"/>
          <w:szCs w:val="26"/>
        </w:rPr>
      </w:pPr>
      <w:r w:rsidRPr="004A0BE0">
        <w:rPr>
          <w:rFonts w:hint="eastAsia"/>
          <w:color w:val="000000" w:themeColor="text1"/>
          <w:sz w:val="26"/>
          <w:szCs w:val="26"/>
        </w:rPr>
        <w:t>I</w:t>
      </w:r>
      <w:r w:rsidRPr="004A0BE0">
        <w:rPr>
          <w:color w:val="000000" w:themeColor="text1"/>
          <w:sz w:val="26"/>
          <w:szCs w:val="26"/>
        </w:rPr>
        <w:t>n the last 3 years, due to the impact of Covid-19, geographical conflicts and the global inflation, the investment performance of the world especially for emerging or developing markets fluctuate</w:t>
      </w:r>
      <w:r w:rsidR="00110CBA">
        <w:rPr>
          <w:color w:val="000000" w:themeColor="text1"/>
          <w:sz w:val="26"/>
          <w:szCs w:val="26"/>
        </w:rPr>
        <w:t>d</w:t>
      </w:r>
      <w:r w:rsidRPr="004A0BE0">
        <w:rPr>
          <w:color w:val="000000" w:themeColor="text1"/>
          <w:sz w:val="26"/>
          <w:szCs w:val="26"/>
        </w:rPr>
        <w:t xml:space="preserve"> </w:t>
      </w:r>
      <w:r w:rsidR="00110CBA" w:rsidRPr="00110CBA">
        <w:rPr>
          <w:color w:val="000000" w:themeColor="text1"/>
          <w:sz w:val="26"/>
          <w:szCs w:val="26"/>
        </w:rPr>
        <w:t>between gains and losses</w:t>
      </w:r>
      <w:r w:rsidRPr="004A0BE0">
        <w:rPr>
          <w:color w:val="000000" w:themeColor="text1"/>
          <w:sz w:val="26"/>
          <w:szCs w:val="26"/>
        </w:rPr>
        <w:t xml:space="preserve">. Investors started to retreat their investment back to the safer developed economies. As an </w:t>
      </w:r>
      <w:r w:rsidR="00572CB4" w:rsidRPr="004A0BE0">
        <w:rPr>
          <w:color w:val="000000" w:themeColor="text1"/>
          <w:sz w:val="26"/>
          <w:szCs w:val="26"/>
        </w:rPr>
        <w:t>all-rounded</w:t>
      </w:r>
      <w:r w:rsidRPr="004A0BE0">
        <w:rPr>
          <w:color w:val="000000" w:themeColor="text1"/>
          <w:sz w:val="26"/>
          <w:szCs w:val="26"/>
        </w:rPr>
        <w:t xml:space="preserve"> investor, to diversif</w:t>
      </w:r>
      <w:r w:rsidR="00110CBA">
        <w:rPr>
          <w:color w:val="000000" w:themeColor="text1"/>
          <w:sz w:val="26"/>
          <w:szCs w:val="26"/>
        </w:rPr>
        <w:t>y</w:t>
      </w:r>
      <w:r w:rsidRPr="004A0BE0">
        <w:rPr>
          <w:color w:val="000000" w:themeColor="text1"/>
          <w:sz w:val="26"/>
          <w:szCs w:val="26"/>
        </w:rPr>
        <w:t xml:space="preserve"> the investment portfolio globally </w:t>
      </w:r>
      <w:r w:rsidR="00D42DDD">
        <w:rPr>
          <w:color w:val="000000" w:themeColor="text1"/>
          <w:sz w:val="26"/>
          <w:szCs w:val="26"/>
        </w:rPr>
        <w:t xml:space="preserve">is </w:t>
      </w:r>
      <w:r w:rsidRPr="004A0BE0">
        <w:rPr>
          <w:color w:val="000000" w:themeColor="text1"/>
          <w:sz w:val="26"/>
          <w:szCs w:val="26"/>
        </w:rPr>
        <w:t xml:space="preserve">not just mitigate the risk but also create new opportunities to </w:t>
      </w:r>
      <w:r w:rsidR="00D42DDD">
        <w:rPr>
          <w:color w:val="000000" w:themeColor="text1"/>
          <w:sz w:val="26"/>
          <w:szCs w:val="26"/>
        </w:rPr>
        <w:t xml:space="preserve">build up a more robust </w:t>
      </w:r>
      <w:r w:rsidRPr="004A0BE0">
        <w:rPr>
          <w:color w:val="000000" w:themeColor="text1"/>
          <w:sz w:val="26"/>
          <w:szCs w:val="26"/>
        </w:rPr>
        <w:t>investment portfolio.</w:t>
      </w:r>
      <w:r w:rsidR="002B223D">
        <w:rPr>
          <w:color w:val="000000" w:themeColor="text1"/>
          <w:sz w:val="26"/>
          <w:szCs w:val="26"/>
        </w:rPr>
        <w:t xml:space="preserve"> It is discovered that during such a dilemma, Australia had performed better than most of the world’s, especially those developed economies. This study suggest how Australia perform well in terms of its major stock index ASX200, and interpret how well ASX200 perform through a series of statistics and economic data.</w:t>
      </w:r>
    </w:p>
    <w:p w14:paraId="2F0A2E6E" w14:textId="77777777" w:rsidR="00074B88" w:rsidRPr="00C358E9" w:rsidRDefault="00074B88" w:rsidP="00C65A3F">
      <w:pPr>
        <w:adjustRightInd w:val="0"/>
        <w:snapToGrid w:val="0"/>
        <w:spacing w:before="180"/>
        <w:jc w:val="both"/>
        <w:rPr>
          <w:b/>
          <w:sz w:val="26"/>
          <w:szCs w:val="26"/>
        </w:rPr>
      </w:pPr>
    </w:p>
    <w:p w14:paraId="152EC018" w14:textId="77777777" w:rsidR="00074B88" w:rsidRPr="00C358E9" w:rsidRDefault="00074B88" w:rsidP="00C65A3F">
      <w:pPr>
        <w:adjustRightInd w:val="0"/>
        <w:snapToGrid w:val="0"/>
        <w:spacing w:before="180"/>
        <w:jc w:val="both"/>
        <w:rPr>
          <w:b/>
          <w:sz w:val="26"/>
          <w:szCs w:val="26"/>
        </w:rPr>
      </w:pPr>
    </w:p>
    <w:p w14:paraId="55084938" w14:textId="0CAC2851" w:rsidR="00171D57" w:rsidRPr="00C358E9" w:rsidRDefault="00171D57">
      <w:pPr>
        <w:spacing w:before="180"/>
        <w:rPr>
          <w:b/>
          <w:sz w:val="26"/>
          <w:szCs w:val="26"/>
        </w:rPr>
      </w:pPr>
      <w:r w:rsidRPr="00C358E9">
        <w:rPr>
          <w:b/>
          <w:sz w:val="26"/>
          <w:szCs w:val="26"/>
        </w:rPr>
        <w:br w:type="page"/>
      </w:r>
    </w:p>
    <w:p w14:paraId="439372E8" w14:textId="77777777" w:rsidR="00074B88" w:rsidRPr="00C358E9" w:rsidRDefault="00074B88" w:rsidP="00C65A3F">
      <w:pPr>
        <w:adjustRightInd w:val="0"/>
        <w:snapToGrid w:val="0"/>
        <w:spacing w:before="180"/>
        <w:rPr>
          <w:b/>
          <w:sz w:val="26"/>
          <w:szCs w:val="26"/>
        </w:rPr>
      </w:pPr>
    </w:p>
    <w:p w14:paraId="207E64B3" w14:textId="53E64526" w:rsidR="004238D8" w:rsidRPr="00C358E9" w:rsidRDefault="004238D8" w:rsidP="00C65A3F">
      <w:pPr>
        <w:adjustRightInd w:val="0"/>
        <w:snapToGrid w:val="0"/>
        <w:spacing w:before="180"/>
        <w:jc w:val="center"/>
        <w:rPr>
          <w:b/>
          <w:sz w:val="26"/>
        </w:rPr>
      </w:pPr>
      <w:r w:rsidRPr="00C358E9">
        <w:rPr>
          <w:b/>
          <w:sz w:val="26"/>
        </w:rPr>
        <w:t>Table of Contents</w:t>
      </w:r>
    </w:p>
    <w:p w14:paraId="2BE9DCC1" w14:textId="6B7E9388" w:rsidR="00C04DD8" w:rsidRPr="00C358E9" w:rsidRDefault="00C04DD8" w:rsidP="00C65A3F">
      <w:pPr>
        <w:adjustRightInd w:val="0"/>
        <w:snapToGrid w:val="0"/>
        <w:spacing w:before="180"/>
        <w:jc w:val="center"/>
        <w:rPr>
          <w:b/>
          <w:sz w:val="26"/>
        </w:rPr>
      </w:pPr>
    </w:p>
    <w:p w14:paraId="45C694A8" w14:textId="77777777" w:rsidR="00C04DD8" w:rsidRPr="00C358E9" w:rsidRDefault="00C04DD8" w:rsidP="00C65A3F">
      <w:pPr>
        <w:adjustRightInd w:val="0"/>
        <w:snapToGrid w:val="0"/>
        <w:spacing w:before="180"/>
        <w:jc w:val="center"/>
        <w:rPr>
          <w:b/>
          <w:sz w:val="26"/>
        </w:rPr>
      </w:pPr>
    </w:p>
    <w:p w14:paraId="6E41C1E0" w14:textId="77777777" w:rsidR="004238D8" w:rsidRPr="00C358E9" w:rsidRDefault="004238D8" w:rsidP="00C65A3F">
      <w:pPr>
        <w:pStyle w:val="af4"/>
        <w:adjustRightInd w:val="0"/>
        <w:snapToGrid w:val="0"/>
        <w:spacing w:before="18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2"/>
        <w:gridCol w:w="509"/>
        <w:gridCol w:w="10"/>
        <w:gridCol w:w="35"/>
        <w:gridCol w:w="10"/>
        <w:gridCol w:w="614"/>
        <w:gridCol w:w="12"/>
        <w:gridCol w:w="6648"/>
        <w:gridCol w:w="690"/>
      </w:tblGrid>
      <w:tr w:rsidR="004238D8" w:rsidRPr="00C358E9" w14:paraId="48C2427A" w14:textId="77777777" w:rsidTr="00B032CB">
        <w:tc>
          <w:tcPr>
            <w:tcW w:w="542" w:type="dxa"/>
          </w:tcPr>
          <w:p w14:paraId="6BB7AE33" w14:textId="77777777" w:rsidR="004238D8" w:rsidRPr="00C358E9" w:rsidRDefault="004238D8" w:rsidP="00C65A3F">
            <w:pPr>
              <w:pStyle w:val="a0"/>
              <w:adjustRightInd w:val="0"/>
              <w:snapToGrid w:val="0"/>
              <w:spacing w:before="180" w:after="0"/>
              <w:rPr>
                <w:sz w:val="24"/>
                <w:lang w:eastAsia="zh-TW"/>
              </w:rPr>
            </w:pPr>
          </w:p>
        </w:tc>
        <w:tc>
          <w:tcPr>
            <w:tcW w:w="7838" w:type="dxa"/>
            <w:gridSpan w:val="7"/>
          </w:tcPr>
          <w:p w14:paraId="00A2D63D" w14:textId="77777777" w:rsidR="004238D8" w:rsidRPr="00C358E9" w:rsidRDefault="004238D8" w:rsidP="00C65A3F">
            <w:pPr>
              <w:pStyle w:val="a0"/>
              <w:adjustRightInd w:val="0"/>
              <w:snapToGrid w:val="0"/>
              <w:spacing w:before="180" w:after="0"/>
              <w:rPr>
                <w:sz w:val="24"/>
                <w:lang w:eastAsia="zh-TW"/>
              </w:rPr>
            </w:pPr>
          </w:p>
        </w:tc>
        <w:tc>
          <w:tcPr>
            <w:tcW w:w="690" w:type="dxa"/>
          </w:tcPr>
          <w:p w14:paraId="02019172" w14:textId="77777777" w:rsidR="004238D8" w:rsidRPr="00C358E9" w:rsidRDefault="004238D8" w:rsidP="00C65A3F">
            <w:pPr>
              <w:pStyle w:val="a0"/>
              <w:adjustRightInd w:val="0"/>
              <w:snapToGrid w:val="0"/>
              <w:spacing w:before="180" w:after="0"/>
              <w:jc w:val="center"/>
              <w:rPr>
                <w:sz w:val="24"/>
                <w:u w:val="single"/>
                <w:lang w:eastAsia="zh-TW"/>
              </w:rPr>
            </w:pPr>
            <w:r w:rsidRPr="00C358E9">
              <w:rPr>
                <w:sz w:val="24"/>
                <w:u w:val="single"/>
                <w:lang w:eastAsia="zh-TW"/>
              </w:rPr>
              <w:t>Page</w:t>
            </w:r>
          </w:p>
          <w:p w14:paraId="11356722" w14:textId="77777777" w:rsidR="00271DC6" w:rsidRPr="00C358E9" w:rsidRDefault="00271DC6" w:rsidP="00C65A3F">
            <w:pPr>
              <w:pStyle w:val="a0"/>
              <w:adjustRightInd w:val="0"/>
              <w:snapToGrid w:val="0"/>
              <w:spacing w:before="180" w:after="0"/>
              <w:jc w:val="center"/>
              <w:rPr>
                <w:sz w:val="24"/>
                <w:u w:val="single"/>
                <w:lang w:eastAsia="zh-TW"/>
              </w:rPr>
            </w:pPr>
          </w:p>
        </w:tc>
      </w:tr>
      <w:tr w:rsidR="004238D8" w:rsidRPr="00C358E9" w14:paraId="18C4365B" w14:textId="77777777" w:rsidTr="00B032CB">
        <w:tc>
          <w:tcPr>
            <w:tcW w:w="542" w:type="dxa"/>
          </w:tcPr>
          <w:p w14:paraId="5F7D1993" w14:textId="77777777" w:rsidR="004238D8" w:rsidRPr="00C358E9" w:rsidRDefault="004238D8" w:rsidP="00C65A3F">
            <w:pPr>
              <w:pStyle w:val="a0"/>
              <w:adjustRightInd w:val="0"/>
              <w:snapToGrid w:val="0"/>
              <w:spacing w:before="180" w:after="0"/>
              <w:rPr>
                <w:sz w:val="24"/>
                <w:lang w:eastAsia="zh-TW"/>
              </w:rPr>
            </w:pPr>
            <w:r w:rsidRPr="00C358E9">
              <w:rPr>
                <w:sz w:val="24"/>
                <w:lang w:eastAsia="zh-TW"/>
              </w:rPr>
              <w:t>1</w:t>
            </w:r>
          </w:p>
        </w:tc>
        <w:tc>
          <w:tcPr>
            <w:tcW w:w="7838" w:type="dxa"/>
            <w:gridSpan w:val="7"/>
          </w:tcPr>
          <w:p w14:paraId="5D4AF710" w14:textId="4062B888" w:rsidR="002433E4" w:rsidRPr="00C358E9" w:rsidRDefault="00074B88" w:rsidP="00C65A3F">
            <w:pPr>
              <w:pStyle w:val="a0"/>
              <w:adjustRightInd w:val="0"/>
              <w:snapToGrid w:val="0"/>
              <w:spacing w:before="180" w:after="0"/>
              <w:rPr>
                <w:rFonts w:eastAsia="標楷體"/>
                <w:color w:val="0000FF"/>
                <w:sz w:val="24"/>
              </w:rPr>
            </w:pPr>
            <w:r w:rsidRPr="00C358E9">
              <w:rPr>
                <w:sz w:val="24"/>
                <w:lang w:eastAsia="zh-TW"/>
              </w:rPr>
              <w:t>Introduction</w:t>
            </w:r>
            <w:r w:rsidR="00CA1589" w:rsidRPr="00C358E9">
              <w:rPr>
                <w:color w:val="0000CC"/>
                <w:sz w:val="24"/>
                <w:lang w:eastAsia="zh-TW"/>
              </w:rPr>
              <w:t xml:space="preserve"> </w:t>
            </w:r>
          </w:p>
        </w:tc>
        <w:tc>
          <w:tcPr>
            <w:tcW w:w="690" w:type="dxa"/>
          </w:tcPr>
          <w:p w14:paraId="1FF518C6" w14:textId="77777777" w:rsidR="004238D8" w:rsidRPr="00C358E9" w:rsidRDefault="00271DC6" w:rsidP="00C65A3F">
            <w:pPr>
              <w:pStyle w:val="a0"/>
              <w:adjustRightInd w:val="0"/>
              <w:snapToGrid w:val="0"/>
              <w:spacing w:before="180" w:after="0"/>
              <w:jc w:val="center"/>
              <w:rPr>
                <w:sz w:val="24"/>
                <w:lang w:eastAsia="zh-TW"/>
              </w:rPr>
            </w:pPr>
            <w:r w:rsidRPr="00C358E9">
              <w:rPr>
                <w:sz w:val="24"/>
                <w:lang w:eastAsia="zh-TW"/>
              </w:rPr>
              <w:t>1</w:t>
            </w:r>
          </w:p>
        </w:tc>
      </w:tr>
      <w:tr w:rsidR="00A83E23" w:rsidRPr="00C358E9" w14:paraId="69C2D084" w14:textId="77777777" w:rsidTr="00B032CB">
        <w:tc>
          <w:tcPr>
            <w:tcW w:w="542" w:type="dxa"/>
          </w:tcPr>
          <w:p w14:paraId="3A65ED0B" w14:textId="77777777" w:rsidR="00A83E23" w:rsidRPr="00C358E9" w:rsidRDefault="00A83E23" w:rsidP="00C65A3F">
            <w:pPr>
              <w:pStyle w:val="a0"/>
              <w:adjustRightInd w:val="0"/>
              <w:snapToGrid w:val="0"/>
              <w:spacing w:before="180" w:after="0"/>
              <w:rPr>
                <w:sz w:val="24"/>
                <w:lang w:eastAsia="zh-TW"/>
              </w:rPr>
            </w:pPr>
          </w:p>
        </w:tc>
        <w:tc>
          <w:tcPr>
            <w:tcW w:w="509" w:type="dxa"/>
          </w:tcPr>
          <w:p w14:paraId="73438A5F" w14:textId="77777777" w:rsidR="00A83E23" w:rsidRPr="00C358E9" w:rsidRDefault="00A83E23" w:rsidP="00C65A3F">
            <w:pPr>
              <w:pStyle w:val="a0"/>
              <w:adjustRightInd w:val="0"/>
              <w:snapToGrid w:val="0"/>
              <w:spacing w:before="180" w:after="0"/>
              <w:rPr>
                <w:sz w:val="24"/>
                <w:lang w:eastAsia="zh-TW"/>
              </w:rPr>
            </w:pPr>
            <w:r w:rsidRPr="00C358E9">
              <w:rPr>
                <w:sz w:val="24"/>
                <w:lang w:eastAsia="zh-TW"/>
              </w:rPr>
              <w:t>1.1</w:t>
            </w:r>
          </w:p>
        </w:tc>
        <w:tc>
          <w:tcPr>
            <w:tcW w:w="7329" w:type="dxa"/>
            <w:gridSpan w:val="6"/>
          </w:tcPr>
          <w:p w14:paraId="01205461" w14:textId="77B4BF17" w:rsidR="00A83E23" w:rsidRPr="00C358E9" w:rsidRDefault="00A1193C" w:rsidP="00C65A3F">
            <w:pPr>
              <w:pStyle w:val="a0"/>
              <w:adjustRightInd w:val="0"/>
              <w:snapToGrid w:val="0"/>
              <w:spacing w:before="180" w:after="0"/>
              <w:rPr>
                <w:sz w:val="24"/>
                <w:lang w:eastAsia="zh-TW"/>
              </w:rPr>
            </w:pPr>
            <w:r w:rsidRPr="00C358E9">
              <w:rPr>
                <w:sz w:val="24"/>
                <w:lang w:eastAsia="zh-TW"/>
              </w:rPr>
              <w:t>Research motivation</w:t>
            </w:r>
            <w:r w:rsidR="00F90F85" w:rsidRPr="00C358E9">
              <w:rPr>
                <w:sz w:val="24"/>
                <w:lang w:eastAsia="zh-TW"/>
              </w:rPr>
              <w:t xml:space="preserve">, aim, and objectives </w:t>
            </w:r>
          </w:p>
        </w:tc>
        <w:tc>
          <w:tcPr>
            <w:tcW w:w="690" w:type="dxa"/>
          </w:tcPr>
          <w:p w14:paraId="5051B613" w14:textId="4854698A" w:rsidR="00A83E23" w:rsidRPr="00C358E9" w:rsidRDefault="0010747A" w:rsidP="00C65A3F">
            <w:pPr>
              <w:pStyle w:val="a0"/>
              <w:adjustRightInd w:val="0"/>
              <w:snapToGrid w:val="0"/>
              <w:spacing w:before="180" w:after="0"/>
              <w:jc w:val="center"/>
              <w:rPr>
                <w:sz w:val="24"/>
                <w:lang w:eastAsia="zh-TW"/>
              </w:rPr>
            </w:pPr>
            <w:r>
              <w:rPr>
                <w:rFonts w:hint="eastAsia"/>
                <w:sz w:val="24"/>
                <w:lang w:eastAsia="zh-TW"/>
              </w:rPr>
              <w:t>1</w:t>
            </w:r>
          </w:p>
        </w:tc>
      </w:tr>
      <w:tr w:rsidR="00A83E23" w:rsidRPr="00C358E9" w14:paraId="025B15AF" w14:textId="77777777" w:rsidTr="00B032CB">
        <w:tc>
          <w:tcPr>
            <w:tcW w:w="542" w:type="dxa"/>
          </w:tcPr>
          <w:p w14:paraId="71C6468B" w14:textId="77777777" w:rsidR="00A83E23" w:rsidRPr="00C358E9" w:rsidRDefault="00A83E23" w:rsidP="00C65A3F">
            <w:pPr>
              <w:pStyle w:val="a0"/>
              <w:adjustRightInd w:val="0"/>
              <w:snapToGrid w:val="0"/>
              <w:spacing w:before="180" w:after="0"/>
              <w:rPr>
                <w:sz w:val="24"/>
                <w:lang w:eastAsia="zh-TW"/>
              </w:rPr>
            </w:pPr>
          </w:p>
        </w:tc>
        <w:tc>
          <w:tcPr>
            <w:tcW w:w="509" w:type="dxa"/>
          </w:tcPr>
          <w:p w14:paraId="5E8D4698" w14:textId="77777777" w:rsidR="00A83E23" w:rsidRPr="00C358E9" w:rsidRDefault="00A83E23" w:rsidP="00C65A3F">
            <w:pPr>
              <w:pStyle w:val="a0"/>
              <w:adjustRightInd w:val="0"/>
              <w:snapToGrid w:val="0"/>
              <w:spacing w:before="180" w:after="0"/>
              <w:rPr>
                <w:sz w:val="24"/>
                <w:lang w:eastAsia="zh-TW"/>
              </w:rPr>
            </w:pPr>
            <w:r w:rsidRPr="00C358E9">
              <w:rPr>
                <w:sz w:val="24"/>
                <w:lang w:eastAsia="zh-TW"/>
              </w:rPr>
              <w:t>1.2</w:t>
            </w:r>
          </w:p>
        </w:tc>
        <w:tc>
          <w:tcPr>
            <w:tcW w:w="7329" w:type="dxa"/>
            <w:gridSpan w:val="6"/>
          </w:tcPr>
          <w:p w14:paraId="6CDA180C" w14:textId="77777777" w:rsidR="00A83E23" w:rsidRPr="00C358E9" w:rsidRDefault="00A1193C" w:rsidP="00C65A3F">
            <w:pPr>
              <w:pStyle w:val="a0"/>
              <w:adjustRightInd w:val="0"/>
              <w:snapToGrid w:val="0"/>
              <w:spacing w:before="180" w:after="0"/>
              <w:rPr>
                <w:sz w:val="24"/>
                <w:lang w:eastAsia="zh-TW"/>
              </w:rPr>
            </w:pPr>
            <w:r w:rsidRPr="00C358E9">
              <w:rPr>
                <w:sz w:val="24"/>
                <w:lang w:eastAsia="zh-TW"/>
              </w:rPr>
              <w:t>Research framework</w:t>
            </w:r>
          </w:p>
        </w:tc>
        <w:tc>
          <w:tcPr>
            <w:tcW w:w="690" w:type="dxa"/>
          </w:tcPr>
          <w:p w14:paraId="05D9749B" w14:textId="6961B343" w:rsidR="00A83E23" w:rsidRPr="00C358E9" w:rsidRDefault="0010747A" w:rsidP="00C65A3F">
            <w:pPr>
              <w:pStyle w:val="a0"/>
              <w:adjustRightInd w:val="0"/>
              <w:snapToGrid w:val="0"/>
              <w:spacing w:before="180" w:after="0"/>
              <w:jc w:val="center"/>
              <w:rPr>
                <w:sz w:val="24"/>
                <w:lang w:eastAsia="zh-TW"/>
              </w:rPr>
            </w:pPr>
            <w:r>
              <w:rPr>
                <w:rFonts w:hint="eastAsia"/>
                <w:sz w:val="24"/>
                <w:lang w:eastAsia="zh-TW"/>
              </w:rPr>
              <w:t>1</w:t>
            </w:r>
          </w:p>
        </w:tc>
      </w:tr>
      <w:tr w:rsidR="00A83E23" w:rsidRPr="00C358E9" w14:paraId="0293EA49" w14:textId="77777777" w:rsidTr="00B032CB">
        <w:tc>
          <w:tcPr>
            <w:tcW w:w="542" w:type="dxa"/>
          </w:tcPr>
          <w:p w14:paraId="7B5B96F7" w14:textId="77777777" w:rsidR="00A83E23" w:rsidRPr="00C358E9" w:rsidRDefault="00A83E23" w:rsidP="00C65A3F">
            <w:pPr>
              <w:pStyle w:val="a0"/>
              <w:adjustRightInd w:val="0"/>
              <w:snapToGrid w:val="0"/>
              <w:spacing w:before="180" w:after="0"/>
              <w:rPr>
                <w:sz w:val="24"/>
                <w:lang w:eastAsia="zh-TW"/>
              </w:rPr>
            </w:pPr>
          </w:p>
        </w:tc>
        <w:tc>
          <w:tcPr>
            <w:tcW w:w="7838" w:type="dxa"/>
            <w:gridSpan w:val="7"/>
          </w:tcPr>
          <w:p w14:paraId="03BB6B03" w14:textId="77777777" w:rsidR="00A83E23" w:rsidRPr="00C358E9" w:rsidRDefault="00A83E23" w:rsidP="00C65A3F">
            <w:pPr>
              <w:pStyle w:val="a0"/>
              <w:adjustRightInd w:val="0"/>
              <w:snapToGrid w:val="0"/>
              <w:spacing w:before="180" w:after="0"/>
              <w:rPr>
                <w:sz w:val="24"/>
                <w:lang w:eastAsia="zh-TW"/>
              </w:rPr>
            </w:pPr>
          </w:p>
        </w:tc>
        <w:tc>
          <w:tcPr>
            <w:tcW w:w="690" w:type="dxa"/>
          </w:tcPr>
          <w:p w14:paraId="4804FE13" w14:textId="77777777" w:rsidR="00A83E23" w:rsidRPr="00C358E9" w:rsidRDefault="00A83E23" w:rsidP="00C65A3F">
            <w:pPr>
              <w:pStyle w:val="a0"/>
              <w:adjustRightInd w:val="0"/>
              <w:snapToGrid w:val="0"/>
              <w:spacing w:before="180" w:after="0"/>
              <w:jc w:val="center"/>
              <w:rPr>
                <w:sz w:val="24"/>
                <w:lang w:eastAsia="zh-TW"/>
              </w:rPr>
            </w:pPr>
          </w:p>
        </w:tc>
      </w:tr>
      <w:tr w:rsidR="004238D8" w:rsidRPr="00C358E9" w14:paraId="0F29CDC5" w14:textId="77777777" w:rsidTr="00B032CB">
        <w:tc>
          <w:tcPr>
            <w:tcW w:w="542" w:type="dxa"/>
          </w:tcPr>
          <w:p w14:paraId="7F8F9BA7" w14:textId="77777777" w:rsidR="004238D8" w:rsidRPr="00C358E9" w:rsidRDefault="004238D8" w:rsidP="00C65A3F">
            <w:pPr>
              <w:pStyle w:val="a0"/>
              <w:adjustRightInd w:val="0"/>
              <w:snapToGrid w:val="0"/>
              <w:spacing w:before="180" w:after="0"/>
              <w:rPr>
                <w:sz w:val="24"/>
                <w:lang w:eastAsia="zh-TW"/>
              </w:rPr>
            </w:pPr>
            <w:r w:rsidRPr="00C358E9">
              <w:rPr>
                <w:sz w:val="24"/>
                <w:lang w:eastAsia="zh-TW"/>
              </w:rPr>
              <w:t>2</w:t>
            </w:r>
          </w:p>
        </w:tc>
        <w:tc>
          <w:tcPr>
            <w:tcW w:w="7838" w:type="dxa"/>
            <w:gridSpan w:val="7"/>
          </w:tcPr>
          <w:p w14:paraId="43534B28" w14:textId="264E0ED4" w:rsidR="002433E4" w:rsidRPr="00C358E9" w:rsidRDefault="00074B88" w:rsidP="00C65A3F">
            <w:pPr>
              <w:pStyle w:val="a0"/>
              <w:adjustRightInd w:val="0"/>
              <w:snapToGrid w:val="0"/>
              <w:spacing w:before="180" w:after="0"/>
              <w:rPr>
                <w:rFonts w:eastAsia="標楷體"/>
                <w:sz w:val="24"/>
              </w:rPr>
            </w:pPr>
            <w:r w:rsidRPr="00C358E9">
              <w:rPr>
                <w:rFonts w:eastAsia="標楷體"/>
                <w:sz w:val="24"/>
              </w:rPr>
              <w:t>C</w:t>
            </w:r>
            <w:r w:rsidR="00CA1589" w:rsidRPr="00C358E9">
              <w:rPr>
                <w:rFonts w:eastAsia="標楷體"/>
                <w:sz w:val="24"/>
              </w:rPr>
              <w:t xml:space="preserve">ompany Background </w:t>
            </w:r>
          </w:p>
        </w:tc>
        <w:tc>
          <w:tcPr>
            <w:tcW w:w="690" w:type="dxa"/>
          </w:tcPr>
          <w:p w14:paraId="6D772741" w14:textId="4A1AF031" w:rsidR="004238D8" w:rsidRPr="00C358E9" w:rsidRDefault="0010747A" w:rsidP="00C65A3F">
            <w:pPr>
              <w:pStyle w:val="a0"/>
              <w:adjustRightInd w:val="0"/>
              <w:snapToGrid w:val="0"/>
              <w:spacing w:before="180" w:after="0"/>
              <w:jc w:val="center"/>
              <w:rPr>
                <w:sz w:val="24"/>
                <w:lang w:eastAsia="zh-TW"/>
              </w:rPr>
            </w:pPr>
            <w:r>
              <w:rPr>
                <w:sz w:val="24"/>
                <w:lang w:eastAsia="zh-TW"/>
              </w:rPr>
              <w:t>2</w:t>
            </w:r>
          </w:p>
        </w:tc>
      </w:tr>
      <w:tr w:rsidR="004238D8" w:rsidRPr="00C358E9" w14:paraId="72402FE0" w14:textId="77777777" w:rsidTr="00B032CB">
        <w:tc>
          <w:tcPr>
            <w:tcW w:w="542" w:type="dxa"/>
          </w:tcPr>
          <w:p w14:paraId="51C7BA6F" w14:textId="77777777" w:rsidR="004238D8" w:rsidRPr="00C358E9" w:rsidRDefault="004238D8" w:rsidP="00C65A3F">
            <w:pPr>
              <w:pStyle w:val="a0"/>
              <w:adjustRightInd w:val="0"/>
              <w:snapToGrid w:val="0"/>
              <w:spacing w:before="180" w:after="0"/>
              <w:rPr>
                <w:sz w:val="24"/>
                <w:lang w:eastAsia="zh-TW"/>
              </w:rPr>
            </w:pPr>
            <w:bookmarkStart w:id="0" w:name="_Hlk90988571"/>
          </w:p>
        </w:tc>
        <w:tc>
          <w:tcPr>
            <w:tcW w:w="519" w:type="dxa"/>
            <w:gridSpan w:val="2"/>
          </w:tcPr>
          <w:p w14:paraId="7648132E" w14:textId="77777777" w:rsidR="004238D8" w:rsidRPr="00C358E9" w:rsidRDefault="004238D8" w:rsidP="00C65A3F">
            <w:pPr>
              <w:pStyle w:val="a0"/>
              <w:adjustRightInd w:val="0"/>
              <w:snapToGrid w:val="0"/>
              <w:spacing w:before="180" w:after="0"/>
              <w:rPr>
                <w:sz w:val="24"/>
                <w:lang w:eastAsia="zh-TW"/>
              </w:rPr>
            </w:pPr>
            <w:r w:rsidRPr="00C358E9">
              <w:rPr>
                <w:sz w:val="24"/>
                <w:lang w:eastAsia="zh-TW"/>
              </w:rPr>
              <w:t>2.1</w:t>
            </w:r>
          </w:p>
        </w:tc>
        <w:tc>
          <w:tcPr>
            <w:tcW w:w="7319" w:type="dxa"/>
            <w:gridSpan w:val="5"/>
          </w:tcPr>
          <w:p w14:paraId="4614CA44" w14:textId="15C2A7BB" w:rsidR="004238D8" w:rsidRPr="00C358E9" w:rsidRDefault="00B54B17" w:rsidP="00C65A3F">
            <w:pPr>
              <w:pStyle w:val="a0"/>
              <w:adjustRightInd w:val="0"/>
              <w:snapToGrid w:val="0"/>
              <w:spacing w:before="180" w:after="0"/>
              <w:rPr>
                <w:sz w:val="24"/>
                <w:lang w:eastAsia="zh-TW"/>
              </w:rPr>
            </w:pPr>
            <w:r w:rsidRPr="00C358E9">
              <w:rPr>
                <w:rFonts w:hint="eastAsia"/>
                <w:sz w:val="24"/>
                <w:lang w:eastAsia="zh-TW"/>
              </w:rPr>
              <w:t>C</w:t>
            </w:r>
            <w:r w:rsidRPr="00C358E9">
              <w:rPr>
                <w:sz w:val="24"/>
                <w:lang w:eastAsia="zh-TW"/>
              </w:rPr>
              <w:t>ompany profile</w:t>
            </w:r>
          </w:p>
        </w:tc>
        <w:tc>
          <w:tcPr>
            <w:tcW w:w="690" w:type="dxa"/>
          </w:tcPr>
          <w:p w14:paraId="26A0649A" w14:textId="21F8F260" w:rsidR="004238D8" w:rsidRPr="00C358E9" w:rsidRDefault="0010747A" w:rsidP="00C65A3F">
            <w:pPr>
              <w:pStyle w:val="a0"/>
              <w:adjustRightInd w:val="0"/>
              <w:snapToGrid w:val="0"/>
              <w:spacing w:before="180" w:after="0"/>
              <w:jc w:val="center"/>
              <w:rPr>
                <w:sz w:val="24"/>
                <w:lang w:eastAsia="zh-TW"/>
              </w:rPr>
            </w:pPr>
            <w:r>
              <w:rPr>
                <w:rFonts w:hint="eastAsia"/>
                <w:sz w:val="24"/>
                <w:lang w:eastAsia="zh-TW"/>
              </w:rPr>
              <w:t>2</w:t>
            </w:r>
          </w:p>
        </w:tc>
      </w:tr>
      <w:tr w:rsidR="004238D8" w:rsidRPr="00C358E9" w14:paraId="7E9A51A6" w14:textId="77777777" w:rsidTr="00B032CB">
        <w:tc>
          <w:tcPr>
            <w:tcW w:w="542" w:type="dxa"/>
          </w:tcPr>
          <w:p w14:paraId="23798C9A" w14:textId="77777777" w:rsidR="004238D8" w:rsidRPr="00C358E9" w:rsidRDefault="004238D8" w:rsidP="00C65A3F">
            <w:pPr>
              <w:pStyle w:val="a0"/>
              <w:adjustRightInd w:val="0"/>
              <w:snapToGrid w:val="0"/>
              <w:spacing w:before="180" w:after="0"/>
              <w:rPr>
                <w:sz w:val="24"/>
                <w:lang w:eastAsia="zh-TW"/>
              </w:rPr>
            </w:pPr>
          </w:p>
        </w:tc>
        <w:tc>
          <w:tcPr>
            <w:tcW w:w="519" w:type="dxa"/>
            <w:gridSpan w:val="2"/>
          </w:tcPr>
          <w:p w14:paraId="0913BCE6" w14:textId="77777777" w:rsidR="004238D8" w:rsidRPr="00C358E9" w:rsidRDefault="004238D8" w:rsidP="00C65A3F">
            <w:pPr>
              <w:pStyle w:val="a0"/>
              <w:adjustRightInd w:val="0"/>
              <w:snapToGrid w:val="0"/>
              <w:spacing w:before="180" w:after="0"/>
              <w:rPr>
                <w:sz w:val="24"/>
                <w:lang w:eastAsia="zh-TW"/>
              </w:rPr>
            </w:pPr>
            <w:r w:rsidRPr="00C358E9">
              <w:rPr>
                <w:sz w:val="24"/>
                <w:lang w:eastAsia="zh-TW"/>
              </w:rPr>
              <w:t>2.2</w:t>
            </w:r>
          </w:p>
        </w:tc>
        <w:tc>
          <w:tcPr>
            <w:tcW w:w="7319" w:type="dxa"/>
            <w:gridSpan w:val="5"/>
          </w:tcPr>
          <w:p w14:paraId="55428BEF" w14:textId="3ADA2297" w:rsidR="004238D8" w:rsidRPr="00C358E9" w:rsidRDefault="00AF6616" w:rsidP="001E74AF">
            <w:pPr>
              <w:pStyle w:val="a0"/>
              <w:adjustRightInd w:val="0"/>
              <w:snapToGrid w:val="0"/>
              <w:spacing w:before="180" w:after="0"/>
              <w:rPr>
                <w:sz w:val="24"/>
                <w:lang w:eastAsia="zh-TW"/>
              </w:rPr>
            </w:pPr>
            <w:r w:rsidRPr="00C358E9">
              <w:rPr>
                <w:rFonts w:hint="eastAsia"/>
                <w:sz w:val="24"/>
                <w:lang w:eastAsia="zh-TW"/>
              </w:rPr>
              <w:t>C</w:t>
            </w:r>
            <w:r w:rsidRPr="00C358E9">
              <w:rPr>
                <w:sz w:val="24"/>
                <w:lang w:eastAsia="zh-TW"/>
              </w:rPr>
              <w:t xml:space="preserve">urrent </w:t>
            </w:r>
            <w:r w:rsidR="00F90F85" w:rsidRPr="00C358E9">
              <w:rPr>
                <w:sz w:val="24"/>
                <w:lang w:eastAsia="zh-TW"/>
              </w:rPr>
              <w:t>investment portfolio and investment</w:t>
            </w:r>
            <w:r w:rsidRPr="00C358E9">
              <w:rPr>
                <w:sz w:val="24"/>
                <w:lang w:eastAsia="zh-TW"/>
              </w:rPr>
              <w:t xml:space="preserve"> performance</w:t>
            </w:r>
          </w:p>
        </w:tc>
        <w:tc>
          <w:tcPr>
            <w:tcW w:w="690" w:type="dxa"/>
          </w:tcPr>
          <w:p w14:paraId="74FF3B7E" w14:textId="66770C0A" w:rsidR="004238D8" w:rsidRPr="00C358E9" w:rsidRDefault="0010747A" w:rsidP="00C65A3F">
            <w:pPr>
              <w:pStyle w:val="a0"/>
              <w:adjustRightInd w:val="0"/>
              <w:snapToGrid w:val="0"/>
              <w:spacing w:before="180" w:after="0"/>
              <w:jc w:val="center"/>
              <w:rPr>
                <w:sz w:val="24"/>
                <w:lang w:eastAsia="zh-TW"/>
              </w:rPr>
            </w:pPr>
            <w:r>
              <w:rPr>
                <w:rFonts w:hint="eastAsia"/>
                <w:sz w:val="24"/>
                <w:lang w:eastAsia="zh-TW"/>
              </w:rPr>
              <w:t>3</w:t>
            </w:r>
          </w:p>
        </w:tc>
      </w:tr>
      <w:tr w:rsidR="006508F5" w:rsidRPr="00C358E9" w14:paraId="7A38FB2C" w14:textId="77777777" w:rsidTr="00B032CB">
        <w:tc>
          <w:tcPr>
            <w:tcW w:w="542" w:type="dxa"/>
          </w:tcPr>
          <w:p w14:paraId="013B3755" w14:textId="77777777" w:rsidR="006508F5" w:rsidRPr="00C358E9" w:rsidRDefault="006508F5" w:rsidP="00C65A3F">
            <w:pPr>
              <w:pStyle w:val="a0"/>
              <w:adjustRightInd w:val="0"/>
              <w:snapToGrid w:val="0"/>
              <w:spacing w:before="180" w:after="0"/>
              <w:rPr>
                <w:sz w:val="24"/>
                <w:lang w:eastAsia="zh-TW"/>
              </w:rPr>
            </w:pPr>
          </w:p>
        </w:tc>
        <w:tc>
          <w:tcPr>
            <w:tcW w:w="519" w:type="dxa"/>
            <w:gridSpan w:val="2"/>
          </w:tcPr>
          <w:p w14:paraId="57C66C41" w14:textId="77777777" w:rsidR="006508F5" w:rsidRPr="00C358E9" w:rsidRDefault="006508F5" w:rsidP="00C65A3F">
            <w:pPr>
              <w:pStyle w:val="a0"/>
              <w:adjustRightInd w:val="0"/>
              <w:snapToGrid w:val="0"/>
              <w:spacing w:before="180" w:after="0"/>
              <w:rPr>
                <w:sz w:val="24"/>
                <w:lang w:eastAsia="zh-TW"/>
              </w:rPr>
            </w:pPr>
            <w:r w:rsidRPr="00C358E9">
              <w:rPr>
                <w:sz w:val="24"/>
                <w:lang w:eastAsia="zh-TW"/>
              </w:rPr>
              <w:t>2.3</w:t>
            </w:r>
          </w:p>
        </w:tc>
        <w:tc>
          <w:tcPr>
            <w:tcW w:w="7319" w:type="dxa"/>
            <w:gridSpan w:val="5"/>
          </w:tcPr>
          <w:p w14:paraId="7233D22D" w14:textId="63627410" w:rsidR="006508F5" w:rsidRPr="00C358E9" w:rsidRDefault="00B54B17" w:rsidP="001E74AF">
            <w:pPr>
              <w:pStyle w:val="a0"/>
              <w:adjustRightInd w:val="0"/>
              <w:snapToGrid w:val="0"/>
              <w:spacing w:before="180" w:after="0"/>
              <w:rPr>
                <w:sz w:val="24"/>
                <w:lang w:eastAsia="zh-TW"/>
              </w:rPr>
            </w:pPr>
            <w:r w:rsidRPr="00C358E9">
              <w:rPr>
                <w:sz w:val="24"/>
                <w:lang w:eastAsia="zh-TW"/>
              </w:rPr>
              <w:t xml:space="preserve">The </w:t>
            </w:r>
            <w:r w:rsidR="00F90F85" w:rsidRPr="00C358E9">
              <w:rPr>
                <w:sz w:val="24"/>
                <w:lang w:eastAsia="zh-TW"/>
              </w:rPr>
              <w:t>global business challenges</w:t>
            </w:r>
            <w:r w:rsidR="00C74E8B" w:rsidRPr="00C358E9">
              <w:rPr>
                <w:sz w:val="24"/>
                <w:lang w:eastAsia="zh-TW"/>
              </w:rPr>
              <w:t xml:space="preserve"> and the rationale</w:t>
            </w:r>
            <w:r w:rsidR="002D33B3" w:rsidRPr="00C358E9">
              <w:rPr>
                <w:sz w:val="24"/>
                <w:lang w:eastAsia="zh-TW"/>
              </w:rPr>
              <w:t xml:space="preserve"> for e</w:t>
            </w:r>
            <w:r w:rsidR="00C74E8B" w:rsidRPr="00C358E9">
              <w:rPr>
                <w:sz w:val="24"/>
                <w:lang w:eastAsia="zh-TW"/>
              </w:rPr>
              <w:t xml:space="preserve">xploring </w:t>
            </w:r>
            <w:r w:rsidR="002D33B3" w:rsidRPr="00C358E9">
              <w:rPr>
                <w:sz w:val="24"/>
                <w:lang w:eastAsia="zh-TW"/>
              </w:rPr>
              <w:t>i</w:t>
            </w:r>
            <w:r w:rsidR="00C74E8B" w:rsidRPr="00C358E9">
              <w:rPr>
                <w:sz w:val="24"/>
                <w:lang w:eastAsia="zh-TW"/>
              </w:rPr>
              <w:t xml:space="preserve">nvestment </w:t>
            </w:r>
            <w:r w:rsidR="002D33B3" w:rsidRPr="00C358E9">
              <w:rPr>
                <w:sz w:val="24"/>
                <w:lang w:eastAsia="zh-TW"/>
              </w:rPr>
              <w:t>o</w:t>
            </w:r>
            <w:r w:rsidR="00C74E8B" w:rsidRPr="00C358E9">
              <w:rPr>
                <w:sz w:val="24"/>
                <w:lang w:eastAsia="zh-TW"/>
              </w:rPr>
              <w:t xml:space="preserve">pportunities in </w:t>
            </w:r>
            <w:r w:rsidR="002D33B3" w:rsidRPr="00C358E9">
              <w:rPr>
                <w:sz w:val="24"/>
                <w:lang w:eastAsia="zh-TW"/>
              </w:rPr>
              <w:t>some</w:t>
            </w:r>
            <w:r w:rsidR="00C74E8B" w:rsidRPr="00C358E9">
              <w:rPr>
                <w:sz w:val="24"/>
                <w:lang w:eastAsia="zh-TW"/>
              </w:rPr>
              <w:t xml:space="preserve"> </w:t>
            </w:r>
            <w:r w:rsidR="002D33B3" w:rsidRPr="00C358E9">
              <w:rPr>
                <w:sz w:val="24"/>
                <w:lang w:eastAsia="zh-TW"/>
              </w:rPr>
              <w:t>g</w:t>
            </w:r>
            <w:r w:rsidR="00C74E8B" w:rsidRPr="00C358E9">
              <w:rPr>
                <w:sz w:val="24"/>
                <w:lang w:eastAsia="zh-TW"/>
              </w:rPr>
              <w:t xml:space="preserve">lobal </w:t>
            </w:r>
            <w:r w:rsidR="002D33B3" w:rsidRPr="00C358E9">
              <w:rPr>
                <w:sz w:val="24"/>
                <w:lang w:eastAsia="zh-TW"/>
              </w:rPr>
              <w:t>f</w:t>
            </w:r>
            <w:r w:rsidR="00C74E8B" w:rsidRPr="00C358E9">
              <w:rPr>
                <w:sz w:val="24"/>
                <w:lang w:eastAsia="zh-TW"/>
              </w:rPr>
              <w:t xml:space="preserve">inancial </w:t>
            </w:r>
            <w:r w:rsidR="002D33B3" w:rsidRPr="00C358E9">
              <w:rPr>
                <w:sz w:val="24"/>
                <w:lang w:eastAsia="zh-TW"/>
              </w:rPr>
              <w:t>m</w:t>
            </w:r>
            <w:r w:rsidR="00C74E8B" w:rsidRPr="00C358E9">
              <w:rPr>
                <w:sz w:val="24"/>
                <w:lang w:eastAsia="zh-TW"/>
              </w:rPr>
              <w:t>arket</w:t>
            </w:r>
            <w:r w:rsidR="002D33B3" w:rsidRPr="00C358E9">
              <w:rPr>
                <w:sz w:val="24"/>
                <w:lang w:eastAsia="zh-TW"/>
              </w:rPr>
              <w:t>s</w:t>
            </w:r>
          </w:p>
        </w:tc>
        <w:tc>
          <w:tcPr>
            <w:tcW w:w="690" w:type="dxa"/>
          </w:tcPr>
          <w:p w14:paraId="4913087A" w14:textId="0015BA32" w:rsidR="006508F5" w:rsidRPr="00C358E9" w:rsidRDefault="0010747A" w:rsidP="00C65A3F">
            <w:pPr>
              <w:pStyle w:val="a0"/>
              <w:adjustRightInd w:val="0"/>
              <w:snapToGrid w:val="0"/>
              <w:spacing w:before="180" w:after="0"/>
              <w:jc w:val="center"/>
              <w:rPr>
                <w:sz w:val="24"/>
                <w:lang w:eastAsia="zh-TW"/>
              </w:rPr>
            </w:pPr>
            <w:r>
              <w:rPr>
                <w:rFonts w:hint="eastAsia"/>
                <w:sz w:val="24"/>
                <w:lang w:eastAsia="zh-TW"/>
              </w:rPr>
              <w:t>4</w:t>
            </w:r>
          </w:p>
        </w:tc>
      </w:tr>
      <w:bookmarkEnd w:id="0"/>
      <w:tr w:rsidR="004238D8" w:rsidRPr="00C358E9" w14:paraId="3C838B06" w14:textId="77777777" w:rsidTr="00B032CB">
        <w:tc>
          <w:tcPr>
            <w:tcW w:w="542" w:type="dxa"/>
          </w:tcPr>
          <w:p w14:paraId="7708B26E" w14:textId="77777777" w:rsidR="004238D8" w:rsidRPr="00C358E9" w:rsidRDefault="004238D8" w:rsidP="00C65A3F">
            <w:pPr>
              <w:pStyle w:val="a0"/>
              <w:adjustRightInd w:val="0"/>
              <w:snapToGrid w:val="0"/>
              <w:spacing w:before="180" w:after="0"/>
              <w:rPr>
                <w:sz w:val="24"/>
                <w:lang w:eastAsia="zh-TW"/>
              </w:rPr>
            </w:pPr>
          </w:p>
        </w:tc>
        <w:tc>
          <w:tcPr>
            <w:tcW w:w="7838" w:type="dxa"/>
            <w:gridSpan w:val="7"/>
          </w:tcPr>
          <w:p w14:paraId="23B21216" w14:textId="77777777" w:rsidR="004238D8" w:rsidRPr="00C358E9" w:rsidRDefault="004238D8" w:rsidP="00C65A3F">
            <w:pPr>
              <w:pStyle w:val="a0"/>
              <w:adjustRightInd w:val="0"/>
              <w:snapToGrid w:val="0"/>
              <w:spacing w:before="180" w:after="0"/>
              <w:rPr>
                <w:sz w:val="24"/>
                <w:lang w:eastAsia="zh-TW"/>
              </w:rPr>
            </w:pPr>
          </w:p>
        </w:tc>
        <w:tc>
          <w:tcPr>
            <w:tcW w:w="690" w:type="dxa"/>
          </w:tcPr>
          <w:p w14:paraId="016C8DAB" w14:textId="77777777" w:rsidR="004238D8" w:rsidRPr="00C358E9" w:rsidRDefault="004238D8" w:rsidP="00C65A3F">
            <w:pPr>
              <w:pStyle w:val="a0"/>
              <w:adjustRightInd w:val="0"/>
              <w:snapToGrid w:val="0"/>
              <w:spacing w:before="180" w:after="0"/>
              <w:jc w:val="center"/>
              <w:rPr>
                <w:sz w:val="24"/>
                <w:lang w:eastAsia="zh-TW"/>
              </w:rPr>
            </w:pPr>
          </w:p>
        </w:tc>
      </w:tr>
      <w:tr w:rsidR="00CA1589" w:rsidRPr="00C358E9" w14:paraId="09CF4522" w14:textId="77777777" w:rsidTr="00B032CB">
        <w:tc>
          <w:tcPr>
            <w:tcW w:w="542" w:type="dxa"/>
          </w:tcPr>
          <w:p w14:paraId="1D793DF9" w14:textId="77777777" w:rsidR="00CA1589" w:rsidRPr="00C358E9" w:rsidRDefault="00BE12B2" w:rsidP="00C65A3F">
            <w:pPr>
              <w:pStyle w:val="a0"/>
              <w:adjustRightInd w:val="0"/>
              <w:snapToGrid w:val="0"/>
              <w:spacing w:before="180" w:after="0"/>
              <w:rPr>
                <w:sz w:val="24"/>
                <w:lang w:eastAsia="zh-TW"/>
              </w:rPr>
            </w:pPr>
            <w:bookmarkStart w:id="1" w:name="_Hlk90989623"/>
            <w:r w:rsidRPr="00C358E9">
              <w:rPr>
                <w:sz w:val="24"/>
                <w:lang w:eastAsia="zh-TW"/>
              </w:rPr>
              <w:t>3</w:t>
            </w:r>
          </w:p>
        </w:tc>
        <w:tc>
          <w:tcPr>
            <w:tcW w:w="7838" w:type="dxa"/>
            <w:gridSpan w:val="7"/>
          </w:tcPr>
          <w:p w14:paraId="4F4B41C3" w14:textId="0E069EDA" w:rsidR="00CA1589" w:rsidRPr="00C358E9" w:rsidRDefault="00F90F85" w:rsidP="00C65A3F">
            <w:pPr>
              <w:pStyle w:val="a0"/>
              <w:adjustRightInd w:val="0"/>
              <w:snapToGrid w:val="0"/>
              <w:spacing w:before="180" w:after="0"/>
              <w:rPr>
                <w:rFonts w:eastAsia="標楷體"/>
                <w:sz w:val="24"/>
              </w:rPr>
            </w:pPr>
            <w:r w:rsidRPr="00C358E9">
              <w:rPr>
                <w:rFonts w:eastAsia="標楷體"/>
                <w:sz w:val="24"/>
              </w:rPr>
              <w:t>Characteristics of the chosen global stock market</w:t>
            </w:r>
          </w:p>
        </w:tc>
        <w:tc>
          <w:tcPr>
            <w:tcW w:w="690" w:type="dxa"/>
          </w:tcPr>
          <w:p w14:paraId="1526BA8C" w14:textId="483D9D17" w:rsidR="00CA1589" w:rsidRPr="00C358E9" w:rsidRDefault="00FD03EB" w:rsidP="00C65A3F">
            <w:pPr>
              <w:pStyle w:val="a0"/>
              <w:adjustRightInd w:val="0"/>
              <w:snapToGrid w:val="0"/>
              <w:spacing w:before="180" w:after="0"/>
              <w:jc w:val="center"/>
              <w:rPr>
                <w:sz w:val="24"/>
                <w:lang w:eastAsia="zh-TW"/>
              </w:rPr>
            </w:pPr>
            <w:r>
              <w:rPr>
                <w:rFonts w:hint="eastAsia"/>
                <w:sz w:val="24"/>
                <w:lang w:eastAsia="zh-TW"/>
              </w:rPr>
              <w:t>5</w:t>
            </w:r>
          </w:p>
        </w:tc>
      </w:tr>
      <w:tr w:rsidR="00CA1589" w:rsidRPr="00C358E9" w14:paraId="3DC4D086" w14:textId="77777777" w:rsidTr="00B032CB">
        <w:tc>
          <w:tcPr>
            <w:tcW w:w="542" w:type="dxa"/>
          </w:tcPr>
          <w:p w14:paraId="6F9BECA2" w14:textId="77777777" w:rsidR="00CA1589" w:rsidRPr="00C358E9" w:rsidRDefault="00CA1589" w:rsidP="00C65A3F">
            <w:pPr>
              <w:pStyle w:val="a0"/>
              <w:adjustRightInd w:val="0"/>
              <w:snapToGrid w:val="0"/>
              <w:spacing w:before="180" w:after="0"/>
              <w:rPr>
                <w:sz w:val="24"/>
                <w:lang w:eastAsia="zh-TW"/>
              </w:rPr>
            </w:pPr>
          </w:p>
        </w:tc>
        <w:tc>
          <w:tcPr>
            <w:tcW w:w="519" w:type="dxa"/>
            <w:gridSpan w:val="2"/>
          </w:tcPr>
          <w:p w14:paraId="4BD20766" w14:textId="77777777" w:rsidR="00CA1589" w:rsidRPr="00C358E9" w:rsidRDefault="00CA1589" w:rsidP="00C65A3F">
            <w:pPr>
              <w:pStyle w:val="a0"/>
              <w:adjustRightInd w:val="0"/>
              <w:snapToGrid w:val="0"/>
              <w:spacing w:before="180" w:after="0"/>
              <w:rPr>
                <w:sz w:val="24"/>
                <w:lang w:eastAsia="zh-TW"/>
              </w:rPr>
            </w:pPr>
            <w:r w:rsidRPr="00C358E9">
              <w:rPr>
                <w:sz w:val="24"/>
                <w:lang w:eastAsia="zh-TW"/>
              </w:rPr>
              <w:t>3.1</w:t>
            </w:r>
          </w:p>
        </w:tc>
        <w:tc>
          <w:tcPr>
            <w:tcW w:w="7319" w:type="dxa"/>
            <w:gridSpan w:val="5"/>
          </w:tcPr>
          <w:p w14:paraId="5372BA55" w14:textId="5E08D1B7" w:rsidR="00CA1589" w:rsidRPr="00C358E9" w:rsidRDefault="00F90F85" w:rsidP="00EA0CAE">
            <w:pPr>
              <w:pStyle w:val="a0"/>
              <w:adjustRightInd w:val="0"/>
              <w:snapToGrid w:val="0"/>
              <w:spacing w:before="180" w:after="0"/>
              <w:rPr>
                <w:sz w:val="24"/>
                <w:lang w:eastAsia="zh-TW"/>
              </w:rPr>
            </w:pPr>
            <w:r w:rsidRPr="00C358E9">
              <w:rPr>
                <w:rFonts w:hint="eastAsia"/>
                <w:sz w:val="24"/>
                <w:lang w:eastAsia="zh-TW"/>
              </w:rPr>
              <w:t>A</w:t>
            </w:r>
            <w:r w:rsidRPr="00C358E9">
              <w:rPr>
                <w:sz w:val="24"/>
                <w:lang w:eastAsia="zh-TW"/>
              </w:rPr>
              <w:t xml:space="preserve"> comparison of the stock price index movement </w:t>
            </w:r>
            <w:r w:rsidR="00553A41" w:rsidRPr="00C358E9">
              <w:rPr>
                <w:sz w:val="24"/>
                <w:lang w:eastAsia="zh-TW"/>
              </w:rPr>
              <w:t>between the</w:t>
            </w:r>
            <w:r w:rsidR="00553A41" w:rsidRPr="00C358E9">
              <w:t xml:space="preserve"> </w:t>
            </w:r>
            <w:r w:rsidR="00553A41" w:rsidRPr="00C358E9">
              <w:rPr>
                <w:sz w:val="24"/>
                <w:lang w:eastAsia="zh-TW"/>
              </w:rPr>
              <w:t xml:space="preserve">chosen global stock market and Hong Kong </w:t>
            </w:r>
          </w:p>
        </w:tc>
        <w:tc>
          <w:tcPr>
            <w:tcW w:w="690" w:type="dxa"/>
          </w:tcPr>
          <w:p w14:paraId="73632664" w14:textId="7EC067ED" w:rsidR="00CA1589" w:rsidRPr="00C358E9" w:rsidRDefault="00FD03EB" w:rsidP="00C65A3F">
            <w:pPr>
              <w:pStyle w:val="a0"/>
              <w:adjustRightInd w:val="0"/>
              <w:snapToGrid w:val="0"/>
              <w:spacing w:before="180" w:after="0"/>
              <w:jc w:val="center"/>
              <w:rPr>
                <w:sz w:val="24"/>
                <w:lang w:eastAsia="zh-TW"/>
              </w:rPr>
            </w:pPr>
            <w:r>
              <w:rPr>
                <w:rFonts w:hint="eastAsia"/>
                <w:sz w:val="24"/>
                <w:lang w:eastAsia="zh-TW"/>
              </w:rPr>
              <w:t>5</w:t>
            </w:r>
          </w:p>
        </w:tc>
      </w:tr>
      <w:tr w:rsidR="00CA1589" w:rsidRPr="00C358E9" w14:paraId="684D14CB" w14:textId="77777777" w:rsidTr="00B032CB">
        <w:tc>
          <w:tcPr>
            <w:tcW w:w="542" w:type="dxa"/>
          </w:tcPr>
          <w:p w14:paraId="42808ACF" w14:textId="77777777" w:rsidR="00CA1589" w:rsidRPr="00C358E9" w:rsidRDefault="00CA1589" w:rsidP="00C65A3F">
            <w:pPr>
              <w:pStyle w:val="a0"/>
              <w:adjustRightInd w:val="0"/>
              <w:snapToGrid w:val="0"/>
              <w:spacing w:before="180" w:after="0"/>
              <w:rPr>
                <w:sz w:val="24"/>
                <w:lang w:eastAsia="zh-TW"/>
              </w:rPr>
            </w:pPr>
          </w:p>
        </w:tc>
        <w:tc>
          <w:tcPr>
            <w:tcW w:w="519" w:type="dxa"/>
            <w:gridSpan w:val="2"/>
          </w:tcPr>
          <w:p w14:paraId="5859F0C7" w14:textId="77777777" w:rsidR="00CA1589" w:rsidRPr="00C358E9" w:rsidRDefault="00CA1589" w:rsidP="00C65A3F">
            <w:pPr>
              <w:pStyle w:val="a0"/>
              <w:adjustRightInd w:val="0"/>
              <w:snapToGrid w:val="0"/>
              <w:spacing w:before="180" w:after="0"/>
              <w:rPr>
                <w:sz w:val="24"/>
                <w:lang w:eastAsia="zh-TW"/>
              </w:rPr>
            </w:pPr>
            <w:r w:rsidRPr="00C358E9">
              <w:rPr>
                <w:sz w:val="24"/>
                <w:lang w:eastAsia="zh-TW"/>
              </w:rPr>
              <w:t>3.2</w:t>
            </w:r>
          </w:p>
        </w:tc>
        <w:tc>
          <w:tcPr>
            <w:tcW w:w="7319" w:type="dxa"/>
            <w:gridSpan w:val="5"/>
          </w:tcPr>
          <w:p w14:paraId="0D76EA5F" w14:textId="4ED0FB7A" w:rsidR="00433146" w:rsidRPr="00C358E9" w:rsidRDefault="007F0744" w:rsidP="00C65A3F">
            <w:pPr>
              <w:pStyle w:val="a0"/>
              <w:adjustRightInd w:val="0"/>
              <w:snapToGrid w:val="0"/>
              <w:spacing w:before="180" w:after="0"/>
              <w:rPr>
                <w:sz w:val="24"/>
                <w:lang w:eastAsia="zh-TW"/>
              </w:rPr>
            </w:pPr>
            <w:r w:rsidRPr="00C358E9">
              <w:rPr>
                <w:rFonts w:hint="eastAsia"/>
                <w:sz w:val="24"/>
                <w:lang w:eastAsia="zh-TW"/>
              </w:rPr>
              <w:t>T</w:t>
            </w:r>
            <w:r w:rsidRPr="00C358E9">
              <w:rPr>
                <w:sz w:val="24"/>
                <w:lang w:eastAsia="zh-TW"/>
              </w:rPr>
              <w:t xml:space="preserve">he stock market </w:t>
            </w:r>
            <w:r w:rsidR="00C74E8B" w:rsidRPr="00C358E9">
              <w:rPr>
                <w:sz w:val="24"/>
                <w:lang w:eastAsia="zh-TW"/>
              </w:rPr>
              <w:t>profile</w:t>
            </w:r>
          </w:p>
        </w:tc>
        <w:tc>
          <w:tcPr>
            <w:tcW w:w="690" w:type="dxa"/>
          </w:tcPr>
          <w:p w14:paraId="2609FD74" w14:textId="2FA2CA8C" w:rsidR="00CA1589" w:rsidRPr="00C358E9" w:rsidRDefault="00DB518F" w:rsidP="00C65A3F">
            <w:pPr>
              <w:pStyle w:val="a0"/>
              <w:adjustRightInd w:val="0"/>
              <w:snapToGrid w:val="0"/>
              <w:spacing w:before="180" w:after="0"/>
              <w:jc w:val="center"/>
              <w:rPr>
                <w:sz w:val="24"/>
                <w:lang w:eastAsia="zh-TW"/>
              </w:rPr>
            </w:pPr>
            <w:r>
              <w:rPr>
                <w:rFonts w:hint="eastAsia"/>
                <w:sz w:val="24"/>
                <w:lang w:eastAsia="zh-TW"/>
              </w:rPr>
              <w:t>7</w:t>
            </w:r>
          </w:p>
        </w:tc>
      </w:tr>
      <w:tr w:rsidR="00433146" w:rsidRPr="00C358E9" w14:paraId="1584EC7D" w14:textId="77777777" w:rsidTr="00B032CB">
        <w:tc>
          <w:tcPr>
            <w:tcW w:w="542" w:type="dxa"/>
          </w:tcPr>
          <w:p w14:paraId="62D3BA70" w14:textId="77777777" w:rsidR="00433146" w:rsidRPr="00C358E9" w:rsidRDefault="00433146" w:rsidP="00C65A3F">
            <w:pPr>
              <w:pStyle w:val="a0"/>
              <w:adjustRightInd w:val="0"/>
              <w:snapToGrid w:val="0"/>
              <w:spacing w:before="180" w:after="0"/>
              <w:rPr>
                <w:sz w:val="24"/>
                <w:lang w:eastAsia="zh-TW"/>
              </w:rPr>
            </w:pPr>
          </w:p>
        </w:tc>
        <w:tc>
          <w:tcPr>
            <w:tcW w:w="519" w:type="dxa"/>
            <w:gridSpan w:val="2"/>
          </w:tcPr>
          <w:p w14:paraId="6FA43B44" w14:textId="20F86755" w:rsidR="00433146" w:rsidRPr="00C358E9" w:rsidRDefault="00433146" w:rsidP="00C65A3F">
            <w:pPr>
              <w:pStyle w:val="a0"/>
              <w:adjustRightInd w:val="0"/>
              <w:snapToGrid w:val="0"/>
              <w:spacing w:before="180" w:after="0"/>
              <w:rPr>
                <w:sz w:val="24"/>
                <w:lang w:eastAsia="zh-TW"/>
              </w:rPr>
            </w:pPr>
            <w:r w:rsidRPr="00C358E9">
              <w:rPr>
                <w:sz w:val="24"/>
                <w:lang w:eastAsia="zh-TW"/>
              </w:rPr>
              <w:t>3.3</w:t>
            </w:r>
          </w:p>
        </w:tc>
        <w:tc>
          <w:tcPr>
            <w:tcW w:w="7319" w:type="dxa"/>
            <w:gridSpan w:val="5"/>
          </w:tcPr>
          <w:p w14:paraId="0A82A514" w14:textId="1C83F917" w:rsidR="00433146" w:rsidRPr="00C358E9" w:rsidRDefault="007F0744" w:rsidP="00C65A3F">
            <w:pPr>
              <w:pStyle w:val="a0"/>
              <w:adjustRightInd w:val="0"/>
              <w:snapToGrid w:val="0"/>
              <w:spacing w:before="180" w:after="0"/>
              <w:rPr>
                <w:sz w:val="24"/>
                <w:lang w:eastAsia="zh-TW"/>
              </w:rPr>
            </w:pPr>
            <w:r w:rsidRPr="00C358E9">
              <w:rPr>
                <w:rFonts w:hint="eastAsia"/>
                <w:sz w:val="24"/>
                <w:lang w:eastAsia="zh-TW"/>
              </w:rPr>
              <w:t>T</w:t>
            </w:r>
            <w:r w:rsidRPr="00C358E9">
              <w:rPr>
                <w:sz w:val="24"/>
                <w:lang w:eastAsia="zh-TW"/>
              </w:rPr>
              <w:t>he economic prospect</w:t>
            </w:r>
          </w:p>
        </w:tc>
        <w:tc>
          <w:tcPr>
            <w:tcW w:w="690" w:type="dxa"/>
          </w:tcPr>
          <w:p w14:paraId="5103B007" w14:textId="45E53955" w:rsidR="00433146" w:rsidRPr="00C358E9" w:rsidRDefault="00DB518F" w:rsidP="00C65A3F">
            <w:pPr>
              <w:pStyle w:val="a0"/>
              <w:adjustRightInd w:val="0"/>
              <w:snapToGrid w:val="0"/>
              <w:spacing w:before="180" w:after="0"/>
              <w:jc w:val="center"/>
              <w:rPr>
                <w:sz w:val="24"/>
                <w:lang w:eastAsia="zh-TW"/>
              </w:rPr>
            </w:pPr>
            <w:r>
              <w:rPr>
                <w:rFonts w:hint="eastAsia"/>
                <w:sz w:val="24"/>
                <w:lang w:eastAsia="zh-TW"/>
              </w:rPr>
              <w:t>1</w:t>
            </w:r>
            <w:r>
              <w:rPr>
                <w:sz w:val="24"/>
                <w:lang w:eastAsia="zh-TW"/>
              </w:rPr>
              <w:t>0</w:t>
            </w:r>
          </w:p>
        </w:tc>
      </w:tr>
      <w:bookmarkEnd w:id="1"/>
      <w:tr w:rsidR="00CA1589" w:rsidRPr="00C358E9" w14:paraId="5E5DA4C8" w14:textId="77777777" w:rsidTr="00B032CB">
        <w:tc>
          <w:tcPr>
            <w:tcW w:w="542" w:type="dxa"/>
          </w:tcPr>
          <w:p w14:paraId="70239ECA" w14:textId="77777777" w:rsidR="00CA1589" w:rsidRPr="00C358E9" w:rsidRDefault="00CA1589" w:rsidP="00C65A3F">
            <w:pPr>
              <w:pStyle w:val="a0"/>
              <w:adjustRightInd w:val="0"/>
              <w:snapToGrid w:val="0"/>
              <w:spacing w:before="180" w:after="0"/>
              <w:rPr>
                <w:sz w:val="24"/>
                <w:lang w:eastAsia="zh-TW"/>
              </w:rPr>
            </w:pPr>
          </w:p>
        </w:tc>
        <w:tc>
          <w:tcPr>
            <w:tcW w:w="7838" w:type="dxa"/>
            <w:gridSpan w:val="7"/>
          </w:tcPr>
          <w:p w14:paraId="218F8C91" w14:textId="77777777" w:rsidR="00CA1589" w:rsidRPr="00C358E9" w:rsidRDefault="00CA1589" w:rsidP="00C65A3F">
            <w:pPr>
              <w:pStyle w:val="a0"/>
              <w:adjustRightInd w:val="0"/>
              <w:snapToGrid w:val="0"/>
              <w:spacing w:before="180" w:after="0"/>
              <w:rPr>
                <w:sz w:val="24"/>
                <w:lang w:eastAsia="zh-TW"/>
              </w:rPr>
            </w:pPr>
          </w:p>
        </w:tc>
        <w:tc>
          <w:tcPr>
            <w:tcW w:w="690" w:type="dxa"/>
          </w:tcPr>
          <w:p w14:paraId="1B1060C8" w14:textId="77777777" w:rsidR="00CA1589" w:rsidRPr="00C358E9" w:rsidRDefault="00CA1589" w:rsidP="00C65A3F">
            <w:pPr>
              <w:pStyle w:val="a0"/>
              <w:adjustRightInd w:val="0"/>
              <w:snapToGrid w:val="0"/>
              <w:spacing w:before="180" w:after="0"/>
              <w:jc w:val="center"/>
              <w:rPr>
                <w:sz w:val="24"/>
                <w:lang w:eastAsia="zh-TW"/>
              </w:rPr>
            </w:pPr>
          </w:p>
        </w:tc>
      </w:tr>
      <w:tr w:rsidR="00CA1589" w:rsidRPr="00C358E9" w14:paraId="180A2CEF" w14:textId="77777777" w:rsidTr="00B032CB">
        <w:tc>
          <w:tcPr>
            <w:tcW w:w="542" w:type="dxa"/>
          </w:tcPr>
          <w:p w14:paraId="49877B7A" w14:textId="77777777" w:rsidR="00CA1589" w:rsidRPr="00C358E9" w:rsidRDefault="00CA1589" w:rsidP="00C65A3F">
            <w:pPr>
              <w:pStyle w:val="a0"/>
              <w:adjustRightInd w:val="0"/>
              <w:snapToGrid w:val="0"/>
              <w:spacing w:before="180" w:after="0"/>
              <w:rPr>
                <w:sz w:val="24"/>
                <w:lang w:eastAsia="zh-TW"/>
              </w:rPr>
            </w:pPr>
            <w:bookmarkStart w:id="2" w:name="_Hlk90989745"/>
            <w:r w:rsidRPr="00C358E9">
              <w:rPr>
                <w:sz w:val="24"/>
                <w:lang w:eastAsia="zh-TW"/>
              </w:rPr>
              <w:t>4</w:t>
            </w:r>
          </w:p>
        </w:tc>
        <w:tc>
          <w:tcPr>
            <w:tcW w:w="7838" w:type="dxa"/>
            <w:gridSpan w:val="7"/>
          </w:tcPr>
          <w:p w14:paraId="6D98C398" w14:textId="1C8087AF" w:rsidR="00CA1589" w:rsidRPr="00C358E9" w:rsidRDefault="00CA1589" w:rsidP="00C65A3F">
            <w:pPr>
              <w:pStyle w:val="a0"/>
              <w:adjustRightInd w:val="0"/>
              <w:snapToGrid w:val="0"/>
              <w:spacing w:before="180" w:after="0"/>
              <w:rPr>
                <w:sz w:val="24"/>
                <w:lang w:eastAsia="zh-TW"/>
              </w:rPr>
            </w:pPr>
            <w:r w:rsidRPr="00C358E9">
              <w:rPr>
                <w:sz w:val="24"/>
                <w:lang w:eastAsia="zh-TW"/>
              </w:rPr>
              <w:t xml:space="preserve">Analysis and discussion </w:t>
            </w:r>
          </w:p>
        </w:tc>
        <w:tc>
          <w:tcPr>
            <w:tcW w:w="690" w:type="dxa"/>
          </w:tcPr>
          <w:p w14:paraId="18949AFA" w14:textId="1184AF31" w:rsidR="00CA1589" w:rsidRPr="00C358E9" w:rsidRDefault="00E45659" w:rsidP="00C65A3F">
            <w:pPr>
              <w:pStyle w:val="a0"/>
              <w:adjustRightInd w:val="0"/>
              <w:snapToGrid w:val="0"/>
              <w:spacing w:before="180" w:after="0"/>
              <w:jc w:val="center"/>
              <w:rPr>
                <w:sz w:val="24"/>
                <w:lang w:eastAsia="zh-TW"/>
              </w:rPr>
            </w:pPr>
            <w:r>
              <w:rPr>
                <w:sz w:val="24"/>
                <w:lang w:eastAsia="zh-TW"/>
              </w:rPr>
              <w:t>16</w:t>
            </w:r>
          </w:p>
        </w:tc>
      </w:tr>
      <w:tr w:rsidR="00CA1589" w:rsidRPr="00C358E9" w14:paraId="5BD5FCAB" w14:textId="77777777" w:rsidTr="00B032CB">
        <w:tc>
          <w:tcPr>
            <w:tcW w:w="542" w:type="dxa"/>
          </w:tcPr>
          <w:p w14:paraId="596A8492" w14:textId="77777777" w:rsidR="00CA1589" w:rsidRPr="00C358E9" w:rsidRDefault="00CA1589" w:rsidP="00C65A3F">
            <w:pPr>
              <w:pStyle w:val="a0"/>
              <w:adjustRightInd w:val="0"/>
              <w:snapToGrid w:val="0"/>
              <w:spacing w:before="180" w:after="0"/>
              <w:rPr>
                <w:sz w:val="24"/>
                <w:lang w:eastAsia="zh-TW"/>
              </w:rPr>
            </w:pPr>
          </w:p>
        </w:tc>
        <w:tc>
          <w:tcPr>
            <w:tcW w:w="564" w:type="dxa"/>
            <w:gridSpan w:val="4"/>
          </w:tcPr>
          <w:p w14:paraId="666CB445" w14:textId="77777777" w:rsidR="00CA1589" w:rsidRPr="00C358E9" w:rsidRDefault="00BE12B2" w:rsidP="00C65A3F">
            <w:pPr>
              <w:pStyle w:val="a0"/>
              <w:adjustRightInd w:val="0"/>
              <w:snapToGrid w:val="0"/>
              <w:spacing w:before="180" w:after="0"/>
              <w:rPr>
                <w:sz w:val="24"/>
                <w:lang w:eastAsia="zh-TW"/>
              </w:rPr>
            </w:pPr>
            <w:r w:rsidRPr="00C358E9">
              <w:rPr>
                <w:sz w:val="24"/>
                <w:lang w:eastAsia="zh-TW"/>
              </w:rPr>
              <w:t>4</w:t>
            </w:r>
            <w:r w:rsidR="00CA1589" w:rsidRPr="00C358E9">
              <w:rPr>
                <w:sz w:val="24"/>
                <w:lang w:eastAsia="zh-TW"/>
              </w:rPr>
              <w:t>.1</w:t>
            </w:r>
          </w:p>
        </w:tc>
        <w:tc>
          <w:tcPr>
            <w:tcW w:w="7274" w:type="dxa"/>
            <w:gridSpan w:val="3"/>
          </w:tcPr>
          <w:p w14:paraId="734CB619" w14:textId="568226B9" w:rsidR="00CA1589" w:rsidRPr="00C358E9" w:rsidRDefault="00B37B4D" w:rsidP="00C65A3F">
            <w:pPr>
              <w:adjustRightInd w:val="0"/>
              <w:snapToGrid w:val="0"/>
              <w:spacing w:before="180"/>
              <w:jc w:val="both"/>
            </w:pPr>
            <w:r w:rsidRPr="00C358E9">
              <w:rPr>
                <w:rFonts w:hint="eastAsia"/>
              </w:rPr>
              <w:t>I</w:t>
            </w:r>
            <w:r w:rsidRPr="00C358E9">
              <w:t>nvestment return</w:t>
            </w:r>
          </w:p>
        </w:tc>
        <w:tc>
          <w:tcPr>
            <w:tcW w:w="690" w:type="dxa"/>
          </w:tcPr>
          <w:p w14:paraId="60F2C0A9" w14:textId="321CDE92" w:rsidR="00CA1589" w:rsidRPr="00C358E9" w:rsidRDefault="00E45659" w:rsidP="00C65A3F">
            <w:pPr>
              <w:pStyle w:val="a0"/>
              <w:adjustRightInd w:val="0"/>
              <w:snapToGrid w:val="0"/>
              <w:spacing w:before="180" w:after="0"/>
              <w:jc w:val="center"/>
              <w:rPr>
                <w:sz w:val="24"/>
                <w:lang w:eastAsia="zh-TW"/>
              </w:rPr>
            </w:pPr>
            <w:r>
              <w:rPr>
                <w:rFonts w:hint="eastAsia"/>
                <w:sz w:val="24"/>
                <w:lang w:eastAsia="zh-TW"/>
              </w:rPr>
              <w:t>1</w:t>
            </w:r>
            <w:r>
              <w:rPr>
                <w:sz w:val="24"/>
                <w:lang w:eastAsia="zh-TW"/>
              </w:rPr>
              <w:t>6</w:t>
            </w:r>
          </w:p>
        </w:tc>
      </w:tr>
      <w:tr w:rsidR="00372343" w:rsidRPr="00C358E9" w14:paraId="0F5692ED" w14:textId="77777777" w:rsidTr="00B032CB">
        <w:tc>
          <w:tcPr>
            <w:tcW w:w="542" w:type="dxa"/>
          </w:tcPr>
          <w:p w14:paraId="3B4B0DD4" w14:textId="77777777" w:rsidR="00372343" w:rsidRPr="00C358E9" w:rsidRDefault="00372343" w:rsidP="00372343">
            <w:pPr>
              <w:pStyle w:val="a0"/>
              <w:adjustRightInd w:val="0"/>
              <w:snapToGrid w:val="0"/>
              <w:spacing w:before="180" w:after="0"/>
              <w:rPr>
                <w:sz w:val="24"/>
                <w:lang w:eastAsia="zh-TW"/>
              </w:rPr>
            </w:pPr>
          </w:p>
        </w:tc>
        <w:tc>
          <w:tcPr>
            <w:tcW w:w="564" w:type="dxa"/>
            <w:gridSpan w:val="4"/>
          </w:tcPr>
          <w:p w14:paraId="495E5276" w14:textId="77777777" w:rsidR="00372343" w:rsidRPr="00C358E9" w:rsidRDefault="00372343" w:rsidP="00372343">
            <w:pPr>
              <w:pStyle w:val="a0"/>
              <w:adjustRightInd w:val="0"/>
              <w:snapToGrid w:val="0"/>
              <w:spacing w:before="180" w:after="0"/>
              <w:rPr>
                <w:sz w:val="24"/>
                <w:lang w:eastAsia="zh-TW"/>
              </w:rPr>
            </w:pPr>
          </w:p>
        </w:tc>
        <w:tc>
          <w:tcPr>
            <w:tcW w:w="626" w:type="dxa"/>
            <w:gridSpan w:val="2"/>
          </w:tcPr>
          <w:p w14:paraId="428E478B" w14:textId="77777777" w:rsidR="00372343" w:rsidRPr="00C358E9" w:rsidRDefault="00372343" w:rsidP="00372343">
            <w:pPr>
              <w:adjustRightInd w:val="0"/>
              <w:snapToGrid w:val="0"/>
              <w:spacing w:before="180"/>
              <w:jc w:val="both"/>
            </w:pPr>
            <w:r w:rsidRPr="00C358E9">
              <w:t>4.1.1</w:t>
            </w:r>
          </w:p>
        </w:tc>
        <w:tc>
          <w:tcPr>
            <w:tcW w:w="6648" w:type="dxa"/>
          </w:tcPr>
          <w:p w14:paraId="675B6EB1" w14:textId="324B22E1" w:rsidR="00372343" w:rsidRPr="00C358E9" w:rsidRDefault="00BC3940" w:rsidP="00372343">
            <w:pPr>
              <w:adjustRightInd w:val="0"/>
              <w:snapToGrid w:val="0"/>
              <w:spacing w:before="180"/>
              <w:jc w:val="both"/>
            </w:pPr>
            <w:r w:rsidRPr="00C358E9">
              <w:t>C</w:t>
            </w:r>
            <w:r w:rsidR="002D33B3" w:rsidRPr="00C358E9">
              <w:t>apital return</w:t>
            </w:r>
            <w:r w:rsidRPr="00C358E9">
              <w:t xml:space="preserve"> </w:t>
            </w:r>
          </w:p>
        </w:tc>
        <w:tc>
          <w:tcPr>
            <w:tcW w:w="690" w:type="dxa"/>
          </w:tcPr>
          <w:p w14:paraId="39B27C47" w14:textId="667A461E" w:rsidR="00372343" w:rsidRPr="00C358E9" w:rsidRDefault="00E45659" w:rsidP="00E45659">
            <w:pPr>
              <w:spacing w:before="180"/>
              <w:ind w:firstLineChars="100" w:firstLine="240"/>
            </w:pPr>
            <w:r>
              <w:rPr>
                <w:rFonts w:hint="eastAsia"/>
              </w:rPr>
              <w:t>1</w:t>
            </w:r>
            <w:r>
              <w:t>7</w:t>
            </w:r>
          </w:p>
        </w:tc>
      </w:tr>
      <w:tr w:rsidR="00372343" w:rsidRPr="00C358E9" w14:paraId="32512C38" w14:textId="77777777" w:rsidTr="00B032CB">
        <w:tc>
          <w:tcPr>
            <w:tcW w:w="542" w:type="dxa"/>
          </w:tcPr>
          <w:p w14:paraId="074F4D7E" w14:textId="77777777" w:rsidR="00372343" w:rsidRPr="00C358E9" w:rsidRDefault="00372343" w:rsidP="00372343">
            <w:pPr>
              <w:pStyle w:val="a0"/>
              <w:adjustRightInd w:val="0"/>
              <w:snapToGrid w:val="0"/>
              <w:spacing w:before="180" w:after="0"/>
              <w:rPr>
                <w:sz w:val="24"/>
                <w:lang w:eastAsia="zh-TW"/>
              </w:rPr>
            </w:pPr>
          </w:p>
        </w:tc>
        <w:tc>
          <w:tcPr>
            <w:tcW w:w="564" w:type="dxa"/>
            <w:gridSpan w:val="4"/>
          </w:tcPr>
          <w:p w14:paraId="085C8184" w14:textId="77777777" w:rsidR="00372343" w:rsidRPr="00C358E9" w:rsidRDefault="00372343" w:rsidP="00372343">
            <w:pPr>
              <w:pStyle w:val="a0"/>
              <w:adjustRightInd w:val="0"/>
              <w:snapToGrid w:val="0"/>
              <w:spacing w:before="180" w:after="0"/>
              <w:rPr>
                <w:sz w:val="24"/>
                <w:lang w:eastAsia="zh-TW"/>
              </w:rPr>
            </w:pPr>
          </w:p>
        </w:tc>
        <w:tc>
          <w:tcPr>
            <w:tcW w:w="626" w:type="dxa"/>
            <w:gridSpan w:val="2"/>
          </w:tcPr>
          <w:p w14:paraId="5FE154E8" w14:textId="77777777" w:rsidR="00372343" w:rsidRPr="00C358E9" w:rsidRDefault="00372343" w:rsidP="00372343">
            <w:pPr>
              <w:adjustRightInd w:val="0"/>
              <w:snapToGrid w:val="0"/>
              <w:spacing w:before="180"/>
              <w:jc w:val="both"/>
            </w:pPr>
            <w:r w:rsidRPr="00C358E9">
              <w:t>4.1.2</w:t>
            </w:r>
          </w:p>
        </w:tc>
        <w:tc>
          <w:tcPr>
            <w:tcW w:w="6648" w:type="dxa"/>
          </w:tcPr>
          <w:p w14:paraId="62832BB6" w14:textId="45C2521E" w:rsidR="00372343" w:rsidRPr="00C358E9" w:rsidRDefault="002D33B3" w:rsidP="00372343">
            <w:pPr>
              <w:adjustRightInd w:val="0"/>
              <w:snapToGrid w:val="0"/>
              <w:spacing w:before="180"/>
              <w:jc w:val="both"/>
            </w:pPr>
            <w:r w:rsidRPr="00C358E9">
              <w:rPr>
                <w:rFonts w:hint="eastAsia"/>
              </w:rPr>
              <w:t>I</w:t>
            </w:r>
            <w:r w:rsidRPr="00C358E9">
              <w:t>ncome return</w:t>
            </w:r>
          </w:p>
        </w:tc>
        <w:tc>
          <w:tcPr>
            <w:tcW w:w="690" w:type="dxa"/>
          </w:tcPr>
          <w:p w14:paraId="5D30C061" w14:textId="4ECD68E9" w:rsidR="00372343" w:rsidRPr="00C358E9" w:rsidRDefault="00E45659" w:rsidP="00E45659">
            <w:pPr>
              <w:spacing w:before="180"/>
              <w:ind w:firstLineChars="50" w:firstLine="120"/>
            </w:pPr>
            <w:r>
              <w:rPr>
                <w:rFonts w:hint="eastAsia"/>
              </w:rPr>
              <w:t>1</w:t>
            </w:r>
            <w:r w:rsidR="003B343D">
              <w:t>7</w:t>
            </w:r>
          </w:p>
        </w:tc>
      </w:tr>
      <w:tr w:rsidR="00F3790B" w:rsidRPr="00C358E9" w14:paraId="710D5C09" w14:textId="77777777" w:rsidTr="00B032CB">
        <w:tc>
          <w:tcPr>
            <w:tcW w:w="542" w:type="dxa"/>
          </w:tcPr>
          <w:p w14:paraId="737DC58A" w14:textId="77777777" w:rsidR="00F3790B" w:rsidRPr="00C358E9" w:rsidRDefault="00F3790B" w:rsidP="00372343">
            <w:pPr>
              <w:pStyle w:val="a0"/>
              <w:adjustRightInd w:val="0"/>
              <w:snapToGrid w:val="0"/>
              <w:spacing w:before="180" w:after="0"/>
              <w:rPr>
                <w:sz w:val="24"/>
                <w:lang w:eastAsia="zh-TW"/>
              </w:rPr>
            </w:pPr>
          </w:p>
        </w:tc>
        <w:tc>
          <w:tcPr>
            <w:tcW w:w="564" w:type="dxa"/>
            <w:gridSpan w:val="4"/>
          </w:tcPr>
          <w:p w14:paraId="3B104362" w14:textId="77777777" w:rsidR="00F3790B" w:rsidRPr="00C358E9" w:rsidRDefault="00F3790B" w:rsidP="00372343">
            <w:pPr>
              <w:pStyle w:val="a0"/>
              <w:adjustRightInd w:val="0"/>
              <w:snapToGrid w:val="0"/>
              <w:spacing w:before="180" w:after="0"/>
              <w:rPr>
                <w:sz w:val="24"/>
                <w:lang w:eastAsia="zh-TW"/>
              </w:rPr>
            </w:pPr>
          </w:p>
        </w:tc>
        <w:tc>
          <w:tcPr>
            <w:tcW w:w="626" w:type="dxa"/>
            <w:gridSpan w:val="2"/>
          </w:tcPr>
          <w:p w14:paraId="79F5D101" w14:textId="0F04606B" w:rsidR="00F3790B" w:rsidRPr="00C358E9" w:rsidRDefault="00F3790B" w:rsidP="00372343">
            <w:pPr>
              <w:adjustRightInd w:val="0"/>
              <w:snapToGrid w:val="0"/>
              <w:spacing w:before="180"/>
              <w:jc w:val="both"/>
            </w:pPr>
            <w:r w:rsidRPr="00C358E9">
              <w:rPr>
                <w:rFonts w:hint="eastAsia"/>
              </w:rPr>
              <w:t>4</w:t>
            </w:r>
            <w:r w:rsidRPr="00C358E9">
              <w:t>.1.3</w:t>
            </w:r>
          </w:p>
        </w:tc>
        <w:tc>
          <w:tcPr>
            <w:tcW w:w="6648" w:type="dxa"/>
          </w:tcPr>
          <w:p w14:paraId="665FFB5D" w14:textId="1279DA85" w:rsidR="00F3790B" w:rsidRPr="00C358E9" w:rsidRDefault="002D33B3" w:rsidP="00372343">
            <w:pPr>
              <w:adjustRightInd w:val="0"/>
              <w:snapToGrid w:val="0"/>
              <w:spacing w:before="180"/>
              <w:jc w:val="both"/>
            </w:pPr>
            <w:r w:rsidRPr="00C358E9">
              <w:t>Equity premium</w:t>
            </w:r>
          </w:p>
        </w:tc>
        <w:tc>
          <w:tcPr>
            <w:tcW w:w="690" w:type="dxa"/>
          </w:tcPr>
          <w:p w14:paraId="0B3AFD20" w14:textId="516ABB49" w:rsidR="00F3790B" w:rsidRPr="00C358E9" w:rsidRDefault="00E45659" w:rsidP="00E45659">
            <w:pPr>
              <w:spacing w:before="180"/>
              <w:ind w:firstLineChars="100" w:firstLine="240"/>
            </w:pPr>
            <w:r>
              <w:rPr>
                <w:rFonts w:hint="eastAsia"/>
              </w:rPr>
              <w:t>1</w:t>
            </w:r>
            <w:r>
              <w:t>8</w:t>
            </w:r>
          </w:p>
        </w:tc>
      </w:tr>
      <w:tr w:rsidR="00372343" w:rsidRPr="00C358E9" w14:paraId="62D66AFF" w14:textId="77777777" w:rsidTr="00B032CB">
        <w:tc>
          <w:tcPr>
            <w:tcW w:w="542" w:type="dxa"/>
          </w:tcPr>
          <w:p w14:paraId="6F1A3828" w14:textId="77777777" w:rsidR="00372343" w:rsidRPr="00C358E9" w:rsidRDefault="00372343" w:rsidP="00372343">
            <w:pPr>
              <w:pStyle w:val="a0"/>
              <w:adjustRightInd w:val="0"/>
              <w:snapToGrid w:val="0"/>
              <w:spacing w:before="180" w:after="0"/>
              <w:rPr>
                <w:sz w:val="24"/>
                <w:lang w:eastAsia="zh-TW"/>
              </w:rPr>
            </w:pPr>
          </w:p>
        </w:tc>
        <w:tc>
          <w:tcPr>
            <w:tcW w:w="564" w:type="dxa"/>
            <w:gridSpan w:val="4"/>
          </w:tcPr>
          <w:p w14:paraId="5BE9523D" w14:textId="77777777" w:rsidR="00372343" w:rsidRPr="00C358E9" w:rsidRDefault="00372343" w:rsidP="00372343">
            <w:pPr>
              <w:pStyle w:val="a0"/>
              <w:adjustRightInd w:val="0"/>
              <w:snapToGrid w:val="0"/>
              <w:spacing w:before="180" w:after="0"/>
              <w:rPr>
                <w:sz w:val="24"/>
                <w:lang w:eastAsia="zh-TW"/>
              </w:rPr>
            </w:pPr>
            <w:r w:rsidRPr="00C358E9">
              <w:rPr>
                <w:sz w:val="24"/>
                <w:lang w:eastAsia="zh-TW"/>
              </w:rPr>
              <w:t>4.2</w:t>
            </w:r>
          </w:p>
        </w:tc>
        <w:tc>
          <w:tcPr>
            <w:tcW w:w="7274" w:type="dxa"/>
            <w:gridSpan w:val="3"/>
          </w:tcPr>
          <w:p w14:paraId="2104C3CE" w14:textId="7FCCAEC9" w:rsidR="00372343" w:rsidRPr="00C358E9" w:rsidRDefault="00B37B4D" w:rsidP="00372343">
            <w:pPr>
              <w:pStyle w:val="a0"/>
              <w:adjustRightInd w:val="0"/>
              <w:snapToGrid w:val="0"/>
              <w:spacing w:before="180" w:after="0"/>
              <w:rPr>
                <w:sz w:val="24"/>
                <w:szCs w:val="24"/>
                <w:lang w:eastAsia="zh-TW"/>
              </w:rPr>
            </w:pPr>
            <w:r w:rsidRPr="00C358E9">
              <w:rPr>
                <w:rFonts w:hint="eastAsia"/>
                <w:sz w:val="24"/>
                <w:szCs w:val="24"/>
                <w:lang w:eastAsia="zh-TW"/>
              </w:rPr>
              <w:t>I</w:t>
            </w:r>
            <w:r w:rsidRPr="00C358E9">
              <w:rPr>
                <w:sz w:val="24"/>
                <w:szCs w:val="24"/>
                <w:lang w:eastAsia="zh-TW"/>
              </w:rPr>
              <w:t>nvestment risk</w:t>
            </w:r>
          </w:p>
        </w:tc>
        <w:tc>
          <w:tcPr>
            <w:tcW w:w="690" w:type="dxa"/>
          </w:tcPr>
          <w:p w14:paraId="4ED880EA" w14:textId="7C6EB9DA" w:rsidR="00372343" w:rsidRPr="00C358E9" w:rsidRDefault="009115E9" w:rsidP="00372343">
            <w:pPr>
              <w:pStyle w:val="a0"/>
              <w:adjustRightInd w:val="0"/>
              <w:snapToGrid w:val="0"/>
              <w:spacing w:before="180" w:after="0"/>
              <w:jc w:val="center"/>
              <w:rPr>
                <w:sz w:val="24"/>
                <w:lang w:eastAsia="zh-TW"/>
              </w:rPr>
            </w:pPr>
            <w:r>
              <w:rPr>
                <w:rFonts w:hint="eastAsia"/>
                <w:sz w:val="24"/>
                <w:lang w:eastAsia="zh-TW"/>
              </w:rPr>
              <w:t>1</w:t>
            </w:r>
            <w:r>
              <w:rPr>
                <w:sz w:val="24"/>
                <w:lang w:eastAsia="zh-TW"/>
              </w:rPr>
              <w:t>9</w:t>
            </w:r>
          </w:p>
        </w:tc>
      </w:tr>
      <w:tr w:rsidR="00372343" w:rsidRPr="00C358E9" w14:paraId="6E7A47BE" w14:textId="77777777" w:rsidTr="00B032CB">
        <w:tc>
          <w:tcPr>
            <w:tcW w:w="542" w:type="dxa"/>
          </w:tcPr>
          <w:p w14:paraId="56D3983F" w14:textId="77777777" w:rsidR="00372343" w:rsidRPr="00C358E9" w:rsidRDefault="00372343" w:rsidP="00372343">
            <w:pPr>
              <w:pStyle w:val="a0"/>
              <w:adjustRightInd w:val="0"/>
              <w:snapToGrid w:val="0"/>
              <w:spacing w:before="180" w:after="0"/>
              <w:rPr>
                <w:sz w:val="24"/>
                <w:lang w:eastAsia="zh-TW"/>
              </w:rPr>
            </w:pPr>
          </w:p>
        </w:tc>
        <w:tc>
          <w:tcPr>
            <w:tcW w:w="564" w:type="dxa"/>
            <w:gridSpan w:val="4"/>
          </w:tcPr>
          <w:p w14:paraId="0E847A0A" w14:textId="77777777" w:rsidR="00372343" w:rsidRPr="00C358E9" w:rsidRDefault="00372343" w:rsidP="00372343">
            <w:pPr>
              <w:pStyle w:val="a0"/>
              <w:adjustRightInd w:val="0"/>
              <w:snapToGrid w:val="0"/>
              <w:spacing w:before="180" w:after="0"/>
              <w:rPr>
                <w:sz w:val="24"/>
                <w:lang w:eastAsia="zh-TW"/>
              </w:rPr>
            </w:pPr>
          </w:p>
        </w:tc>
        <w:tc>
          <w:tcPr>
            <w:tcW w:w="614" w:type="dxa"/>
          </w:tcPr>
          <w:p w14:paraId="0B4A7A3F" w14:textId="77777777" w:rsidR="00372343" w:rsidRPr="00C358E9" w:rsidRDefault="00372343" w:rsidP="00372343">
            <w:pPr>
              <w:pStyle w:val="a0"/>
              <w:adjustRightInd w:val="0"/>
              <w:snapToGrid w:val="0"/>
              <w:spacing w:before="180" w:after="0"/>
              <w:rPr>
                <w:sz w:val="24"/>
                <w:szCs w:val="24"/>
                <w:lang w:eastAsia="zh-TW"/>
              </w:rPr>
            </w:pPr>
            <w:r w:rsidRPr="00C358E9">
              <w:rPr>
                <w:sz w:val="24"/>
                <w:szCs w:val="24"/>
                <w:lang w:eastAsia="zh-TW"/>
              </w:rPr>
              <w:t>4.2.1</w:t>
            </w:r>
          </w:p>
        </w:tc>
        <w:tc>
          <w:tcPr>
            <w:tcW w:w="6660" w:type="dxa"/>
            <w:gridSpan w:val="2"/>
          </w:tcPr>
          <w:p w14:paraId="43408799" w14:textId="103B25BD" w:rsidR="00372343" w:rsidRPr="00C358E9" w:rsidRDefault="00B37B4D" w:rsidP="00372343">
            <w:pPr>
              <w:pStyle w:val="a0"/>
              <w:adjustRightInd w:val="0"/>
              <w:snapToGrid w:val="0"/>
              <w:spacing w:before="180" w:after="0"/>
              <w:rPr>
                <w:sz w:val="24"/>
                <w:szCs w:val="24"/>
                <w:lang w:eastAsia="zh-TW"/>
              </w:rPr>
            </w:pPr>
            <w:r w:rsidRPr="00C358E9">
              <w:rPr>
                <w:rFonts w:hint="eastAsia"/>
                <w:sz w:val="24"/>
                <w:szCs w:val="24"/>
                <w:lang w:eastAsia="zh-TW"/>
              </w:rPr>
              <w:t>S</w:t>
            </w:r>
            <w:r w:rsidRPr="00C358E9">
              <w:rPr>
                <w:sz w:val="24"/>
                <w:szCs w:val="24"/>
                <w:lang w:eastAsia="zh-TW"/>
              </w:rPr>
              <w:t xml:space="preserve">tock price volatility </w:t>
            </w:r>
          </w:p>
        </w:tc>
        <w:tc>
          <w:tcPr>
            <w:tcW w:w="690" w:type="dxa"/>
          </w:tcPr>
          <w:p w14:paraId="1D9EC1B7" w14:textId="4A50F025" w:rsidR="00372343" w:rsidRPr="00C358E9" w:rsidRDefault="009115E9" w:rsidP="00372343">
            <w:pPr>
              <w:pStyle w:val="a0"/>
              <w:adjustRightInd w:val="0"/>
              <w:snapToGrid w:val="0"/>
              <w:spacing w:before="180" w:after="0"/>
              <w:jc w:val="center"/>
              <w:rPr>
                <w:sz w:val="24"/>
                <w:lang w:eastAsia="zh-TW"/>
              </w:rPr>
            </w:pPr>
            <w:r>
              <w:rPr>
                <w:rFonts w:hint="eastAsia"/>
                <w:sz w:val="24"/>
                <w:lang w:eastAsia="zh-TW"/>
              </w:rPr>
              <w:t>1</w:t>
            </w:r>
            <w:r>
              <w:rPr>
                <w:sz w:val="24"/>
                <w:lang w:eastAsia="zh-TW"/>
              </w:rPr>
              <w:t>9</w:t>
            </w:r>
          </w:p>
        </w:tc>
      </w:tr>
      <w:tr w:rsidR="00372343" w:rsidRPr="00C358E9" w14:paraId="7780D126" w14:textId="77777777" w:rsidTr="00B032CB">
        <w:tc>
          <w:tcPr>
            <w:tcW w:w="542" w:type="dxa"/>
          </w:tcPr>
          <w:p w14:paraId="641F420D" w14:textId="77777777" w:rsidR="00372343" w:rsidRPr="00C358E9" w:rsidRDefault="00372343" w:rsidP="00372343">
            <w:pPr>
              <w:pStyle w:val="a0"/>
              <w:adjustRightInd w:val="0"/>
              <w:snapToGrid w:val="0"/>
              <w:spacing w:before="180" w:after="0"/>
              <w:rPr>
                <w:sz w:val="24"/>
                <w:lang w:eastAsia="zh-TW"/>
              </w:rPr>
            </w:pPr>
          </w:p>
        </w:tc>
        <w:tc>
          <w:tcPr>
            <w:tcW w:w="564" w:type="dxa"/>
            <w:gridSpan w:val="4"/>
          </w:tcPr>
          <w:p w14:paraId="1E35DAA5" w14:textId="77777777" w:rsidR="00372343" w:rsidRPr="00C358E9" w:rsidRDefault="00372343" w:rsidP="00372343">
            <w:pPr>
              <w:pStyle w:val="a0"/>
              <w:adjustRightInd w:val="0"/>
              <w:snapToGrid w:val="0"/>
              <w:spacing w:before="180" w:after="0"/>
              <w:rPr>
                <w:sz w:val="24"/>
                <w:lang w:eastAsia="zh-TW"/>
              </w:rPr>
            </w:pPr>
          </w:p>
        </w:tc>
        <w:tc>
          <w:tcPr>
            <w:tcW w:w="614" w:type="dxa"/>
          </w:tcPr>
          <w:p w14:paraId="1311B154" w14:textId="77777777" w:rsidR="00372343" w:rsidRPr="00C358E9" w:rsidRDefault="00372343" w:rsidP="00372343">
            <w:pPr>
              <w:pStyle w:val="a0"/>
              <w:adjustRightInd w:val="0"/>
              <w:snapToGrid w:val="0"/>
              <w:spacing w:before="180" w:after="0"/>
              <w:rPr>
                <w:sz w:val="24"/>
                <w:szCs w:val="24"/>
                <w:lang w:eastAsia="zh-TW"/>
              </w:rPr>
            </w:pPr>
            <w:r w:rsidRPr="00C358E9">
              <w:rPr>
                <w:sz w:val="24"/>
                <w:szCs w:val="24"/>
                <w:lang w:eastAsia="zh-TW"/>
              </w:rPr>
              <w:t>4.2.2</w:t>
            </w:r>
          </w:p>
        </w:tc>
        <w:tc>
          <w:tcPr>
            <w:tcW w:w="6660" w:type="dxa"/>
            <w:gridSpan w:val="2"/>
          </w:tcPr>
          <w:p w14:paraId="28CC9EA3" w14:textId="5E2BCDE3" w:rsidR="00372343" w:rsidRPr="00C358E9" w:rsidRDefault="00073D72" w:rsidP="00372343">
            <w:pPr>
              <w:pStyle w:val="a0"/>
              <w:adjustRightInd w:val="0"/>
              <w:snapToGrid w:val="0"/>
              <w:spacing w:before="180" w:after="0"/>
              <w:rPr>
                <w:sz w:val="24"/>
                <w:szCs w:val="24"/>
                <w:lang w:eastAsia="zh-TW"/>
              </w:rPr>
            </w:pPr>
            <w:r w:rsidRPr="00C358E9">
              <w:rPr>
                <w:rFonts w:hint="eastAsia"/>
                <w:sz w:val="24"/>
                <w:szCs w:val="24"/>
                <w:lang w:eastAsia="zh-TW"/>
              </w:rPr>
              <w:t>E</w:t>
            </w:r>
            <w:r w:rsidRPr="00C358E9">
              <w:rPr>
                <w:sz w:val="24"/>
                <w:szCs w:val="24"/>
                <w:lang w:eastAsia="zh-TW"/>
              </w:rPr>
              <w:t>xchange rate risk</w:t>
            </w:r>
          </w:p>
        </w:tc>
        <w:tc>
          <w:tcPr>
            <w:tcW w:w="690" w:type="dxa"/>
          </w:tcPr>
          <w:p w14:paraId="4CEE92C1" w14:textId="539AA69F" w:rsidR="00372343" w:rsidRPr="00C358E9" w:rsidRDefault="00073D72" w:rsidP="00372343">
            <w:pPr>
              <w:pStyle w:val="a0"/>
              <w:adjustRightInd w:val="0"/>
              <w:snapToGrid w:val="0"/>
              <w:spacing w:before="180" w:after="0"/>
              <w:jc w:val="center"/>
              <w:rPr>
                <w:sz w:val="24"/>
                <w:lang w:eastAsia="zh-TW"/>
              </w:rPr>
            </w:pPr>
            <w:r>
              <w:rPr>
                <w:rFonts w:hint="eastAsia"/>
                <w:sz w:val="24"/>
                <w:lang w:eastAsia="zh-TW"/>
              </w:rPr>
              <w:t>2</w:t>
            </w:r>
            <w:r>
              <w:rPr>
                <w:sz w:val="24"/>
                <w:lang w:eastAsia="zh-TW"/>
              </w:rPr>
              <w:t>1</w:t>
            </w:r>
          </w:p>
        </w:tc>
      </w:tr>
      <w:bookmarkEnd w:id="2"/>
      <w:tr w:rsidR="00372343" w:rsidRPr="00C358E9" w14:paraId="4C182E88" w14:textId="77777777" w:rsidTr="00B032CB">
        <w:tc>
          <w:tcPr>
            <w:tcW w:w="542" w:type="dxa"/>
          </w:tcPr>
          <w:p w14:paraId="31F8DDD0" w14:textId="77777777" w:rsidR="00372343" w:rsidRPr="00C358E9" w:rsidRDefault="00372343" w:rsidP="00372343">
            <w:pPr>
              <w:pStyle w:val="a0"/>
              <w:adjustRightInd w:val="0"/>
              <w:snapToGrid w:val="0"/>
              <w:spacing w:before="180" w:after="0"/>
              <w:rPr>
                <w:sz w:val="24"/>
                <w:lang w:eastAsia="zh-TW"/>
              </w:rPr>
            </w:pPr>
            <w:r w:rsidRPr="00C358E9">
              <w:rPr>
                <w:sz w:val="24"/>
                <w:lang w:eastAsia="zh-TW"/>
              </w:rPr>
              <w:t>5</w:t>
            </w:r>
          </w:p>
        </w:tc>
        <w:tc>
          <w:tcPr>
            <w:tcW w:w="7838" w:type="dxa"/>
            <w:gridSpan w:val="7"/>
          </w:tcPr>
          <w:p w14:paraId="33624304" w14:textId="32D1C3F3" w:rsidR="00372343" w:rsidRPr="00C358E9" w:rsidRDefault="00372343" w:rsidP="00372343">
            <w:pPr>
              <w:pStyle w:val="a0"/>
              <w:adjustRightInd w:val="0"/>
              <w:snapToGrid w:val="0"/>
              <w:spacing w:before="180" w:after="0"/>
              <w:rPr>
                <w:rFonts w:eastAsia="標楷體"/>
                <w:sz w:val="24"/>
              </w:rPr>
            </w:pPr>
            <w:r w:rsidRPr="00C358E9">
              <w:rPr>
                <w:rFonts w:eastAsia="標楷體"/>
                <w:sz w:val="24"/>
              </w:rPr>
              <w:t>Conclusion and recommendation</w:t>
            </w:r>
            <w:r w:rsidR="00BC74F5" w:rsidRPr="00C358E9">
              <w:rPr>
                <w:rFonts w:eastAsia="標楷體"/>
                <w:sz w:val="24"/>
              </w:rPr>
              <w:t>s</w:t>
            </w:r>
            <w:r w:rsidRPr="00C358E9">
              <w:rPr>
                <w:rFonts w:eastAsia="標楷體"/>
                <w:sz w:val="24"/>
              </w:rPr>
              <w:t xml:space="preserve"> </w:t>
            </w:r>
          </w:p>
        </w:tc>
        <w:tc>
          <w:tcPr>
            <w:tcW w:w="690" w:type="dxa"/>
          </w:tcPr>
          <w:p w14:paraId="5BB1B922" w14:textId="2DFB52BD" w:rsidR="00372343" w:rsidRPr="00C358E9" w:rsidRDefault="00073D72" w:rsidP="00372343">
            <w:pPr>
              <w:pStyle w:val="a0"/>
              <w:adjustRightInd w:val="0"/>
              <w:snapToGrid w:val="0"/>
              <w:spacing w:before="180" w:after="0"/>
              <w:jc w:val="center"/>
              <w:rPr>
                <w:sz w:val="24"/>
                <w:lang w:eastAsia="zh-TW"/>
              </w:rPr>
            </w:pPr>
            <w:r>
              <w:rPr>
                <w:rFonts w:hint="eastAsia"/>
                <w:sz w:val="24"/>
                <w:lang w:eastAsia="zh-TW"/>
              </w:rPr>
              <w:t>2</w:t>
            </w:r>
            <w:r w:rsidR="00893A07">
              <w:rPr>
                <w:sz w:val="24"/>
                <w:lang w:eastAsia="zh-TW"/>
              </w:rPr>
              <w:t>2</w:t>
            </w:r>
          </w:p>
        </w:tc>
      </w:tr>
      <w:tr w:rsidR="00372343" w:rsidRPr="00C358E9" w14:paraId="57F3D633" w14:textId="77777777" w:rsidTr="00B032CB">
        <w:tc>
          <w:tcPr>
            <w:tcW w:w="542" w:type="dxa"/>
          </w:tcPr>
          <w:p w14:paraId="56BE07CC" w14:textId="77777777" w:rsidR="00372343" w:rsidRPr="00C358E9" w:rsidRDefault="00372343" w:rsidP="00372343">
            <w:pPr>
              <w:pStyle w:val="a0"/>
              <w:adjustRightInd w:val="0"/>
              <w:snapToGrid w:val="0"/>
              <w:spacing w:before="180" w:after="0"/>
              <w:rPr>
                <w:sz w:val="24"/>
                <w:lang w:eastAsia="zh-TW"/>
              </w:rPr>
            </w:pPr>
          </w:p>
        </w:tc>
        <w:tc>
          <w:tcPr>
            <w:tcW w:w="554" w:type="dxa"/>
            <w:gridSpan w:val="3"/>
          </w:tcPr>
          <w:p w14:paraId="533E08A1" w14:textId="77777777" w:rsidR="00372343" w:rsidRPr="00C358E9" w:rsidRDefault="00372343" w:rsidP="00372343">
            <w:pPr>
              <w:pStyle w:val="a0"/>
              <w:adjustRightInd w:val="0"/>
              <w:snapToGrid w:val="0"/>
              <w:spacing w:before="180" w:after="0"/>
              <w:rPr>
                <w:sz w:val="24"/>
                <w:lang w:eastAsia="zh-TW"/>
              </w:rPr>
            </w:pPr>
            <w:r w:rsidRPr="00C358E9">
              <w:rPr>
                <w:sz w:val="24"/>
                <w:lang w:eastAsia="zh-TW"/>
              </w:rPr>
              <w:t>5.1</w:t>
            </w:r>
          </w:p>
        </w:tc>
        <w:tc>
          <w:tcPr>
            <w:tcW w:w="7284" w:type="dxa"/>
            <w:gridSpan w:val="4"/>
          </w:tcPr>
          <w:p w14:paraId="0DDDFB6F" w14:textId="77777777" w:rsidR="00372343" w:rsidRPr="00C358E9" w:rsidRDefault="00372343" w:rsidP="00372343">
            <w:pPr>
              <w:pStyle w:val="a0"/>
              <w:adjustRightInd w:val="0"/>
              <w:snapToGrid w:val="0"/>
              <w:spacing w:before="180" w:after="0"/>
              <w:rPr>
                <w:sz w:val="24"/>
                <w:lang w:eastAsia="zh-TW"/>
              </w:rPr>
            </w:pPr>
            <w:r w:rsidRPr="00C358E9">
              <w:rPr>
                <w:sz w:val="24"/>
                <w:lang w:eastAsia="zh-TW"/>
              </w:rPr>
              <w:t>Conclusion</w:t>
            </w:r>
          </w:p>
        </w:tc>
        <w:tc>
          <w:tcPr>
            <w:tcW w:w="690" w:type="dxa"/>
          </w:tcPr>
          <w:p w14:paraId="180376DE" w14:textId="67F92F80" w:rsidR="00372343" w:rsidRPr="00C358E9" w:rsidRDefault="00DD32A8" w:rsidP="00372343">
            <w:pPr>
              <w:pStyle w:val="a0"/>
              <w:adjustRightInd w:val="0"/>
              <w:snapToGrid w:val="0"/>
              <w:spacing w:before="180" w:after="0"/>
              <w:jc w:val="center"/>
              <w:rPr>
                <w:sz w:val="24"/>
                <w:lang w:eastAsia="zh-TW"/>
              </w:rPr>
            </w:pPr>
            <w:r>
              <w:rPr>
                <w:rFonts w:hint="eastAsia"/>
                <w:sz w:val="24"/>
                <w:lang w:eastAsia="zh-TW"/>
              </w:rPr>
              <w:t>2</w:t>
            </w:r>
            <w:r w:rsidR="00893A07">
              <w:rPr>
                <w:sz w:val="24"/>
                <w:lang w:eastAsia="zh-TW"/>
              </w:rPr>
              <w:t>3</w:t>
            </w:r>
          </w:p>
        </w:tc>
      </w:tr>
      <w:tr w:rsidR="00372343" w:rsidRPr="00C358E9" w14:paraId="4D7EF389" w14:textId="77777777" w:rsidTr="00B032CB">
        <w:tc>
          <w:tcPr>
            <w:tcW w:w="542" w:type="dxa"/>
          </w:tcPr>
          <w:p w14:paraId="406D3B2B" w14:textId="77777777" w:rsidR="00372343" w:rsidRPr="00C358E9" w:rsidRDefault="00372343" w:rsidP="00372343">
            <w:pPr>
              <w:pStyle w:val="a0"/>
              <w:adjustRightInd w:val="0"/>
              <w:snapToGrid w:val="0"/>
              <w:spacing w:before="180" w:after="0"/>
              <w:rPr>
                <w:sz w:val="24"/>
                <w:lang w:eastAsia="zh-TW"/>
              </w:rPr>
            </w:pPr>
          </w:p>
        </w:tc>
        <w:tc>
          <w:tcPr>
            <w:tcW w:w="554" w:type="dxa"/>
            <w:gridSpan w:val="3"/>
          </w:tcPr>
          <w:p w14:paraId="3983B5E4" w14:textId="77777777" w:rsidR="00372343" w:rsidRPr="00C358E9" w:rsidRDefault="00372343" w:rsidP="00372343">
            <w:pPr>
              <w:pStyle w:val="a0"/>
              <w:adjustRightInd w:val="0"/>
              <w:snapToGrid w:val="0"/>
              <w:spacing w:before="180" w:after="0"/>
              <w:rPr>
                <w:sz w:val="24"/>
                <w:lang w:eastAsia="zh-TW"/>
              </w:rPr>
            </w:pPr>
            <w:r w:rsidRPr="00C358E9">
              <w:rPr>
                <w:sz w:val="24"/>
                <w:lang w:eastAsia="zh-TW"/>
              </w:rPr>
              <w:t>5.2</w:t>
            </w:r>
          </w:p>
        </w:tc>
        <w:tc>
          <w:tcPr>
            <w:tcW w:w="7284" w:type="dxa"/>
            <w:gridSpan w:val="4"/>
          </w:tcPr>
          <w:p w14:paraId="0CE5BA6E" w14:textId="77777777" w:rsidR="00372343" w:rsidRPr="00C358E9" w:rsidRDefault="00372343" w:rsidP="00372343">
            <w:pPr>
              <w:pStyle w:val="a0"/>
              <w:adjustRightInd w:val="0"/>
              <w:snapToGrid w:val="0"/>
              <w:spacing w:before="180" w:after="0"/>
              <w:rPr>
                <w:sz w:val="24"/>
                <w:lang w:eastAsia="zh-TW"/>
              </w:rPr>
            </w:pPr>
            <w:r w:rsidRPr="00C358E9">
              <w:rPr>
                <w:sz w:val="24"/>
                <w:lang w:eastAsia="zh-TW"/>
              </w:rPr>
              <w:t xml:space="preserve">Recommendations </w:t>
            </w:r>
          </w:p>
        </w:tc>
        <w:tc>
          <w:tcPr>
            <w:tcW w:w="690" w:type="dxa"/>
          </w:tcPr>
          <w:p w14:paraId="642DD631" w14:textId="7CDB093C" w:rsidR="00372343" w:rsidRPr="00C358E9" w:rsidRDefault="00DD32A8" w:rsidP="00372343">
            <w:pPr>
              <w:pStyle w:val="a0"/>
              <w:adjustRightInd w:val="0"/>
              <w:snapToGrid w:val="0"/>
              <w:spacing w:before="180" w:after="0"/>
              <w:jc w:val="center"/>
              <w:rPr>
                <w:sz w:val="24"/>
                <w:lang w:eastAsia="zh-TW"/>
              </w:rPr>
            </w:pPr>
            <w:r>
              <w:rPr>
                <w:rFonts w:hint="eastAsia"/>
                <w:sz w:val="24"/>
                <w:lang w:eastAsia="zh-TW"/>
              </w:rPr>
              <w:t>2</w:t>
            </w:r>
            <w:r>
              <w:rPr>
                <w:sz w:val="24"/>
                <w:lang w:eastAsia="zh-TW"/>
              </w:rPr>
              <w:t>4</w:t>
            </w:r>
          </w:p>
        </w:tc>
      </w:tr>
      <w:tr w:rsidR="00372343" w:rsidRPr="00C358E9" w14:paraId="3682519A" w14:textId="77777777" w:rsidTr="00B032CB">
        <w:tc>
          <w:tcPr>
            <w:tcW w:w="8380" w:type="dxa"/>
            <w:gridSpan w:val="8"/>
          </w:tcPr>
          <w:p w14:paraId="0E19D6F9" w14:textId="34571C51" w:rsidR="00372343" w:rsidRPr="00C358E9" w:rsidRDefault="00BA4858" w:rsidP="00372343">
            <w:pPr>
              <w:pStyle w:val="a0"/>
              <w:adjustRightInd w:val="0"/>
              <w:snapToGrid w:val="0"/>
              <w:spacing w:before="180" w:after="0"/>
              <w:rPr>
                <w:sz w:val="24"/>
                <w:lang w:eastAsia="zh-TW"/>
              </w:rPr>
            </w:pPr>
            <w:r>
              <w:rPr>
                <w:sz w:val="24"/>
                <w:lang w:eastAsia="zh-TW"/>
              </w:rPr>
              <w:t>R</w:t>
            </w:r>
            <w:r w:rsidR="00372343" w:rsidRPr="00C358E9">
              <w:rPr>
                <w:sz w:val="24"/>
                <w:lang w:eastAsia="zh-TW"/>
              </w:rPr>
              <w:t>eferences</w:t>
            </w:r>
          </w:p>
        </w:tc>
        <w:tc>
          <w:tcPr>
            <w:tcW w:w="690" w:type="dxa"/>
          </w:tcPr>
          <w:p w14:paraId="1058B772" w14:textId="62B8EB32" w:rsidR="00372343" w:rsidRPr="00C358E9" w:rsidRDefault="00DD32A8" w:rsidP="00372343">
            <w:pPr>
              <w:pStyle w:val="a0"/>
              <w:adjustRightInd w:val="0"/>
              <w:snapToGrid w:val="0"/>
              <w:spacing w:before="180" w:after="0"/>
              <w:jc w:val="center"/>
              <w:rPr>
                <w:sz w:val="24"/>
                <w:lang w:eastAsia="zh-TW"/>
              </w:rPr>
            </w:pPr>
            <w:r>
              <w:rPr>
                <w:sz w:val="24"/>
                <w:lang w:eastAsia="zh-TW"/>
              </w:rPr>
              <w:t>25</w:t>
            </w:r>
          </w:p>
        </w:tc>
      </w:tr>
      <w:tr w:rsidR="00372343" w:rsidRPr="00C358E9" w14:paraId="2C3C0429" w14:textId="77777777" w:rsidTr="00B032CB">
        <w:tc>
          <w:tcPr>
            <w:tcW w:w="8380" w:type="dxa"/>
            <w:gridSpan w:val="8"/>
          </w:tcPr>
          <w:p w14:paraId="40815BD5" w14:textId="77777777" w:rsidR="00372343" w:rsidRPr="00C358E9" w:rsidRDefault="00372343" w:rsidP="00372343">
            <w:pPr>
              <w:pStyle w:val="a0"/>
              <w:adjustRightInd w:val="0"/>
              <w:snapToGrid w:val="0"/>
              <w:spacing w:before="180" w:after="0"/>
              <w:rPr>
                <w:color w:val="0000FF"/>
                <w:sz w:val="24"/>
                <w:lang w:eastAsia="zh-TW"/>
              </w:rPr>
            </w:pPr>
          </w:p>
        </w:tc>
        <w:tc>
          <w:tcPr>
            <w:tcW w:w="690" w:type="dxa"/>
          </w:tcPr>
          <w:p w14:paraId="3DACE0E2" w14:textId="77777777" w:rsidR="00372343" w:rsidRPr="00C358E9" w:rsidRDefault="00372343" w:rsidP="00372343">
            <w:pPr>
              <w:pStyle w:val="a0"/>
              <w:adjustRightInd w:val="0"/>
              <w:snapToGrid w:val="0"/>
              <w:spacing w:before="180" w:after="0"/>
              <w:jc w:val="center"/>
              <w:rPr>
                <w:sz w:val="24"/>
                <w:lang w:eastAsia="zh-TW"/>
              </w:rPr>
            </w:pPr>
          </w:p>
        </w:tc>
      </w:tr>
    </w:tbl>
    <w:p w14:paraId="23C7B80A" w14:textId="77777777" w:rsidR="004238D8" w:rsidRPr="00C358E9" w:rsidRDefault="004238D8" w:rsidP="00C65A3F">
      <w:pPr>
        <w:adjustRightInd w:val="0"/>
        <w:snapToGrid w:val="0"/>
        <w:spacing w:before="180"/>
        <w:jc w:val="both"/>
        <w:rPr>
          <w:b/>
          <w:bCs/>
          <w:sz w:val="26"/>
          <w:lang w:val="en-GB"/>
        </w:rPr>
      </w:pPr>
    </w:p>
    <w:p w14:paraId="3FEC1BD1" w14:textId="77777777" w:rsidR="004238D8" w:rsidRPr="00C358E9" w:rsidRDefault="004238D8" w:rsidP="00C65A3F">
      <w:pPr>
        <w:adjustRightInd w:val="0"/>
        <w:snapToGrid w:val="0"/>
        <w:spacing w:before="180"/>
        <w:jc w:val="both"/>
      </w:pPr>
    </w:p>
    <w:p w14:paraId="5FF40601" w14:textId="77777777" w:rsidR="006841F6" w:rsidRPr="00C358E9" w:rsidRDefault="006841F6" w:rsidP="00C65A3F">
      <w:pPr>
        <w:adjustRightInd w:val="0"/>
        <w:snapToGrid w:val="0"/>
        <w:spacing w:before="180"/>
        <w:jc w:val="both"/>
      </w:pPr>
    </w:p>
    <w:p w14:paraId="2F972F7A" w14:textId="77777777" w:rsidR="00074B88" w:rsidRPr="00C358E9" w:rsidRDefault="00074B88" w:rsidP="00C65A3F">
      <w:pPr>
        <w:adjustRightInd w:val="0"/>
        <w:snapToGrid w:val="0"/>
        <w:spacing w:before="180"/>
        <w:jc w:val="both"/>
      </w:pPr>
    </w:p>
    <w:p w14:paraId="5605305D" w14:textId="77777777" w:rsidR="00074B88" w:rsidRPr="00C358E9" w:rsidRDefault="00074B88" w:rsidP="00C65A3F">
      <w:pPr>
        <w:adjustRightInd w:val="0"/>
        <w:snapToGrid w:val="0"/>
        <w:spacing w:before="180"/>
        <w:jc w:val="both"/>
      </w:pPr>
    </w:p>
    <w:p w14:paraId="201D3FD8" w14:textId="77777777" w:rsidR="00074B88" w:rsidRPr="00C358E9" w:rsidRDefault="00074B88" w:rsidP="00C65A3F">
      <w:pPr>
        <w:adjustRightInd w:val="0"/>
        <w:snapToGrid w:val="0"/>
        <w:spacing w:before="180"/>
        <w:jc w:val="both"/>
        <w:sectPr w:rsidR="00074B88" w:rsidRPr="00C358E9">
          <w:pgSz w:w="11906" w:h="16838"/>
          <w:pgMar w:top="1134" w:right="1418" w:bottom="1134" w:left="1418" w:header="851" w:footer="992" w:gutter="0"/>
          <w:pgNumType w:fmt="lowerRoman" w:start="1"/>
          <w:cols w:space="425"/>
          <w:docGrid w:type="linesAndChars" w:linePitch="360"/>
        </w:sectPr>
      </w:pPr>
    </w:p>
    <w:p w14:paraId="4197DF12" w14:textId="553E1626" w:rsidR="00DD79F6" w:rsidRPr="00FB2BE9" w:rsidRDefault="001B1DF5" w:rsidP="00C65A3F">
      <w:pPr>
        <w:adjustRightInd w:val="0"/>
        <w:snapToGrid w:val="0"/>
        <w:spacing w:before="180"/>
        <w:jc w:val="both"/>
        <w:rPr>
          <w:b/>
          <w:bCs/>
          <w:sz w:val="26"/>
        </w:rPr>
      </w:pPr>
      <w:r w:rsidRPr="00C358E9">
        <w:rPr>
          <w:b/>
          <w:bCs/>
          <w:sz w:val="26"/>
        </w:rPr>
        <w:lastRenderedPageBreak/>
        <w:t xml:space="preserve">1   Introduction  </w:t>
      </w:r>
    </w:p>
    <w:p w14:paraId="5C625C8E" w14:textId="59C4D6B7" w:rsidR="004238D8" w:rsidRPr="00C14CC9" w:rsidRDefault="00DB27AA" w:rsidP="00C14CC9">
      <w:pPr>
        <w:adjustRightInd w:val="0"/>
        <w:snapToGrid w:val="0"/>
        <w:spacing w:before="180" w:line="480" w:lineRule="auto"/>
        <w:ind w:firstLine="397"/>
        <w:jc w:val="both"/>
        <w:rPr>
          <w:bCs/>
        </w:rPr>
      </w:pPr>
      <w:r>
        <w:rPr>
          <w:bCs/>
        </w:rPr>
        <w:t>T</w:t>
      </w:r>
      <w:r w:rsidRPr="00DB27AA">
        <w:rPr>
          <w:bCs/>
        </w:rPr>
        <w:t>o</w:t>
      </w:r>
      <w:r w:rsidRPr="00DB27AA">
        <w:t xml:space="preserve"> </w:t>
      </w:r>
      <w:r w:rsidRPr="00DB27AA">
        <w:rPr>
          <w:bCs/>
        </w:rPr>
        <w:t>enhance</w:t>
      </w:r>
      <w:r w:rsidR="00CB086C">
        <w:rPr>
          <w:bCs/>
        </w:rPr>
        <w:t xml:space="preserve"> </w:t>
      </w:r>
      <w:r w:rsidR="00E9104C">
        <w:rPr>
          <w:bCs/>
        </w:rPr>
        <w:t>the company</w:t>
      </w:r>
      <w:r>
        <w:rPr>
          <w:bCs/>
        </w:rPr>
        <w:t>’s</w:t>
      </w:r>
      <w:r w:rsidRPr="00DB27AA">
        <w:rPr>
          <w:bCs/>
        </w:rPr>
        <w:t xml:space="preserve"> competitive edge amid keen competition</w:t>
      </w:r>
      <w:r>
        <w:rPr>
          <w:bCs/>
        </w:rPr>
        <w:t xml:space="preserve"> in the local asset management industry</w:t>
      </w:r>
      <w:r w:rsidR="002D31DF" w:rsidRPr="0014089C">
        <w:rPr>
          <w:bCs/>
        </w:rPr>
        <w:t xml:space="preserve">, </w:t>
      </w:r>
      <w:r w:rsidR="00C358E9" w:rsidRPr="00C358E9">
        <w:rPr>
          <w:bCs/>
        </w:rPr>
        <w:t>DEF</w:t>
      </w:r>
      <w:r w:rsidR="00F54A76">
        <w:rPr>
          <w:bCs/>
        </w:rPr>
        <w:t xml:space="preserve"> </w:t>
      </w:r>
      <w:r w:rsidR="002D31DF" w:rsidRPr="0014089C">
        <w:rPr>
          <w:bCs/>
        </w:rPr>
        <w:t>should explore any profitable investment opportunities in different countries or regions around the world</w:t>
      </w:r>
      <w:r w:rsidR="00DC0B61" w:rsidRPr="0014089C">
        <w:rPr>
          <w:bCs/>
        </w:rPr>
        <w:t xml:space="preserve">. </w:t>
      </w:r>
      <w:r w:rsidR="004503C0" w:rsidRPr="0014089C">
        <w:rPr>
          <w:bCs/>
        </w:rPr>
        <w:t xml:space="preserve">After </w:t>
      </w:r>
      <w:r w:rsidR="00F54A76">
        <w:rPr>
          <w:bCs/>
        </w:rPr>
        <w:t xml:space="preserve">a systematic analysis of empirical </w:t>
      </w:r>
      <w:r w:rsidR="00236A1B" w:rsidRPr="0014089C">
        <w:rPr>
          <w:bCs/>
        </w:rPr>
        <w:t>information</w:t>
      </w:r>
      <w:r w:rsidR="004503C0" w:rsidRPr="0014089C">
        <w:rPr>
          <w:bCs/>
        </w:rPr>
        <w:t xml:space="preserve"> </w:t>
      </w:r>
      <w:r w:rsidR="00F54A76" w:rsidRPr="00F54A76">
        <w:rPr>
          <w:bCs/>
        </w:rPr>
        <w:t>pertains to global stock market</w:t>
      </w:r>
      <w:r w:rsidR="004503C0" w:rsidRPr="0014089C">
        <w:rPr>
          <w:bCs/>
        </w:rPr>
        <w:t xml:space="preserve">, </w:t>
      </w:r>
      <w:r w:rsidR="000A443D">
        <w:rPr>
          <w:bCs/>
        </w:rPr>
        <w:t xml:space="preserve">we suggest </w:t>
      </w:r>
      <w:r w:rsidR="004503C0" w:rsidRPr="0014089C">
        <w:rPr>
          <w:bCs/>
        </w:rPr>
        <w:t xml:space="preserve">Australia is of high potential for </w:t>
      </w:r>
      <w:r w:rsidR="00E9104C">
        <w:rPr>
          <w:bCs/>
        </w:rPr>
        <w:t xml:space="preserve">the company </w:t>
      </w:r>
      <w:r w:rsidR="004503C0" w:rsidRPr="0014089C">
        <w:rPr>
          <w:bCs/>
        </w:rPr>
        <w:t>to invest in its stock market.</w:t>
      </w:r>
    </w:p>
    <w:p w14:paraId="27379FB8" w14:textId="4215B760" w:rsidR="004012C4" w:rsidRPr="00C117EE" w:rsidRDefault="00634788" w:rsidP="00C117EE">
      <w:pPr>
        <w:adjustRightInd w:val="0"/>
        <w:snapToGrid w:val="0"/>
        <w:spacing w:before="180"/>
        <w:jc w:val="both"/>
        <w:rPr>
          <w:b/>
          <w:bCs/>
        </w:rPr>
      </w:pPr>
      <w:r w:rsidRPr="00C358E9">
        <w:rPr>
          <w:b/>
          <w:bCs/>
        </w:rPr>
        <w:t>1.1 Research motivation</w:t>
      </w:r>
      <w:r w:rsidR="002C5008" w:rsidRPr="00C358E9">
        <w:rPr>
          <w:b/>
          <w:bCs/>
        </w:rPr>
        <w:t>, aim, and objectives</w:t>
      </w:r>
    </w:p>
    <w:p w14:paraId="42D3F90B" w14:textId="2908DFEF" w:rsidR="00D71533" w:rsidRPr="00DE677F" w:rsidRDefault="008E0D06" w:rsidP="00DE677F">
      <w:pPr>
        <w:adjustRightInd w:val="0"/>
        <w:snapToGrid w:val="0"/>
        <w:spacing w:before="180" w:line="480" w:lineRule="auto"/>
        <w:ind w:firstLine="397"/>
        <w:jc w:val="both"/>
        <w:rPr>
          <w:bCs/>
          <w:color w:val="0000CC"/>
        </w:rPr>
      </w:pPr>
      <w:r w:rsidRPr="00F937F1">
        <w:rPr>
          <w:bCs/>
          <w:color w:val="000000" w:themeColor="text1"/>
        </w:rPr>
        <w:t>In the past 3 years from 2019 to 2022, due to Covid-19</w:t>
      </w:r>
      <w:r w:rsidR="004012C4" w:rsidRPr="00F937F1">
        <w:rPr>
          <w:bCs/>
          <w:color w:val="000000" w:themeColor="text1"/>
        </w:rPr>
        <w:t>, the</w:t>
      </w:r>
      <w:r w:rsidRPr="00F937F1">
        <w:rPr>
          <w:bCs/>
          <w:color w:val="000000" w:themeColor="text1"/>
        </w:rPr>
        <w:t xml:space="preserve"> </w:t>
      </w:r>
      <w:r w:rsidRPr="00F937F1">
        <w:rPr>
          <w:color w:val="000000" w:themeColor="text1"/>
        </w:rPr>
        <w:t>financial markets ha</w:t>
      </w:r>
      <w:r w:rsidR="004012C4" w:rsidRPr="00F937F1">
        <w:rPr>
          <w:color w:val="000000" w:themeColor="text1"/>
        </w:rPr>
        <w:t>d</w:t>
      </w:r>
      <w:r w:rsidRPr="00F937F1">
        <w:rPr>
          <w:color w:val="000000" w:themeColor="text1"/>
        </w:rPr>
        <w:t xml:space="preserve"> responded dra</w:t>
      </w:r>
      <w:r w:rsidR="004012C4" w:rsidRPr="00F937F1">
        <w:rPr>
          <w:color w:val="000000" w:themeColor="text1"/>
        </w:rPr>
        <w:t>st</w:t>
      </w:r>
      <w:r w:rsidRPr="00F937F1">
        <w:rPr>
          <w:color w:val="000000" w:themeColor="text1"/>
        </w:rPr>
        <w:t>ic</w:t>
      </w:r>
      <w:r w:rsidR="004012C4" w:rsidRPr="00F937F1">
        <w:rPr>
          <w:color w:val="000000" w:themeColor="text1"/>
        </w:rPr>
        <w:t>ally</w:t>
      </w:r>
      <w:r w:rsidRPr="00F937F1">
        <w:rPr>
          <w:color w:val="000000" w:themeColor="text1"/>
        </w:rPr>
        <w:t xml:space="preserve">. In March 2020, the US stock market </w:t>
      </w:r>
      <w:r w:rsidR="003668C1" w:rsidRPr="00F937F1">
        <w:rPr>
          <w:color w:val="000000" w:themeColor="text1"/>
        </w:rPr>
        <w:t xml:space="preserve">hand triggered </w:t>
      </w:r>
      <w:r w:rsidRPr="00F937F1">
        <w:rPr>
          <w:color w:val="000000" w:themeColor="text1"/>
        </w:rPr>
        <w:t>the circuit breaker mechanism</w:t>
      </w:r>
      <w:r w:rsidR="006139C1" w:rsidRPr="00F937F1">
        <w:rPr>
          <w:color w:val="000000" w:themeColor="text1"/>
        </w:rPr>
        <w:t xml:space="preserve"> </w:t>
      </w:r>
      <w:r w:rsidR="00E665F3" w:rsidRPr="00F937F1">
        <w:rPr>
          <w:color w:val="000000" w:themeColor="text1"/>
        </w:rPr>
        <w:t xml:space="preserve">(investor.gov, the US Securities and Future Commission, 2023) </w:t>
      </w:r>
      <w:r w:rsidRPr="00F937F1">
        <w:rPr>
          <w:color w:val="000000" w:themeColor="text1"/>
        </w:rPr>
        <w:t xml:space="preserve">four times in ten days. </w:t>
      </w:r>
      <w:r w:rsidR="0002018B" w:rsidRPr="00F937F1">
        <w:rPr>
          <w:color w:val="000000" w:themeColor="text1"/>
        </w:rPr>
        <w:t>At the same time</w:t>
      </w:r>
      <w:r w:rsidRPr="00F937F1">
        <w:rPr>
          <w:color w:val="000000" w:themeColor="text1"/>
        </w:rPr>
        <w:t xml:space="preserve">, </w:t>
      </w:r>
      <w:r w:rsidR="0002018B" w:rsidRPr="00F937F1">
        <w:rPr>
          <w:color w:val="000000" w:themeColor="text1"/>
        </w:rPr>
        <w:t xml:space="preserve">Asian and European stock markets </w:t>
      </w:r>
      <w:r w:rsidRPr="00F937F1">
        <w:rPr>
          <w:color w:val="000000" w:themeColor="text1"/>
        </w:rPr>
        <w:t>ha</w:t>
      </w:r>
      <w:r w:rsidR="0002018B" w:rsidRPr="00F937F1">
        <w:rPr>
          <w:color w:val="000000" w:themeColor="text1"/>
        </w:rPr>
        <w:t>d</w:t>
      </w:r>
      <w:r w:rsidRPr="00F937F1">
        <w:rPr>
          <w:color w:val="000000" w:themeColor="text1"/>
        </w:rPr>
        <w:t xml:space="preserve"> also </w:t>
      </w:r>
      <w:r w:rsidR="003668C1" w:rsidRPr="00F937F1">
        <w:rPr>
          <w:color w:val="000000" w:themeColor="text1"/>
        </w:rPr>
        <w:t>dropped</w:t>
      </w:r>
      <w:r w:rsidRPr="00F937F1">
        <w:rPr>
          <w:color w:val="000000" w:themeColor="text1"/>
        </w:rPr>
        <w:t>. </w:t>
      </w:r>
      <w:r w:rsidR="004012C4" w:rsidRPr="00F937F1">
        <w:rPr>
          <w:color w:val="000000" w:themeColor="text1"/>
        </w:rPr>
        <w:t xml:space="preserve"> (Zhang, and Ji, 2020)</w:t>
      </w:r>
      <w:r w:rsidR="003668C1" w:rsidRPr="00F937F1">
        <w:rPr>
          <w:color w:val="2E2E2E"/>
        </w:rPr>
        <w:t>, As Hong Kon</w:t>
      </w:r>
      <w:r w:rsidR="008431B7" w:rsidRPr="00F937F1">
        <w:rPr>
          <w:color w:val="2E2E2E"/>
        </w:rPr>
        <w:t xml:space="preserve">g has been locked down in these three years and comparatively straight quantile measure </w:t>
      </w:r>
      <w:r w:rsidR="00680D5C">
        <w:rPr>
          <w:color w:val="2E2E2E"/>
        </w:rPr>
        <w:t xml:space="preserve">hindered economic growth (it would be </w:t>
      </w:r>
      <w:r w:rsidR="00C62419">
        <w:rPr>
          <w:color w:val="2E2E2E"/>
        </w:rPr>
        <w:t>discussed</w:t>
      </w:r>
      <w:r w:rsidR="004F6AD5">
        <w:rPr>
          <w:color w:val="2E2E2E"/>
        </w:rPr>
        <w:t xml:space="preserve"> </w:t>
      </w:r>
      <w:r w:rsidR="00680D5C">
        <w:rPr>
          <w:color w:val="2E2E2E"/>
        </w:rPr>
        <w:t>in figure 6 in section</w:t>
      </w:r>
      <w:r w:rsidR="00DE677F">
        <w:rPr>
          <w:color w:val="2E2E2E"/>
        </w:rPr>
        <w:t xml:space="preserve"> 3</w:t>
      </w:r>
      <w:r w:rsidR="00680D5C">
        <w:rPr>
          <w:color w:val="2E2E2E"/>
        </w:rPr>
        <w:t>)</w:t>
      </w:r>
      <w:r w:rsidR="005E56F8">
        <w:rPr>
          <w:color w:val="2E2E2E"/>
        </w:rPr>
        <w:t xml:space="preserve">. </w:t>
      </w:r>
      <w:r w:rsidR="00796807">
        <w:rPr>
          <w:color w:val="2E2E2E"/>
        </w:rPr>
        <w:t>As asset management company based in Hong Kong, it is inevitably affected by the Hong Kong local stock markets</w:t>
      </w:r>
      <w:r w:rsidR="00885A13">
        <w:rPr>
          <w:color w:val="2E2E2E"/>
        </w:rPr>
        <w:t xml:space="preserve"> (</w:t>
      </w:r>
      <w:proofErr w:type="gramStart"/>
      <w:r w:rsidR="00885A13">
        <w:rPr>
          <w:color w:val="2E2E2E"/>
        </w:rPr>
        <w:t>i.e.</w:t>
      </w:r>
      <w:proofErr w:type="gramEnd"/>
      <w:r w:rsidR="00885A13">
        <w:rPr>
          <w:color w:val="2E2E2E"/>
        </w:rPr>
        <w:t xml:space="preserve"> Hang Seng Index or HSI),</w:t>
      </w:r>
      <w:r w:rsidR="00DE677F">
        <w:rPr>
          <w:color w:val="2E2E2E"/>
        </w:rPr>
        <w:t xml:space="preserve"> at the same time period, Australia, in contrast, had a lot better performance </w:t>
      </w:r>
      <w:r w:rsidR="00851D90">
        <w:rPr>
          <w:color w:val="2E2E2E"/>
        </w:rPr>
        <w:t>in terms of its stock market index ASX200 (</w:t>
      </w:r>
      <w:r w:rsidR="00DE677F">
        <w:rPr>
          <w:color w:val="2E2E2E"/>
        </w:rPr>
        <w:t>it would be described in figure 1 in section 3)</w:t>
      </w:r>
      <w:r w:rsidR="00861BC3">
        <w:rPr>
          <w:color w:val="2E2E2E"/>
        </w:rPr>
        <w:t xml:space="preserve">. </w:t>
      </w:r>
      <w:r w:rsidR="00796807">
        <w:rPr>
          <w:color w:val="2E2E2E"/>
        </w:rPr>
        <w:t xml:space="preserve">In order to diversify the downside risk </w:t>
      </w:r>
      <w:r w:rsidR="00DE677F">
        <w:rPr>
          <w:color w:val="2E2E2E"/>
        </w:rPr>
        <w:t>and to balance the investment portfo</w:t>
      </w:r>
      <w:r w:rsidR="00885A13">
        <w:rPr>
          <w:color w:val="2E2E2E"/>
        </w:rPr>
        <w:t xml:space="preserve">lio, </w:t>
      </w:r>
      <w:r w:rsidR="00D32597">
        <w:rPr>
          <w:color w:val="2E2E2E"/>
        </w:rPr>
        <w:t>research</w:t>
      </w:r>
      <w:r w:rsidR="009A40C3">
        <w:rPr>
          <w:color w:val="2E2E2E"/>
        </w:rPr>
        <w:t xml:space="preserve"> has to be conduct</w:t>
      </w:r>
      <w:r w:rsidR="00E2243B">
        <w:rPr>
          <w:color w:val="2E2E2E"/>
        </w:rPr>
        <w:t>ed</w:t>
      </w:r>
      <w:r w:rsidR="009A40C3">
        <w:rPr>
          <w:color w:val="2E2E2E"/>
        </w:rPr>
        <w:t xml:space="preserve"> to elaborate the risk and return and decide whether to invest in the Australian ASX200, and if invest, what will be the suitable time.</w:t>
      </w:r>
    </w:p>
    <w:p w14:paraId="42E40634" w14:textId="77777777" w:rsidR="00A406F1" w:rsidRDefault="00A406F1" w:rsidP="00A406F1">
      <w:pPr>
        <w:adjustRightInd w:val="0"/>
        <w:snapToGrid w:val="0"/>
        <w:spacing w:before="180" w:line="360" w:lineRule="auto"/>
        <w:jc w:val="both"/>
        <w:rPr>
          <w:b/>
          <w:bCs/>
          <w:sz w:val="26"/>
        </w:rPr>
      </w:pPr>
    </w:p>
    <w:p w14:paraId="066AEB5F" w14:textId="40CEC0E6" w:rsidR="00A406F1" w:rsidRDefault="00A406F1" w:rsidP="00A406F1">
      <w:pPr>
        <w:adjustRightInd w:val="0"/>
        <w:snapToGrid w:val="0"/>
        <w:spacing w:before="180" w:line="360" w:lineRule="auto"/>
        <w:jc w:val="both"/>
        <w:rPr>
          <w:b/>
          <w:bCs/>
          <w:sz w:val="26"/>
        </w:rPr>
      </w:pPr>
      <w:r>
        <w:rPr>
          <w:b/>
          <w:bCs/>
          <w:sz w:val="26"/>
        </w:rPr>
        <w:lastRenderedPageBreak/>
        <w:br/>
      </w:r>
      <w:r w:rsidR="00634788" w:rsidRPr="00C358E9">
        <w:rPr>
          <w:b/>
          <w:bCs/>
          <w:sz w:val="26"/>
        </w:rPr>
        <w:t>1.2 Research framework</w:t>
      </w:r>
    </w:p>
    <w:p w14:paraId="40E544E5" w14:textId="6BC1D73B" w:rsidR="00A25E04" w:rsidRPr="00A406F1" w:rsidRDefault="00377EB2" w:rsidP="004D2C03">
      <w:pPr>
        <w:adjustRightInd w:val="0"/>
        <w:snapToGrid w:val="0"/>
        <w:spacing w:before="180" w:line="480" w:lineRule="auto"/>
        <w:ind w:firstLine="397"/>
        <w:jc w:val="both"/>
        <w:rPr>
          <w:b/>
          <w:bCs/>
          <w:sz w:val="26"/>
        </w:rPr>
      </w:pPr>
      <w:r w:rsidRPr="00746B72">
        <w:t xml:space="preserve">It gave a perception that Australia has a long term steadily growth in terms of stock market index ASX200, all needed to be done is to collect related documents or information and investigate by quantitative methodologies to prove whether ASX200 is good enough to invest. The Average annual return in % of both ASX200 and HSI has to be computed in several time period so that the actual performance can be observed., the expected risk and return would then be computed to understand </w:t>
      </w:r>
      <w:r w:rsidR="00AA59DC" w:rsidRPr="00746B72">
        <w:t xml:space="preserve">the relationship, and the correlation has to be investigated so that to find out if there is actual function to enhance the risk and return. </w:t>
      </w:r>
    </w:p>
    <w:p w14:paraId="75966854" w14:textId="30231E95" w:rsidR="00AC03C9" w:rsidRPr="00C358E9" w:rsidRDefault="001B1DF5" w:rsidP="00913BCA">
      <w:pPr>
        <w:adjustRightInd w:val="0"/>
        <w:snapToGrid w:val="0"/>
        <w:spacing w:before="180" w:line="360" w:lineRule="auto"/>
        <w:jc w:val="both"/>
        <w:rPr>
          <w:b/>
          <w:bCs/>
          <w:sz w:val="26"/>
        </w:rPr>
      </w:pPr>
      <w:r w:rsidRPr="00C358E9">
        <w:rPr>
          <w:b/>
          <w:bCs/>
          <w:sz w:val="26"/>
        </w:rPr>
        <w:t xml:space="preserve">2   </w:t>
      </w:r>
      <w:r w:rsidR="00FF45EB" w:rsidRPr="00C358E9">
        <w:rPr>
          <w:b/>
          <w:bCs/>
          <w:sz w:val="26"/>
        </w:rPr>
        <w:t>Company background</w:t>
      </w:r>
    </w:p>
    <w:p w14:paraId="786928FA" w14:textId="275A37DE" w:rsidR="00B40D11" w:rsidRPr="00C358E9" w:rsidRDefault="00CC59B5" w:rsidP="000A65C6">
      <w:pPr>
        <w:adjustRightInd w:val="0"/>
        <w:snapToGrid w:val="0"/>
        <w:spacing w:before="180" w:line="480" w:lineRule="auto"/>
        <w:ind w:firstLine="397"/>
        <w:jc w:val="both"/>
        <w:rPr>
          <w:b/>
          <w:bCs/>
        </w:rPr>
      </w:pPr>
      <w:bookmarkStart w:id="3" w:name="_Hlk126949251"/>
      <w:r w:rsidRPr="00C709FB">
        <w:rPr>
          <w:bCs/>
        </w:rPr>
        <w:t>DEF</w:t>
      </w:r>
      <w:bookmarkEnd w:id="3"/>
      <w:r w:rsidRPr="00C709FB">
        <w:rPr>
          <w:bCs/>
        </w:rPr>
        <w:t xml:space="preserve"> </w:t>
      </w:r>
      <w:r w:rsidR="00E56471" w:rsidRPr="00C709FB">
        <w:rPr>
          <w:bCs/>
        </w:rPr>
        <w:t xml:space="preserve">Hong Kong Limited </w:t>
      </w:r>
      <w:r w:rsidR="00880B13" w:rsidRPr="00C709FB">
        <w:rPr>
          <w:bCs/>
        </w:rPr>
        <w:t>(</w:t>
      </w:r>
      <w:r w:rsidRPr="00C709FB">
        <w:rPr>
          <w:bCs/>
        </w:rPr>
        <w:t>DEF</w:t>
      </w:r>
      <w:r w:rsidR="00880B13" w:rsidRPr="00C709FB">
        <w:rPr>
          <w:bCs/>
        </w:rPr>
        <w:t>)</w:t>
      </w:r>
      <w:r w:rsidR="008F58EF" w:rsidRPr="00C709FB">
        <w:rPr>
          <w:bCs/>
        </w:rPr>
        <w:t xml:space="preserve"> </w:t>
      </w:r>
      <w:r w:rsidR="00A25E04">
        <w:rPr>
          <w:bCs/>
        </w:rPr>
        <w:t xml:space="preserve">is </w:t>
      </w:r>
      <w:r w:rsidR="00880B13" w:rsidRPr="00C709FB">
        <w:rPr>
          <w:bCs/>
        </w:rPr>
        <w:t xml:space="preserve">the </w:t>
      </w:r>
      <w:r w:rsidR="00E56471" w:rsidRPr="00C709FB">
        <w:rPr>
          <w:bCs/>
        </w:rPr>
        <w:t xml:space="preserve">subsidiary </w:t>
      </w:r>
      <w:r w:rsidR="00880B13" w:rsidRPr="00C709FB">
        <w:rPr>
          <w:bCs/>
        </w:rPr>
        <w:t xml:space="preserve">of the </w:t>
      </w:r>
      <w:r w:rsidR="00E56471" w:rsidRPr="00C709FB">
        <w:rPr>
          <w:bCs/>
        </w:rPr>
        <w:t xml:space="preserve">French </w:t>
      </w:r>
      <w:r w:rsidR="004D0020" w:rsidRPr="00C709FB">
        <w:rPr>
          <w:bCs/>
        </w:rPr>
        <w:t>Group</w:t>
      </w:r>
      <w:r w:rsidR="00E56471" w:rsidRPr="00C709FB">
        <w:rPr>
          <w:bCs/>
        </w:rPr>
        <w:t xml:space="preserve"> </w:t>
      </w:r>
      <w:r w:rsidR="00A25E04">
        <w:rPr>
          <w:bCs/>
        </w:rPr>
        <w:t xml:space="preserve">which </w:t>
      </w:r>
      <w:r w:rsidR="008F58EF" w:rsidRPr="00C709FB">
        <w:rPr>
          <w:bCs/>
        </w:rPr>
        <w:t xml:space="preserve">was established </w:t>
      </w:r>
      <w:r w:rsidR="00C709FB">
        <w:rPr>
          <w:rFonts w:hint="eastAsia"/>
          <w:bCs/>
          <w:lang w:val="x-none"/>
        </w:rPr>
        <w:t>i</w:t>
      </w:r>
      <w:r w:rsidR="00C709FB">
        <w:rPr>
          <w:bCs/>
          <w:lang w:val="x-none"/>
        </w:rPr>
        <w:t>n</w:t>
      </w:r>
      <w:r w:rsidR="008F58EF" w:rsidRPr="00C709FB">
        <w:rPr>
          <w:bCs/>
          <w:lang w:val="x-none"/>
        </w:rPr>
        <w:t xml:space="preserve"> </w:t>
      </w:r>
      <w:r w:rsidR="008F58EF" w:rsidRPr="00C709FB">
        <w:rPr>
          <w:bCs/>
        </w:rPr>
        <w:t>199</w:t>
      </w:r>
      <w:r w:rsidR="00C47C44" w:rsidRPr="00C709FB">
        <w:rPr>
          <w:bCs/>
        </w:rPr>
        <w:t>3</w:t>
      </w:r>
      <w:r w:rsidR="008F58EF" w:rsidRPr="00C709FB">
        <w:rPr>
          <w:bCs/>
        </w:rPr>
        <w:t xml:space="preserve"> and was granted licenses by Hong Kong Securities and Futures Commission for regulated activities of </w:t>
      </w:r>
      <w:r w:rsidR="00A25E04">
        <w:rPr>
          <w:bCs/>
        </w:rPr>
        <w:t>d</w:t>
      </w:r>
      <w:r w:rsidR="008F58EF" w:rsidRPr="00860495">
        <w:rPr>
          <w:bCs/>
        </w:rPr>
        <w:t xml:space="preserve">ealing in securities (Type 1), </w:t>
      </w:r>
      <w:r w:rsidR="00A25E04">
        <w:rPr>
          <w:bCs/>
        </w:rPr>
        <w:t>a</w:t>
      </w:r>
      <w:r w:rsidR="008F58EF" w:rsidRPr="00860495">
        <w:rPr>
          <w:bCs/>
        </w:rPr>
        <w:t xml:space="preserve">dvising on securities (Type 4), and </w:t>
      </w:r>
      <w:r w:rsidR="00A25E04">
        <w:rPr>
          <w:bCs/>
        </w:rPr>
        <w:t>a</w:t>
      </w:r>
      <w:r w:rsidR="008F58EF" w:rsidRPr="00860495">
        <w:rPr>
          <w:bCs/>
        </w:rPr>
        <w:t xml:space="preserve">sset </w:t>
      </w:r>
      <w:r w:rsidR="00A25E04">
        <w:rPr>
          <w:bCs/>
        </w:rPr>
        <w:t>m</w:t>
      </w:r>
      <w:r w:rsidR="008F58EF" w:rsidRPr="00860495">
        <w:rPr>
          <w:bCs/>
        </w:rPr>
        <w:t xml:space="preserve">anagement (Type </w:t>
      </w:r>
      <w:proofErr w:type="gramStart"/>
      <w:r w:rsidR="008F58EF" w:rsidRPr="00860495">
        <w:rPr>
          <w:bCs/>
        </w:rPr>
        <w:t>9)</w:t>
      </w:r>
      <w:r w:rsidR="00775D8D">
        <w:rPr>
          <w:bCs/>
        </w:rPr>
        <w:t>(</w:t>
      </w:r>
      <w:proofErr w:type="gramEnd"/>
      <w:r w:rsidR="00775D8D">
        <w:rPr>
          <w:bCs/>
        </w:rPr>
        <w:t>Hong Kong Securities and Future Commission, 2023)</w:t>
      </w:r>
      <w:r w:rsidR="008F58EF" w:rsidRPr="00860495">
        <w:rPr>
          <w:bCs/>
        </w:rPr>
        <w:t>.</w:t>
      </w:r>
      <w:r w:rsidR="00880B13" w:rsidRPr="00860495">
        <w:rPr>
          <w:bCs/>
        </w:rPr>
        <w:t xml:space="preserve"> </w:t>
      </w:r>
      <w:r w:rsidR="00AB6EE9" w:rsidRPr="00860495">
        <w:rPr>
          <w:bCs/>
        </w:rPr>
        <w:t>Its French parent is under regulated by French regulatory authority (</w:t>
      </w:r>
      <w:proofErr w:type="spellStart"/>
      <w:r w:rsidR="00AB6EE9" w:rsidRPr="00860495">
        <w:rPr>
          <w:bCs/>
        </w:rPr>
        <w:t>Autorité</w:t>
      </w:r>
      <w:proofErr w:type="spellEnd"/>
      <w:r w:rsidR="00AB6EE9" w:rsidRPr="00860495">
        <w:rPr>
          <w:bCs/>
        </w:rPr>
        <w:t xml:space="preserve"> des </w:t>
      </w:r>
      <w:proofErr w:type="spellStart"/>
      <w:r w:rsidR="00AB6EE9" w:rsidRPr="00860495">
        <w:rPr>
          <w:bCs/>
        </w:rPr>
        <w:t>Marchés</w:t>
      </w:r>
      <w:proofErr w:type="spellEnd"/>
      <w:r w:rsidR="00AB6EE9" w:rsidRPr="00860495">
        <w:rPr>
          <w:bCs/>
        </w:rPr>
        <w:t xml:space="preserve"> Financiers or AMF)</w:t>
      </w:r>
      <w:r w:rsidR="00775D8D">
        <w:rPr>
          <w:bCs/>
        </w:rPr>
        <w:t xml:space="preserve"> </w:t>
      </w:r>
      <w:r w:rsidR="00041FFC">
        <w:rPr>
          <w:bCs/>
        </w:rPr>
        <w:t>(</w:t>
      </w:r>
      <w:proofErr w:type="spellStart"/>
      <w:r w:rsidR="00041FFC" w:rsidRPr="00860495">
        <w:rPr>
          <w:bCs/>
        </w:rPr>
        <w:t>Autorité</w:t>
      </w:r>
      <w:proofErr w:type="spellEnd"/>
      <w:r w:rsidR="00041FFC" w:rsidRPr="00860495">
        <w:rPr>
          <w:bCs/>
        </w:rPr>
        <w:t xml:space="preserve"> des </w:t>
      </w:r>
      <w:proofErr w:type="spellStart"/>
      <w:r w:rsidR="00041FFC" w:rsidRPr="00860495">
        <w:rPr>
          <w:bCs/>
        </w:rPr>
        <w:t>Marchés</w:t>
      </w:r>
      <w:proofErr w:type="spellEnd"/>
      <w:r w:rsidR="00041FFC" w:rsidRPr="00860495">
        <w:rPr>
          <w:bCs/>
        </w:rPr>
        <w:t xml:space="preserve"> Financiers</w:t>
      </w:r>
      <w:r w:rsidR="00041FFC">
        <w:rPr>
          <w:bCs/>
        </w:rPr>
        <w:t>, 2022)</w:t>
      </w:r>
    </w:p>
    <w:p w14:paraId="7046F2B2" w14:textId="611C2A86" w:rsidR="00AC03C9" w:rsidRPr="00CA018C" w:rsidRDefault="00B40D11" w:rsidP="00DD79F6">
      <w:pPr>
        <w:adjustRightInd w:val="0"/>
        <w:snapToGrid w:val="0"/>
        <w:spacing w:before="180" w:line="360" w:lineRule="auto"/>
        <w:jc w:val="both"/>
        <w:rPr>
          <w:b/>
          <w:bCs/>
        </w:rPr>
      </w:pPr>
      <w:r w:rsidRPr="00C358E9">
        <w:rPr>
          <w:rFonts w:hint="eastAsia"/>
          <w:b/>
          <w:bCs/>
        </w:rPr>
        <w:t>2</w:t>
      </w:r>
      <w:r w:rsidRPr="00C358E9">
        <w:rPr>
          <w:b/>
          <w:bCs/>
        </w:rPr>
        <w:t xml:space="preserve">.1 </w:t>
      </w:r>
      <w:r w:rsidR="00155454" w:rsidRPr="00C358E9">
        <w:rPr>
          <w:b/>
          <w:bCs/>
        </w:rPr>
        <w:t>Company profile</w:t>
      </w:r>
      <w:r w:rsidR="00913BCA" w:rsidRPr="00C358E9">
        <w:rPr>
          <w:b/>
          <w:bCs/>
        </w:rPr>
        <w:t xml:space="preserve"> </w:t>
      </w:r>
    </w:p>
    <w:p w14:paraId="30937974" w14:textId="2A8679B9" w:rsidR="001B1DF5" w:rsidRPr="00E9104C" w:rsidRDefault="00353F8C" w:rsidP="00AF49D2">
      <w:pPr>
        <w:adjustRightInd w:val="0"/>
        <w:snapToGrid w:val="0"/>
        <w:spacing w:before="180" w:line="480" w:lineRule="auto"/>
        <w:ind w:firstLine="397"/>
        <w:jc w:val="both"/>
        <w:rPr>
          <w:bCs/>
        </w:rPr>
      </w:pPr>
      <w:r w:rsidRPr="00E9104C">
        <w:rPr>
          <w:bCs/>
        </w:rPr>
        <w:t xml:space="preserve">DEF </w:t>
      </w:r>
      <w:r w:rsidR="00996521" w:rsidRPr="00E9104C">
        <w:rPr>
          <w:bCs/>
        </w:rPr>
        <w:t xml:space="preserve">has its parent, French based </w:t>
      </w:r>
      <w:r w:rsidR="00CC59B5" w:rsidRPr="00E9104C">
        <w:rPr>
          <w:bCs/>
        </w:rPr>
        <w:t>IJK</w:t>
      </w:r>
      <w:r w:rsidR="00996521" w:rsidRPr="00E9104C">
        <w:rPr>
          <w:bCs/>
        </w:rPr>
        <w:t xml:space="preserve"> </w:t>
      </w:r>
      <w:r w:rsidR="0005421C" w:rsidRPr="00E9104C">
        <w:rPr>
          <w:bCs/>
        </w:rPr>
        <w:t>Group</w:t>
      </w:r>
      <w:r w:rsidR="00996521" w:rsidRPr="00E9104C">
        <w:rPr>
          <w:bCs/>
        </w:rPr>
        <w:t>,</w:t>
      </w:r>
      <w:r w:rsidR="0005421C" w:rsidRPr="00E9104C">
        <w:rPr>
          <w:bCs/>
        </w:rPr>
        <w:t xml:space="preserve"> </w:t>
      </w:r>
      <w:r w:rsidR="0014442A" w:rsidRPr="00E9104C">
        <w:rPr>
          <w:bCs/>
        </w:rPr>
        <w:t>DEF</w:t>
      </w:r>
      <w:r w:rsidR="0005421C" w:rsidRPr="00E9104C">
        <w:rPr>
          <w:bCs/>
        </w:rPr>
        <w:t xml:space="preserve"> has built up is board network around the world,</w:t>
      </w:r>
      <w:r w:rsidR="00996521" w:rsidRPr="00E9104C">
        <w:rPr>
          <w:bCs/>
        </w:rPr>
        <w:t xml:space="preserve"> </w:t>
      </w:r>
      <w:r w:rsidR="002D0543">
        <w:rPr>
          <w:bCs/>
        </w:rPr>
        <w:t xml:space="preserve">exploring any potential markets and invest in return to </w:t>
      </w:r>
      <w:r w:rsidR="00D53AB2">
        <w:rPr>
          <w:bCs/>
        </w:rPr>
        <w:t xml:space="preserve">earn a better return than the current position. </w:t>
      </w:r>
      <w:r w:rsidR="00073632">
        <w:rPr>
          <w:bCs/>
        </w:rPr>
        <w:t>DEF’s investment is diversified, including but not limited to fixed income</w:t>
      </w:r>
      <w:r w:rsidR="006A0AE4">
        <w:rPr>
          <w:bCs/>
        </w:rPr>
        <w:t xml:space="preserve"> </w:t>
      </w:r>
      <w:r w:rsidR="006A0AE4">
        <w:rPr>
          <w:bCs/>
        </w:rPr>
        <w:lastRenderedPageBreak/>
        <w:t xml:space="preserve">issued by premier institutions or </w:t>
      </w:r>
      <w:r w:rsidR="006160C3">
        <w:rPr>
          <w:bCs/>
        </w:rPr>
        <w:t>sovereigns,</w:t>
      </w:r>
      <w:r w:rsidR="00073632">
        <w:rPr>
          <w:bCs/>
        </w:rPr>
        <w:t xml:space="preserve"> </w:t>
      </w:r>
      <w:r w:rsidR="00071196">
        <w:rPr>
          <w:bCs/>
        </w:rPr>
        <w:t xml:space="preserve">stocks in privilege </w:t>
      </w:r>
      <w:r w:rsidR="00F0303E">
        <w:rPr>
          <w:bCs/>
        </w:rPr>
        <w:t xml:space="preserve">local and foreign </w:t>
      </w:r>
      <w:r w:rsidR="00071196">
        <w:rPr>
          <w:bCs/>
        </w:rPr>
        <w:t>stock markets with the constituent stocks with investment grading</w:t>
      </w:r>
      <w:r w:rsidR="00F0303E">
        <w:rPr>
          <w:bCs/>
        </w:rPr>
        <w:t xml:space="preserve">. </w:t>
      </w:r>
    </w:p>
    <w:p w14:paraId="1FE3D1C7" w14:textId="246777F6" w:rsidR="00B40D11" w:rsidRPr="00BB485A" w:rsidRDefault="00B40D11" w:rsidP="00BB485A">
      <w:pPr>
        <w:adjustRightInd w:val="0"/>
        <w:snapToGrid w:val="0"/>
        <w:spacing w:before="180" w:line="360" w:lineRule="auto"/>
        <w:jc w:val="both"/>
        <w:rPr>
          <w:b/>
          <w:bCs/>
        </w:rPr>
      </w:pPr>
      <w:r w:rsidRPr="00C358E9">
        <w:rPr>
          <w:rFonts w:hint="eastAsia"/>
          <w:b/>
        </w:rPr>
        <w:t>2</w:t>
      </w:r>
      <w:r w:rsidRPr="00C358E9">
        <w:rPr>
          <w:b/>
        </w:rPr>
        <w:t xml:space="preserve">.2 </w:t>
      </w:r>
      <w:r w:rsidR="006A0855" w:rsidRPr="00C358E9">
        <w:rPr>
          <w:b/>
        </w:rPr>
        <w:t xml:space="preserve">Current investment portfolio </w:t>
      </w:r>
    </w:p>
    <w:p w14:paraId="43E51CA4" w14:textId="1E99ACB6" w:rsidR="00783714" w:rsidRPr="00690C02" w:rsidRDefault="00783714" w:rsidP="00C65A3F">
      <w:pPr>
        <w:adjustRightInd w:val="0"/>
        <w:snapToGrid w:val="0"/>
        <w:spacing w:before="180"/>
        <w:jc w:val="both"/>
        <w:rPr>
          <w:bCs/>
          <w:color w:val="000000" w:themeColor="text1"/>
        </w:rPr>
      </w:pPr>
      <w:r w:rsidRPr="00690C02">
        <w:rPr>
          <w:bCs/>
          <w:color w:val="000000" w:themeColor="text1"/>
        </w:rPr>
        <w:t xml:space="preserve">Table 1 </w:t>
      </w:r>
      <w:r w:rsidR="006A0855" w:rsidRPr="00690C02">
        <w:rPr>
          <w:bCs/>
          <w:color w:val="000000" w:themeColor="text1"/>
        </w:rPr>
        <w:t xml:space="preserve">Investment portfolio </w:t>
      </w:r>
      <w:r w:rsidR="00155454" w:rsidRPr="00690C02">
        <w:rPr>
          <w:bCs/>
          <w:color w:val="000000" w:themeColor="text1"/>
        </w:rPr>
        <w:t xml:space="preserve">of the company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2"/>
        <w:gridCol w:w="1269"/>
        <w:gridCol w:w="1144"/>
        <w:gridCol w:w="928"/>
        <w:gridCol w:w="1276"/>
        <w:gridCol w:w="1277"/>
        <w:gridCol w:w="984"/>
      </w:tblGrid>
      <w:tr w:rsidR="00690C02" w:rsidRPr="00690C02" w14:paraId="3CE0EA11" w14:textId="548EA999" w:rsidTr="00CA3C16">
        <w:tc>
          <w:tcPr>
            <w:tcW w:w="2182" w:type="dxa"/>
            <w:shd w:val="clear" w:color="auto" w:fill="auto"/>
          </w:tcPr>
          <w:p w14:paraId="4788A8DA" w14:textId="77777777" w:rsidR="00CE45CB" w:rsidRPr="00690C02" w:rsidRDefault="00CE45CB" w:rsidP="00582BF0">
            <w:pPr>
              <w:adjustRightInd w:val="0"/>
              <w:snapToGrid w:val="0"/>
              <w:spacing w:before="180"/>
              <w:jc w:val="both"/>
              <w:rPr>
                <w:bCs/>
                <w:color w:val="000000" w:themeColor="text1"/>
              </w:rPr>
            </w:pPr>
          </w:p>
        </w:tc>
        <w:tc>
          <w:tcPr>
            <w:tcW w:w="3341" w:type="dxa"/>
            <w:gridSpan w:val="3"/>
          </w:tcPr>
          <w:p w14:paraId="60C294E6" w14:textId="2A0C2DC9" w:rsidR="00CE45CB" w:rsidRPr="00690C02" w:rsidRDefault="003F1D6C" w:rsidP="00AB5D04">
            <w:pPr>
              <w:adjustRightInd w:val="0"/>
              <w:snapToGrid w:val="0"/>
              <w:spacing w:before="180"/>
              <w:jc w:val="center"/>
              <w:rPr>
                <w:bCs/>
                <w:color w:val="000000" w:themeColor="text1"/>
              </w:rPr>
            </w:pPr>
            <w:r w:rsidRPr="00690C02">
              <w:rPr>
                <w:bCs/>
                <w:color w:val="000000" w:themeColor="text1"/>
              </w:rPr>
              <w:t>2015-</w:t>
            </w:r>
            <w:r w:rsidR="00CE45CB" w:rsidRPr="00690C02">
              <w:rPr>
                <w:bCs/>
                <w:color w:val="000000" w:themeColor="text1"/>
              </w:rPr>
              <w:t>18</w:t>
            </w:r>
          </w:p>
        </w:tc>
        <w:tc>
          <w:tcPr>
            <w:tcW w:w="3537" w:type="dxa"/>
            <w:gridSpan w:val="3"/>
            <w:shd w:val="clear" w:color="auto" w:fill="auto"/>
          </w:tcPr>
          <w:p w14:paraId="000D29CE" w14:textId="6EACF33B" w:rsidR="00CE45CB" w:rsidRPr="00690C02" w:rsidRDefault="003F1D6C" w:rsidP="00AB5D04">
            <w:pPr>
              <w:adjustRightInd w:val="0"/>
              <w:snapToGrid w:val="0"/>
              <w:spacing w:before="180"/>
              <w:jc w:val="center"/>
              <w:rPr>
                <w:bCs/>
                <w:color w:val="000000" w:themeColor="text1"/>
              </w:rPr>
            </w:pPr>
            <w:r w:rsidRPr="00690C02">
              <w:rPr>
                <w:bCs/>
                <w:color w:val="000000" w:themeColor="text1"/>
              </w:rPr>
              <w:t>2019-</w:t>
            </w:r>
            <w:r w:rsidR="00CE45CB" w:rsidRPr="00690C02">
              <w:rPr>
                <w:bCs/>
                <w:color w:val="000000" w:themeColor="text1"/>
              </w:rPr>
              <w:t>2</w:t>
            </w:r>
            <w:r w:rsidRPr="00690C02">
              <w:rPr>
                <w:bCs/>
                <w:color w:val="000000" w:themeColor="text1"/>
              </w:rPr>
              <w:t>2</w:t>
            </w:r>
          </w:p>
        </w:tc>
      </w:tr>
      <w:tr w:rsidR="00CA3C16" w:rsidRPr="00690C02" w14:paraId="5B445D4E" w14:textId="1275524C" w:rsidTr="00CA3C16">
        <w:tc>
          <w:tcPr>
            <w:tcW w:w="2182" w:type="dxa"/>
            <w:shd w:val="clear" w:color="auto" w:fill="auto"/>
          </w:tcPr>
          <w:p w14:paraId="732094F3" w14:textId="77777777" w:rsidR="00CA3C16" w:rsidRPr="00690C02" w:rsidRDefault="00CA3C16" w:rsidP="00582BF0">
            <w:pPr>
              <w:adjustRightInd w:val="0"/>
              <w:snapToGrid w:val="0"/>
              <w:spacing w:before="180"/>
              <w:jc w:val="both"/>
              <w:rPr>
                <w:bCs/>
                <w:color w:val="000000" w:themeColor="text1"/>
              </w:rPr>
            </w:pPr>
          </w:p>
        </w:tc>
        <w:tc>
          <w:tcPr>
            <w:tcW w:w="1269" w:type="dxa"/>
            <w:vAlign w:val="center"/>
          </w:tcPr>
          <w:p w14:paraId="39C07F63" w14:textId="2E3733ED" w:rsidR="00CA3C16" w:rsidRPr="00690C02" w:rsidRDefault="00CA3C16" w:rsidP="00CA3C16">
            <w:pPr>
              <w:adjustRightInd w:val="0"/>
              <w:snapToGrid w:val="0"/>
              <w:spacing w:before="180"/>
              <w:jc w:val="center"/>
              <w:rPr>
                <w:bCs/>
                <w:color w:val="000000" w:themeColor="text1"/>
              </w:rPr>
            </w:pPr>
            <w:r w:rsidRPr="00690C02">
              <w:rPr>
                <w:rFonts w:hint="eastAsia"/>
                <w:bCs/>
                <w:color w:val="000000" w:themeColor="text1"/>
              </w:rPr>
              <w:t>D</w:t>
            </w:r>
            <w:r w:rsidRPr="00690C02">
              <w:rPr>
                <w:bCs/>
                <w:color w:val="000000" w:themeColor="text1"/>
              </w:rPr>
              <w:t>omestic</w:t>
            </w:r>
          </w:p>
        </w:tc>
        <w:tc>
          <w:tcPr>
            <w:tcW w:w="1144" w:type="dxa"/>
            <w:shd w:val="clear" w:color="auto" w:fill="auto"/>
            <w:vAlign w:val="center"/>
          </w:tcPr>
          <w:p w14:paraId="43FF1681" w14:textId="5AA044DA" w:rsidR="00CA3C16" w:rsidRPr="00690C02" w:rsidRDefault="00CA3C16" w:rsidP="00CA3C16">
            <w:pPr>
              <w:adjustRightInd w:val="0"/>
              <w:snapToGrid w:val="0"/>
              <w:spacing w:before="180"/>
              <w:jc w:val="center"/>
              <w:rPr>
                <w:bCs/>
                <w:color w:val="000000" w:themeColor="text1"/>
              </w:rPr>
            </w:pPr>
            <w:r w:rsidRPr="00690C02">
              <w:rPr>
                <w:rFonts w:hint="eastAsia"/>
                <w:bCs/>
                <w:color w:val="000000" w:themeColor="text1"/>
              </w:rPr>
              <w:t>F</w:t>
            </w:r>
            <w:r w:rsidRPr="00690C02">
              <w:rPr>
                <w:bCs/>
                <w:color w:val="000000" w:themeColor="text1"/>
              </w:rPr>
              <w:t>oreign countries</w:t>
            </w:r>
          </w:p>
        </w:tc>
        <w:tc>
          <w:tcPr>
            <w:tcW w:w="928" w:type="dxa"/>
            <w:shd w:val="clear" w:color="auto" w:fill="auto"/>
            <w:vAlign w:val="center"/>
          </w:tcPr>
          <w:p w14:paraId="21B1651B" w14:textId="644069A7" w:rsidR="00CA3C16" w:rsidRPr="00CA3C16" w:rsidRDefault="00CA3C16" w:rsidP="00CA3C16">
            <w:pPr>
              <w:spacing w:before="180"/>
              <w:jc w:val="center"/>
              <w:rPr>
                <w:rFonts w:eastAsiaTheme="minorEastAsia"/>
                <w:b/>
                <w:color w:val="000000" w:themeColor="text1"/>
              </w:rPr>
            </w:pPr>
            <w:r w:rsidRPr="00F17BA1">
              <w:rPr>
                <w:rFonts w:eastAsiaTheme="minorEastAsia" w:hint="eastAsia"/>
                <w:b/>
                <w:color w:val="000000" w:themeColor="text1"/>
              </w:rPr>
              <w:t>T</w:t>
            </w:r>
            <w:r w:rsidRPr="00F17BA1">
              <w:rPr>
                <w:rFonts w:eastAsiaTheme="minorEastAsia"/>
                <w:b/>
                <w:color w:val="000000" w:themeColor="text1"/>
              </w:rPr>
              <w:t>otal</w:t>
            </w:r>
          </w:p>
        </w:tc>
        <w:tc>
          <w:tcPr>
            <w:tcW w:w="1276" w:type="dxa"/>
            <w:shd w:val="clear" w:color="auto" w:fill="auto"/>
            <w:vAlign w:val="center"/>
          </w:tcPr>
          <w:p w14:paraId="2C0F1FD1" w14:textId="067DC313" w:rsidR="00CA3C16" w:rsidRPr="00690C02" w:rsidRDefault="00CA3C16" w:rsidP="00CA3C16">
            <w:pPr>
              <w:adjustRightInd w:val="0"/>
              <w:snapToGrid w:val="0"/>
              <w:spacing w:before="180"/>
              <w:jc w:val="center"/>
              <w:rPr>
                <w:bCs/>
                <w:color w:val="000000" w:themeColor="text1"/>
              </w:rPr>
            </w:pPr>
            <w:r w:rsidRPr="00690C02">
              <w:rPr>
                <w:rFonts w:hint="eastAsia"/>
                <w:bCs/>
                <w:color w:val="000000" w:themeColor="text1"/>
              </w:rPr>
              <w:t>D</w:t>
            </w:r>
            <w:r w:rsidRPr="00690C02">
              <w:rPr>
                <w:bCs/>
                <w:color w:val="000000" w:themeColor="text1"/>
              </w:rPr>
              <w:t>omestic</w:t>
            </w:r>
          </w:p>
        </w:tc>
        <w:tc>
          <w:tcPr>
            <w:tcW w:w="1277" w:type="dxa"/>
            <w:vAlign w:val="center"/>
          </w:tcPr>
          <w:p w14:paraId="46EBAF80" w14:textId="275A7A54" w:rsidR="00CA3C16" w:rsidRPr="00690C02" w:rsidRDefault="00CA3C16" w:rsidP="00CA3C16">
            <w:pPr>
              <w:adjustRightInd w:val="0"/>
              <w:snapToGrid w:val="0"/>
              <w:spacing w:before="180"/>
              <w:jc w:val="center"/>
              <w:rPr>
                <w:bCs/>
                <w:color w:val="000000" w:themeColor="text1"/>
              </w:rPr>
            </w:pPr>
            <w:r w:rsidRPr="00690C02">
              <w:rPr>
                <w:rFonts w:hint="eastAsia"/>
                <w:bCs/>
                <w:color w:val="000000" w:themeColor="text1"/>
              </w:rPr>
              <w:t>F</w:t>
            </w:r>
            <w:r w:rsidRPr="00690C02">
              <w:rPr>
                <w:bCs/>
                <w:color w:val="000000" w:themeColor="text1"/>
              </w:rPr>
              <w:t>oreign countries</w:t>
            </w:r>
          </w:p>
        </w:tc>
        <w:tc>
          <w:tcPr>
            <w:tcW w:w="984" w:type="dxa"/>
            <w:vAlign w:val="center"/>
          </w:tcPr>
          <w:p w14:paraId="39E2ED86" w14:textId="7EA03C90" w:rsidR="00CA3C16" w:rsidRPr="00CA3C16" w:rsidRDefault="00CA3C16" w:rsidP="00CA3C16">
            <w:pPr>
              <w:adjustRightInd w:val="0"/>
              <w:snapToGrid w:val="0"/>
              <w:spacing w:before="180"/>
              <w:jc w:val="center"/>
              <w:rPr>
                <w:rFonts w:eastAsiaTheme="minorEastAsia"/>
                <w:b/>
                <w:color w:val="000000" w:themeColor="text1"/>
              </w:rPr>
            </w:pPr>
            <w:r w:rsidRPr="00F17BA1">
              <w:rPr>
                <w:rFonts w:eastAsiaTheme="minorEastAsia" w:hint="eastAsia"/>
                <w:b/>
                <w:color w:val="000000" w:themeColor="text1"/>
              </w:rPr>
              <w:t>T</w:t>
            </w:r>
            <w:r w:rsidRPr="00F17BA1">
              <w:rPr>
                <w:rFonts w:eastAsiaTheme="minorEastAsia"/>
                <w:b/>
                <w:color w:val="000000" w:themeColor="text1"/>
              </w:rPr>
              <w:t>otal</w:t>
            </w:r>
          </w:p>
        </w:tc>
      </w:tr>
      <w:tr w:rsidR="00CA3C16" w:rsidRPr="00690C02" w14:paraId="0CA04FDC" w14:textId="16F5E0D8" w:rsidTr="00CA3C16">
        <w:tc>
          <w:tcPr>
            <w:tcW w:w="2182" w:type="dxa"/>
            <w:shd w:val="clear" w:color="auto" w:fill="auto"/>
          </w:tcPr>
          <w:p w14:paraId="1B8067CB" w14:textId="45C598C6" w:rsidR="00CA3C16" w:rsidRPr="00690C02" w:rsidRDefault="00CA3C16" w:rsidP="00582BF0">
            <w:pPr>
              <w:adjustRightInd w:val="0"/>
              <w:snapToGrid w:val="0"/>
              <w:spacing w:before="180"/>
              <w:jc w:val="both"/>
              <w:rPr>
                <w:bCs/>
                <w:color w:val="000000" w:themeColor="text1"/>
              </w:rPr>
            </w:pPr>
            <w:r w:rsidRPr="00690C02">
              <w:rPr>
                <w:bCs/>
                <w:color w:val="000000" w:themeColor="text1"/>
              </w:rPr>
              <w:t>Equity (%)</w:t>
            </w:r>
          </w:p>
        </w:tc>
        <w:tc>
          <w:tcPr>
            <w:tcW w:w="1269" w:type="dxa"/>
            <w:vAlign w:val="center"/>
          </w:tcPr>
          <w:p w14:paraId="48544C69" w14:textId="65B3D99D"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4</w:t>
            </w:r>
            <w:r w:rsidRPr="00690C02">
              <w:rPr>
                <w:bCs/>
                <w:color w:val="000000" w:themeColor="text1"/>
              </w:rPr>
              <w:t>0</w:t>
            </w:r>
          </w:p>
        </w:tc>
        <w:tc>
          <w:tcPr>
            <w:tcW w:w="1144" w:type="dxa"/>
            <w:shd w:val="clear" w:color="auto" w:fill="auto"/>
            <w:vAlign w:val="center"/>
          </w:tcPr>
          <w:p w14:paraId="281A9384" w14:textId="5CA56A1B"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1</w:t>
            </w:r>
            <w:r w:rsidRPr="00690C02">
              <w:rPr>
                <w:bCs/>
                <w:color w:val="000000" w:themeColor="text1"/>
              </w:rPr>
              <w:t>0</w:t>
            </w:r>
          </w:p>
        </w:tc>
        <w:tc>
          <w:tcPr>
            <w:tcW w:w="928" w:type="dxa"/>
            <w:shd w:val="clear" w:color="auto" w:fill="auto"/>
            <w:vAlign w:val="center"/>
          </w:tcPr>
          <w:p w14:paraId="5310CC99" w14:textId="521A1DA1" w:rsidR="00CA3C16" w:rsidRPr="00CA3C16" w:rsidRDefault="00CA3C16"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5</w:t>
            </w:r>
            <w:r>
              <w:rPr>
                <w:rFonts w:eastAsiaTheme="minorEastAsia"/>
                <w:b/>
                <w:color w:val="000000" w:themeColor="text1"/>
              </w:rPr>
              <w:t>0</w:t>
            </w:r>
          </w:p>
        </w:tc>
        <w:tc>
          <w:tcPr>
            <w:tcW w:w="1276" w:type="dxa"/>
            <w:shd w:val="clear" w:color="auto" w:fill="auto"/>
            <w:vAlign w:val="center"/>
          </w:tcPr>
          <w:p w14:paraId="1E99EE58" w14:textId="3B633385" w:rsidR="00CA3C16" w:rsidRPr="00690C02" w:rsidRDefault="00A62705" w:rsidP="00E80CF7">
            <w:pPr>
              <w:adjustRightInd w:val="0"/>
              <w:snapToGrid w:val="0"/>
              <w:spacing w:before="180"/>
              <w:jc w:val="center"/>
              <w:rPr>
                <w:bCs/>
                <w:color w:val="000000" w:themeColor="text1"/>
              </w:rPr>
            </w:pPr>
            <w:r>
              <w:rPr>
                <w:rFonts w:hint="eastAsia"/>
                <w:bCs/>
                <w:color w:val="000000" w:themeColor="text1"/>
              </w:rPr>
              <w:t>3</w:t>
            </w:r>
            <w:r w:rsidR="00BE516E">
              <w:rPr>
                <w:bCs/>
                <w:color w:val="000000" w:themeColor="text1"/>
              </w:rPr>
              <w:t>0</w:t>
            </w:r>
          </w:p>
        </w:tc>
        <w:tc>
          <w:tcPr>
            <w:tcW w:w="1277" w:type="dxa"/>
            <w:vAlign w:val="center"/>
          </w:tcPr>
          <w:p w14:paraId="7583755D" w14:textId="175C8996"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1</w:t>
            </w:r>
            <w:r w:rsidRPr="00690C02">
              <w:rPr>
                <w:bCs/>
                <w:color w:val="000000" w:themeColor="text1"/>
              </w:rPr>
              <w:t>0</w:t>
            </w:r>
          </w:p>
        </w:tc>
        <w:tc>
          <w:tcPr>
            <w:tcW w:w="984" w:type="dxa"/>
            <w:vAlign w:val="center"/>
          </w:tcPr>
          <w:p w14:paraId="71BF7D08" w14:textId="72090AE8" w:rsidR="00CA3C16" w:rsidRPr="00CA3C16" w:rsidRDefault="00A62705"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4</w:t>
            </w:r>
            <w:r w:rsidR="00BE516E">
              <w:rPr>
                <w:rFonts w:eastAsiaTheme="minorEastAsia"/>
                <w:b/>
                <w:color w:val="000000" w:themeColor="text1"/>
              </w:rPr>
              <w:t>0</w:t>
            </w:r>
          </w:p>
        </w:tc>
      </w:tr>
      <w:tr w:rsidR="00CA3C16" w:rsidRPr="00690C02" w14:paraId="29BBCCDC" w14:textId="097F3859" w:rsidTr="00CA3C16">
        <w:tc>
          <w:tcPr>
            <w:tcW w:w="2182" w:type="dxa"/>
            <w:shd w:val="clear" w:color="auto" w:fill="auto"/>
          </w:tcPr>
          <w:p w14:paraId="7D2467FC" w14:textId="314FF9FD" w:rsidR="00CA3C16" w:rsidRPr="00690C02" w:rsidRDefault="00CA3C16" w:rsidP="00582BF0">
            <w:pPr>
              <w:adjustRightInd w:val="0"/>
              <w:snapToGrid w:val="0"/>
              <w:spacing w:before="180"/>
              <w:jc w:val="both"/>
              <w:rPr>
                <w:bCs/>
                <w:color w:val="000000" w:themeColor="text1"/>
              </w:rPr>
            </w:pPr>
            <w:r w:rsidRPr="00690C02">
              <w:rPr>
                <w:bCs/>
                <w:color w:val="000000" w:themeColor="text1"/>
              </w:rPr>
              <w:t>Debt securities (%)</w:t>
            </w:r>
          </w:p>
        </w:tc>
        <w:tc>
          <w:tcPr>
            <w:tcW w:w="1269" w:type="dxa"/>
            <w:vAlign w:val="center"/>
          </w:tcPr>
          <w:p w14:paraId="6E996FB9" w14:textId="7E9D9588"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2</w:t>
            </w:r>
            <w:r w:rsidRPr="00690C02">
              <w:rPr>
                <w:bCs/>
                <w:color w:val="000000" w:themeColor="text1"/>
              </w:rPr>
              <w:t>5</w:t>
            </w:r>
          </w:p>
        </w:tc>
        <w:tc>
          <w:tcPr>
            <w:tcW w:w="1144" w:type="dxa"/>
            <w:shd w:val="clear" w:color="auto" w:fill="auto"/>
            <w:vAlign w:val="center"/>
          </w:tcPr>
          <w:p w14:paraId="78B6302B" w14:textId="580BF97B"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1</w:t>
            </w:r>
            <w:r w:rsidRPr="00690C02">
              <w:rPr>
                <w:bCs/>
                <w:color w:val="000000" w:themeColor="text1"/>
              </w:rPr>
              <w:t>0</w:t>
            </w:r>
          </w:p>
        </w:tc>
        <w:tc>
          <w:tcPr>
            <w:tcW w:w="928" w:type="dxa"/>
            <w:shd w:val="clear" w:color="auto" w:fill="auto"/>
            <w:vAlign w:val="center"/>
          </w:tcPr>
          <w:p w14:paraId="5101B359" w14:textId="55600141" w:rsidR="00CA3C16" w:rsidRPr="00CA3C16" w:rsidRDefault="00CA3C16"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3</w:t>
            </w:r>
            <w:r>
              <w:rPr>
                <w:rFonts w:eastAsiaTheme="minorEastAsia"/>
                <w:b/>
                <w:color w:val="000000" w:themeColor="text1"/>
              </w:rPr>
              <w:t>5</w:t>
            </w:r>
          </w:p>
        </w:tc>
        <w:tc>
          <w:tcPr>
            <w:tcW w:w="1276" w:type="dxa"/>
            <w:shd w:val="clear" w:color="auto" w:fill="auto"/>
            <w:vAlign w:val="center"/>
          </w:tcPr>
          <w:p w14:paraId="0062EB1E" w14:textId="717CA273" w:rsidR="00CA3C16" w:rsidRPr="00690C02" w:rsidRDefault="00BE516E" w:rsidP="00E80CF7">
            <w:pPr>
              <w:adjustRightInd w:val="0"/>
              <w:snapToGrid w:val="0"/>
              <w:spacing w:before="180"/>
              <w:jc w:val="center"/>
              <w:rPr>
                <w:bCs/>
                <w:color w:val="000000" w:themeColor="text1"/>
              </w:rPr>
            </w:pPr>
            <w:r>
              <w:rPr>
                <w:rFonts w:hint="eastAsia"/>
                <w:bCs/>
                <w:color w:val="000000" w:themeColor="text1"/>
              </w:rPr>
              <w:t>2</w:t>
            </w:r>
            <w:r>
              <w:rPr>
                <w:bCs/>
                <w:color w:val="000000" w:themeColor="text1"/>
              </w:rPr>
              <w:t>0</w:t>
            </w:r>
          </w:p>
        </w:tc>
        <w:tc>
          <w:tcPr>
            <w:tcW w:w="1277" w:type="dxa"/>
            <w:vAlign w:val="center"/>
          </w:tcPr>
          <w:p w14:paraId="0EFC57DF" w14:textId="70249D40"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1</w:t>
            </w:r>
            <w:r w:rsidRPr="00690C02">
              <w:rPr>
                <w:bCs/>
                <w:color w:val="000000" w:themeColor="text1"/>
              </w:rPr>
              <w:t>0</w:t>
            </w:r>
          </w:p>
        </w:tc>
        <w:tc>
          <w:tcPr>
            <w:tcW w:w="984" w:type="dxa"/>
            <w:vAlign w:val="center"/>
          </w:tcPr>
          <w:p w14:paraId="70A16241" w14:textId="61E6788F" w:rsidR="00CA3C16" w:rsidRPr="00CA3C16" w:rsidRDefault="00BE516E"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3</w:t>
            </w:r>
            <w:r>
              <w:rPr>
                <w:rFonts w:eastAsiaTheme="minorEastAsia"/>
                <w:b/>
                <w:color w:val="000000" w:themeColor="text1"/>
              </w:rPr>
              <w:t>0</w:t>
            </w:r>
          </w:p>
        </w:tc>
      </w:tr>
      <w:tr w:rsidR="00CA3C16" w:rsidRPr="00690C02" w14:paraId="2FB65F99" w14:textId="50F580F9" w:rsidTr="00CA3C16">
        <w:tc>
          <w:tcPr>
            <w:tcW w:w="2182" w:type="dxa"/>
            <w:shd w:val="clear" w:color="auto" w:fill="auto"/>
          </w:tcPr>
          <w:p w14:paraId="2BFA8D58" w14:textId="11A4CA57" w:rsidR="00CA3C16" w:rsidRPr="00690C02" w:rsidRDefault="00CA3C16" w:rsidP="00582BF0">
            <w:pPr>
              <w:adjustRightInd w:val="0"/>
              <w:snapToGrid w:val="0"/>
              <w:spacing w:before="180"/>
              <w:jc w:val="both"/>
              <w:rPr>
                <w:bCs/>
                <w:color w:val="000000" w:themeColor="text1"/>
              </w:rPr>
            </w:pPr>
            <w:r w:rsidRPr="00690C02">
              <w:rPr>
                <w:rFonts w:hint="eastAsia"/>
                <w:bCs/>
                <w:color w:val="000000" w:themeColor="text1"/>
              </w:rPr>
              <w:t>B</w:t>
            </w:r>
            <w:r w:rsidRPr="00690C02">
              <w:rPr>
                <w:bCs/>
                <w:color w:val="000000" w:themeColor="text1"/>
              </w:rPr>
              <w:t>ank deposits (%)</w:t>
            </w:r>
          </w:p>
        </w:tc>
        <w:tc>
          <w:tcPr>
            <w:tcW w:w="1269" w:type="dxa"/>
            <w:vAlign w:val="center"/>
          </w:tcPr>
          <w:p w14:paraId="70A3E284" w14:textId="5C1F17CB"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1</w:t>
            </w:r>
            <w:r w:rsidRPr="00690C02">
              <w:rPr>
                <w:bCs/>
                <w:color w:val="000000" w:themeColor="text1"/>
              </w:rPr>
              <w:t>5</w:t>
            </w:r>
          </w:p>
        </w:tc>
        <w:tc>
          <w:tcPr>
            <w:tcW w:w="1144" w:type="dxa"/>
            <w:shd w:val="clear" w:color="auto" w:fill="auto"/>
            <w:vAlign w:val="center"/>
          </w:tcPr>
          <w:p w14:paraId="460D3C24" w14:textId="2CA816E1" w:rsidR="00CA3C16" w:rsidRPr="00CA3C16" w:rsidRDefault="00CA3C16" w:rsidP="00E80CF7">
            <w:pPr>
              <w:adjustRightInd w:val="0"/>
              <w:snapToGrid w:val="0"/>
              <w:spacing w:before="180"/>
              <w:jc w:val="center"/>
              <w:rPr>
                <w:rFonts w:eastAsiaTheme="minorEastAsia"/>
                <w:bCs/>
                <w:color w:val="000000" w:themeColor="text1"/>
              </w:rPr>
            </w:pPr>
            <w:r>
              <w:rPr>
                <w:rFonts w:eastAsiaTheme="minorEastAsia" w:hint="eastAsia"/>
                <w:bCs/>
                <w:color w:val="000000" w:themeColor="text1"/>
              </w:rPr>
              <w:t>0</w:t>
            </w:r>
          </w:p>
        </w:tc>
        <w:tc>
          <w:tcPr>
            <w:tcW w:w="928" w:type="dxa"/>
            <w:shd w:val="clear" w:color="auto" w:fill="auto"/>
            <w:vAlign w:val="center"/>
          </w:tcPr>
          <w:p w14:paraId="63C51B10" w14:textId="78EB68FE" w:rsidR="00CA3C16" w:rsidRPr="00CA3C16" w:rsidRDefault="00CA3C16"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1</w:t>
            </w:r>
            <w:r>
              <w:rPr>
                <w:rFonts w:eastAsiaTheme="minorEastAsia"/>
                <w:b/>
                <w:color w:val="000000" w:themeColor="text1"/>
              </w:rPr>
              <w:t>5</w:t>
            </w:r>
          </w:p>
        </w:tc>
        <w:tc>
          <w:tcPr>
            <w:tcW w:w="1276" w:type="dxa"/>
            <w:shd w:val="clear" w:color="auto" w:fill="auto"/>
            <w:vAlign w:val="center"/>
          </w:tcPr>
          <w:p w14:paraId="04C8FC63" w14:textId="2677FA2B" w:rsidR="00CA3C16" w:rsidRPr="00690C02" w:rsidRDefault="00CA3C16" w:rsidP="00E80CF7">
            <w:pPr>
              <w:adjustRightInd w:val="0"/>
              <w:snapToGrid w:val="0"/>
              <w:spacing w:before="180"/>
              <w:jc w:val="center"/>
              <w:rPr>
                <w:bCs/>
                <w:color w:val="000000" w:themeColor="text1"/>
              </w:rPr>
            </w:pPr>
            <w:r w:rsidRPr="00690C02">
              <w:rPr>
                <w:rFonts w:hint="eastAsia"/>
                <w:bCs/>
                <w:color w:val="000000" w:themeColor="text1"/>
              </w:rPr>
              <w:t>3</w:t>
            </w:r>
            <w:r w:rsidRPr="00690C02">
              <w:rPr>
                <w:bCs/>
                <w:color w:val="000000" w:themeColor="text1"/>
              </w:rPr>
              <w:t>0</w:t>
            </w:r>
          </w:p>
        </w:tc>
        <w:tc>
          <w:tcPr>
            <w:tcW w:w="1277" w:type="dxa"/>
            <w:vAlign w:val="center"/>
          </w:tcPr>
          <w:p w14:paraId="4DCC5547" w14:textId="725E6564" w:rsidR="00CA3C16" w:rsidRPr="00CA3C16" w:rsidRDefault="00CA3C16" w:rsidP="00E80CF7">
            <w:pPr>
              <w:adjustRightInd w:val="0"/>
              <w:snapToGrid w:val="0"/>
              <w:spacing w:before="180"/>
              <w:jc w:val="center"/>
              <w:rPr>
                <w:rFonts w:eastAsiaTheme="minorEastAsia"/>
                <w:bCs/>
                <w:color w:val="000000" w:themeColor="text1"/>
              </w:rPr>
            </w:pPr>
            <w:r>
              <w:rPr>
                <w:rFonts w:eastAsiaTheme="minorEastAsia" w:hint="eastAsia"/>
                <w:bCs/>
                <w:color w:val="000000" w:themeColor="text1"/>
              </w:rPr>
              <w:t>0</w:t>
            </w:r>
          </w:p>
        </w:tc>
        <w:tc>
          <w:tcPr>
            <w:tcW w:w="984" w:type="dxa"/>
            <w:vAlign w:val="center"/>
          </w:tcPr>
          <w:p w14:paraId="7561AD97" w14:textId="2E6FA274" w:rsidR="00CA3C16" w:rsidRPr="00CA3C16" w:rsidRDefault="00CA3C16"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3</w:t>
            </w:r>
            <w:r>
              <w:rPr>
                <w:rFonts w:eastAsiaTheme="minorEastAsia"/>
                <w:b/>
                <w:color w:val="000000" w:themeColor="text1"/>
              </w:rPr>
              <w:t>0</w:t>
            </w:r>
          </w:p>
        </w:tc>
      </w:tr>
      <w:tr w:rsidR="00CA3C16" w:rsidRPr="00690C02" w14:paraId="72D538BB" w14:textId="45AA8DBA" w:rsidTr="00CA3C16">
        <w:tc>
          <w:tcPr>
            <w:tcW w:w="2182" w:type="dxa"/>
            <w:shd w:val="clear" w:color="auto" w:fill="auto"/>
          </w:tcPr>
          <w:p w14:paraId="7A8AB291" w14:textId="18F581DB" w:rsidR="00CA3C16" w:rsidRPr="00CA3C16" w:rsidRDefault="00CA3C16" w:rsidP="00582BF0">
            <w:pPr>
              <w:adjustRightInd w:val="0"/>
              <w:snapToGrid w:val="0"/>
              <w:spacing w:before="180"/>
              <w:jc w:val="both"/>
              <w:rPr>
                <w:rFonts w:eastAsiaTheme="minorEastAsia"/>
                <w:b/>
                <w:color w:val="000000" w:themeColor="text1"/>
              </w:rPr>
            </w:pPr>
            <w:r w:rsidRPr="00F17BA1">
              <w:rPr>
                <w:rFonts w:eastAsiaTheme="minorEastAsia" w:hint="eastAsia"/>
                <w:b/>
                <w:color w:val="000000" w:themeColor="text1"/>
              </w:rPr>
              <w:t>T</w:t>
            </w:r>
            <w:r w:rsidRPr="00F17BA1">
              <w:rPr>
                <w:rFonts w:eastAsiaTheme="minorEastAsia"/>
                <w:b/>
                <w:color w:val="000000" w:themeColor="text1"/>
              </w:rPr>
              <w:t>otal (%)</w:t>
            </w:r>
          </w:p>
        </w:tc>
        <w:tc>
          <w:tcPr>
            <w:tcW w:w="1269" w:type="dxa"/>
            <w:vAlign w:val="center"/>
          </w:tcPr>
          <w:p w14:paraId="5D5AAB12" w14:textId="6F6E39AC" w:rsidR="00CA3C16" w:rsidRPr="00CA3C16" w:rsidRDefault="00CA3C16" w:rsidP="00E80CF7">
            <w:pPr>
              <w:adjustRightInd w:val="0"/>
              <w:snapToGrid w:val="0"/>
              <w:spacing w:before="180"/>
              <w:jc w:val="center"/>
              <w:rPr>
                <w:rFonts w:eastAsiaTheme="minorEastAsia"/>
                <w:b/>
                <w:color w:val="000000" w:themeColor="text1"/>
              </w:rPr>
            </w:pPr>
            <w:r w:rsidRPr="00CA3C16">
              <w:rPr>
                <w:rFonts w:eastAsiaTheme="minorEastAsia" w:hint="eastAsia"/>
                <w:b/>
                <w:color w:val="000000" w:themeColor="text1"/>
              </w:rPr>
              <w:t>8</w:t>
            </w:r>
            <w:r w:rsidRPr="00CA3C16">
              <w:rPr>
                <w:rFonts w:eastAsiaTheme="minorEastAsia"/>
                <w:b/>
                <w:color w:val="000000" w:themeColor="text1"/>
              </w:rPr>
              <w:t>0</w:t>
            </w:r>
          </w:p>
        </w:tc>
        <w:tc>
          <w:tcPr>
            <w:tcW w:w="1144" w:type="dxa"/>
            <w:shd w:val="clear" w:color="auto" w:fill="auto"/>
            <w:vAlign w:val="center"/>
          </w:tcPr>
          <w:p w14:paraId="35F15DC3" w14:textId="56FB266B" w:rsidR="00CA3C16" w:rsidRPr="00CA3C16" w:rsidRDefault="00CA3C16" w:rsidP="00E80CF7">
            <w:pPr>
              <w:adjustRightInd w:val="0"/>
              <w:snapToGrid w:val="0"/>
              <w:spacing w:before="180"/>
              <w:jc w:val="center"/>
              <w:rPr>
                <w:rFonts w:eastAsiaTheme="minorEastAsia"/>
                <w:b/>
                <w:color w:val="000000" w:themeColor="text1"/>
              </w:rPr>
            </w:pPr>
            <w:r w:rsidRPr="00CA3C16">
              <w:rPr>
                <w:rFonts w:eastAsiaTheme="minorEastAsia" w:hint="eastAsia"/>
                <w:b/>
                <w:color w:val="000000" w:themeColor="text1"/>
              </w:rPr>
              <w:t>2</w:t>
            </w:r>
            <w:r w:rsidRPr="00CA3C16">
              <w:rPr>
                <w:rFonts w:eastAsiaTheme="minorEastAsia"/>
                <w:b/>
                <w:color w:val="000000" w:themeColor="text1"/>
              </w:rPr>
              <w:t>0</w:t>
            </w:r>
          </w:p>
        </w:tc>
        <w:tc>
          <w:tcPr>
            <w:tcW w:w="928" w:type="dxa"/>
            <w:shd w:val="clear" w:color="auto" w:fill="auto"/>
            <w:vAlign w:val="center"/>
          </w:tcPr>
          <w:p w14:paraId="05B8C3D5" w14:textId="7545F8EC" w:rsidR="00CA3C16" w:rsidRPr="00CA3C16" w:rsidRDefault="00CA3C16"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1</w:t>
            </w:r>
            <w:r>
              <w:rPr>
                <w:rFonts w:eastAsiaTheme="minorEastAsia"/>
                <w:b/>
                <w:color w:val="000000" w:themeColor="text1"/>
              </w:rPr>
              <w:t>00</w:t>
            </w:r>
          </w:p>
        </w:tc>
        <w:tc>
          <w:tcPr>
            <w:tcW w:w="1276" w:type="dxa"/>
            <w:shd w:val="clear" w:color="auto" w:fill="auto"/>
            <w:vAlign w:val="center"/>
          </w:tcPr>
          <w:p w14:paraId="07A6C9B3" w14:textId="65F4252B" w:rsidR="00CA3C16" w:rsidRPr="00CA3C16" w:rsidRDefault="00CA3C16" w:rsidP="00E80CF7">
            <w:pPr>
              <w:adjustRightInd w:val="0"/>
              <w:snapToGrid w:val="0"/>
              <w:spacing w:before="180"/>
              <w:jc w:val="center"/>
              <w:rPr>
                <w:rFonts w:eastAsiaTheme="minorEastAsia"/>
                <w:b/>
                <w:color w:val="000000" w:themeColor="text1"/>
              </w:rPr>
            </w:pPr>
            <w:r>
              <w:rPr>
                <w:rFonts w:eastAsiaTheme="minorEastAsia" w:hint="eastAsia"/>
                <w:b/>
                <w:color w:val="000000" w:themeColor="text1"/>
              </w:rPr>
              <w:t>8</w:t>
            </w:r>
            <w:r>
              <w:rPr>
                <w:rFonts w:eastAsiaTheme="minorEastAsia"/>
                <w:b/>
                <w:color w:val="000000" w:themeColor="text1"/>
              </w:rPr>
              <w:t>0</w:t>
            </w:r>
          </w:p>
        </w:tc>
        <w:tc>
          <w:tcPr>
            <w:tcW w:w="1277" w:type="dxa"/>
            <w:vAlign w:val="center"/>
          </w:tcPr>
          <w:p w14:paraId="4C739E1E" w14:textId="457E9F54" w:rsidR="00CA3C16" w:rsidRPr="00CA3C16" w:rsidRDefault="00CA3C16" w:rsidP="00E80CF7">
            <w:pPr>
              <w:adjustRightInd w:val="0"/>
              <w:snapToGrid w:val="0"/>
              <w:spacing w:before="180"/>
              <w:jc w:val="center"/>
              <w:rPr>
                <w:rFonts w:eastAsiaTheme="minorEastAsia"/>
                <w:b/>
                <w:color w:val="000000" w:themeColor="text1"/>
              </w:rPr>
            </w:pPr>
            <w:r>
              <w:rPr>
                <w:rFonts w:eastAsiaTheme="minorEastAsia" w:hint="eastAsia"/>
                <w:b/>
                <w:color w:val="000000" w:themeColor="text1"/>
              </w:rPr>
              <w:t>2</w:t>
            </w:r>
            <w:r>
              <w:rPr>
                <w:rFonts w:eastAsiaTheme="minorEastAsia"/>
                <w:b/>
                <w:color w:val="000000" w:themeColor="text1"/>
              </w:rPr>
              <w:t>0</w:t>
            </w:r>
          </w:p>
        </w:tc>
        <w:tc>
          <w:tcPr>
            <w:tcW w:w="984" w:type="dxa"/>
            <w:vAlign w:val="center"/>
          </w:tcPr>
          <w:p w14:paraId="3B0BFF13" w14:textId="6C10F8B3" w:rsidR="00CA3C16" w:rsidRPr="00CA3C16" w:rsidRDefault="00CA3C16" w:rsidP="00CA3C16">
            <w:pPr>
              <w:adjustRightInd w:val="0"/>
              <w:snapToGrid w:val="0"/>
              <w:spacing w:before="180"/>
              <w:jc w:val="center"/>
              <w:rPr>
                <w:rFonts w:eastAsiaTheme="minorEastAsia"/>
                <w:b/>
                <w:color w:val="000000" w:themeColor="text1"/>
              </w:rPr>
            </w:pPr>
            <w:r>
              <w:rPr>
                <w:rFonts w:eastAsiaTheme="minorEastAsia" w:hint="eastAsia"/>
                <w:b/>
                <w:color w:val="000000" w:themeColor="text1"/>
              </w:rPr>
              <w:t>1</w:t>
            </w:r>
            <w:r>
              <w:rPr>
                <w:rFonts w:eastAsiaTheme="minorEastAsia"/>
                <w:b/>
                <w:color w:val="000000" w:themeColor="text1"/>
              </w:rPr>
              <w:t>00</w:t>
            </w:r>
          </w:p>
        </w:tc>
      </w:tr>
    </w:tbl>
    <w:p w14:paraId="47E4EDA6" w14:textId="0330916E" w:rsidR="00783714" w:rsidRPr="00FD4863" w:rsidRDefault="00CA3C16" w:rsidP="00C65A3F">
      <w:pPr>
        <w:adjustRightInd w:val="0"/>
        <w:snapToGrid w:val="0"/>
        <w:spacing w:before="180"/>
        <w:jc w:val="both"/>
        <w:rPr>
          <w:rFonts w:eastAsiaTheme="minorEastAsia"/>
          <w:bCs/>
          <w:color w:val="000000" w:themeColor="text1"/>
          <w:sz w:val="20"/>
          <w:szCs w:val="20"/>
        </w:rPr>
      </w:pPr>
      <w:r w:rsidRPr="00FD4863">
        <w:rPr>
          <w:rFonts w:eastAsiaTheme="minorEastAsia" w:hint="eastAsia"/>
          <w:bCs/>
          <w:color w:val="000000" w:themeColor="text1"/>
          <w:sz w:val="20"/>
          <w:szCs w:val="20"/>
        </w:rPr>
        <w:t>S</w:t>
      </w:r>
      <w:r w:rsidRPr="00FD4863">
        <w:rPr>
          <w:rFonts w:eastAsiaTheme="minorEastAsia"/>
          <w:bCs/>
          <w:color w:val="000000" w:themeColor="text1"/>
          <w:sz w:val="20"/>
          <w:szCs w:val="20"/>
        </w:rPr>
        <w:t xml:space="preserve">ources: </w:t>
      </w:r>
      <w:proofErr w:type="spellStart"/>
      <w:r w:rsidR="000E4E98" w:rsidRPr="00FD4863">
        <w:rPr>
          <w:rFonts w:eastAsiaTheme="minorEastAsia"/>
          <w:bCs/>
          <w:color w:val="000000" w:themeColor="text1"/>
          <w:sz w:val="20"/>
          <w:szCs w:val="20"/>
        </w:rPr>
        <w:t>Amundi</w:t>
      </w:r>
      <w:proofErr w:type="spellEnd"/>
    </w:p>
    <w:p w14:paraId="57355CD8" w14:textId="77777777" w:rsidR="00CA3C16" w:rsidRPr="00CA3C16" w:rsidRDefault="00CA3C16" w:rsidP="00C65A3F">
      <w:pPr>
        <w:adjustRightInd w:val="0"/>
        <w:snapToGrid w:val="0"/>
        <w:spacing w:before="180"/>
        <w:jc w:val="both"/>
        <w:rPr>
          <w:rFonts w:eastAsiaTheme="minorEastAsia"/>
          <w:bCs/>
          <w:color w:val="0000CC"/>
        </w:rPr>
      </w:pPr>
    </w:p>
    <w:p w14:paraId="58035C2B" w14:textId="02468496" w:rsidR="00640797" w:rsidRPr="00BC385E" w:rsidRDefault="001B1DF5" w:rsidP="00BC385E">
      <w:pPr>
        <w:adjustRightInd w:val="0"/>
        <w:snapToGrid w:val="0"/>
        <w:spacing w:before="180" w:line="480" w:lineRule="auto"/>
        <w:jc w:val="both"/>
        <w:rPr>
          <w:bCs/>
          <w:color w:val="000000" w:themeColor="text1"/>
        </w:rPr>
      </w:pPr>
      <w:r w:rsidRPr="00C358E9">
        <w:rPr>
          <w:bCs/>
          <w:color w:val="0000CC"/>
        </w:rPr>
        <w:tab/>
      </w:r>
      <w:r w:rsidR="006E6814" w:rsidRPr="00095921">
        <w:rPr>
          <w:bCs/>
          <w:color w:val="000000" w:themeColor="text1"/>
        </w:rPr>
        <w:t xml:space="preserve">Table 1 </w:t>
      </w:r>
      <w:r w:rsidR="00A62705" w:rsidRPr="00095921">
        <w:rPr>
          <w:rFonts w:eastAsia="新細明體"/>
          <w:bCs/>
          <w:color w:val="000000" w:themeColor="text1"/>
        </w:rPr>
        <w:t xml:space="preserve">showed that there was a significant change of the investment portfolio between the period of 2015-18 and 2019-22. </w:t>
      </w:r>
      <w:r w:rsidR="00A3222C" w:rsidRPr="00095921">
        <w:rPr>
          <w:rFonts w:eastAsia="新細明體"/>
          <w:bCs/>
          <w:color w:val="000000" w:themeColor="text1"/>
        </w:rPr>
        <w:t xml:space="preserve">The domestic equity portfolio decreased by </w:t>
      </w:r>
      <w:r w:rsidR="00DF2FF6" w:rsidRPr="00095921">
        <w:rPr>
          <w:rFonts w:eastAsia="新細明體"/>
          <w:bCs/>
          <w:color w:val="000000" w:themeColor="text1"/>
        </w:rPr>
        <w:t xml:space="preserve">10% and the domestic debt securities portfolio has </w:t>
      </w:r>
      <w:r w:rsidR="003847DB" w:rsidRPr="00095921">
        <w:rPr>
          <w:rFonts w:eastAsia="新細明體"/>
          <w:bCs/>
          <w:color w:val="000000" w:themeColor="text1"/>
        </w:rPr>
        <w:t>shrunk</w:t>
      </w:r>
      <w:r w:rsidR="00DF2FF6" w:rsidRPr="00095921">
        <w:rPr>
          <w:rFonts w:eastAsia="新細明體"/>
          <w:bCs/>
          <w:color w:val="000000" w:themeColor="text1"/>
        </w:rPr>
        <w:t xml:space="preserve"> by 10%</w:t>
      </w:r>
      <w:r w:rsidR="003847DB" w:rsidRPr="00095921">
        <w:rPr>
          <w:rFonts w:eastAsia="新細明體"/>
          <w:bCs/>
          <w:color w:val="000000" w:themeColor="text1"/>
        </w:rPr>
        <w:t xml:space="preserve">. In contrast, the domestic bank deposits </w:t>
      </w:r>
      <w:r w:rsidR="00411E20" w:rsidRPr="00095921">
        <w:rPr>
          <w:rFonts w:eastAsia="新細明體"/>
          <w:bCs/>
          <w:color w:val="000000" w:themeColor="text1"/>
        </w:rPr>
        <w:t>have</w:t>
      </w:r>
      <w:r w:rsidR="003847DB" w:rsidRPr="00095921">
        <w:rPr>
          <w:rFonts w:eastAsia="新細明體"/>
          <w:bCs/>
          <w:color w:val="000000" w:themeColor="text1"/>
        </w:rPr>
        <w:t xml:space="preserve"> grown by 15% to 30% of the whole investment portfolio.</w:t>
      </w:r>
      <w:r w:rsidR="004E6307" w:rsidRPr="00095921">
        <w:rPr>
          <w:rFonts w:eastAsia="新細明體"/>
          <w:bCs/>
          <w:color w:val="000000" w:themeColor="text1"/>
        </w:rPr>
        <w:t xml:space="preserve"> </w:t>
      </w:r>
      <w:r w:rsidR="00411E20" w:rsidRPr="00095921">
        <w:rPr>
          <w:rFonts w:eastAsia="新細明體"/>
          <w:bCs/>
          <w:color w:val="000000" w:themeColor="text1"/>
        </w:rPr>
        <w:t>This was due to the fact that, during the Covid-19, most of business sectors has been locked down and economic activities suspended</w:t>
      </w:r>
      <w:r w:rsidR="00700850">
        <w:rPr>
          <w:rFonts w:eastAsia="新細明體"/>
          <w:bCs/>
          <w:color w:val="000000" w:themeColor="text1"/>
        </w:rPr>
        <w:t xml:space="preserve">. </w:t>
      </w:r>
      <w:r w:rsidR="00411E20" w:rsidRPr="00095921">
        <w:rPr>
          <w:rFonts w:eastAsia="新細明體"/>
          <w:bCs/>
          <w:color w:val="000000" w:themeColor="text1"/>
        </w:rPr>
        <w:t xml:space="preserve">Consequently, Hong Kong’s HSI started decreasing and at that time period </w:t>
      </w:r>
      <w:r w:rsidR="004447D3" w:rsidRPr="00095921">
        <w:rPr>
          <w:rFonts w:eastAsia="新細明體"/>
          <w:bCs/>
          <w:color w:val="000000" w:themeColor="text1"/>
        </w:rPr>
        <w:t>investors worried about if there would be credit crunch and chose to keep more cash to save their portfolio and exploring investment opportunities to re-invest again after the pandemic (even the end of pandemic is not yet known).</w:t>
      </w:r>
    </w:p>
    <w:p w14:paraId="445AE79F" w14:textId="77777777" w:rsidR="005D390D" w:rsidRDefault="005D390D" w:rsidP="00DD79F6">
      <w:pPr>
        <w:adjustRightInd w:val="0"/>
        <w:snapToGrid w:val="0"/>
        <w:spacing w:before="180" w:line="360" w:lineRule="auto"/>
        <w:jc w:val="both"/>
        <w:rPr>
          <w:b/>
          <w:bCs/>
        </w:rPr>
      </w:pPr>
    </w:p>
    <w:p w14:paraId="0ADE144F" w14:textId="77777777" w:rsidR="005D390D" w:rsidRDefault="005D390D" w:rsidP="00DD79F6">
      <w:pPr>
        <w:adjustRightInd w:val="0"/>
        <w:snapToGrid w:val="0"/>
        <w:spacing w:before="180" w:line="360" w:lineRule="auto"/>
        <w:jc w:val="both"/>
        <w:rPr>
          <w:b/>
          <w:bCs/>
        </w:rPr>
      </w:pPr>
    </w:p>
    <w:p w14:paraId="0216D4F4" w14:textId="77777777" w:rsidR="005D390D" w:rsidRDefault="005D390D" w:rsidP="00DD79F6">
      <w:pPr>
        <w:adjustRightInd w:val="0"/>
        <w:snapToGrid w:val="0"/>
        <w:spacing w:before="180" w:line="360" w:lineRule="auto"/>
        <w:jc w:val="both"/>
        <w:rPr>
          <w:b/>
          <w:bCs/>
        </w:rPr>
      </w:pPr>
    </w:p>
    <w:p w14:paraId="03A5322A" w14:textId="04BDD812" w:rsidR="00DD79F6" w:rsidRPr="00C358E9" w:rsidRDefault="001817CC" w:rsidP="00DD79F6">
      <w:pPr>
        <w:adjustRightInd w:val="0"/>
        <w:snapToGrid w:val="0"/>
        <w:spacing w:before="180" w:line="360" w:lineRule="auto"/>
        <w:jc w:val="both"/>
        <w:rPr>
          <w:b/>
          <w:bCs/>
        </w:rPr>
      </w:pPr>
      <w:r w:rsidRPr="00C358E9">
        <w:rPr>
          <w:b/>
          <w:bCs/>
        </w:rPr>
        <w:t>2.</w:t>
      </w:r>
      <w:r w:rsidR="00B40D11" w:rsidRPr="00C358E9">
        <w:rPr>
          <w:b/>
          <w:bCs/>
        </w:rPr>
        <w:t>3</w:t>
      </w:r>
      <w:r w:rsidRPr="00C358E9">
        <w:rPr>
          <w:b/>
          <w:bCs/>
        </w:rPr>
        <w:t xml:space="preserve"> </w:t>
      </w:r>
      <w:r w:rsidR="0027453D" w:rsidRPr="00C358E9">
        <w:rPr>
          <w:b/>
          <w:bCs/>
        </w:rPr>
        <w:t>Global business challenges and the rationale for exploring investment opportunities in some global financial markets</w:t>
      </w:r>
    </w:p>
    <w:p w14:paraId="46B3D772" w14:textId="2CD7EADA" w:rsidR="00281F6E" w:rsidRDefault="00F06809" w:rsidP="006525BF">
      <w:pPr>
        <w:spacing w:before="180" w:line="480" w:lineRule="auto"/>
        <w:rPr>
          <w:bCs/>
        </w:rPr>
      </w:pPr>
      <w:r>
        <w:rPr>
          <w:bCs/>
        </w:rPr>
        <w:tab/>
      </w:r>
      <w:r w:rsidR="00C54D0C">
        <w:rPr>
          <w:bCs/>
        </w:rPr>
        <w:t xml:space="preserve">During the Covid-19 pandemic, although almost all the countries around the world held a very stringent quarantine measure, most of the western countries loosen their quarantine measure after injection of Covid-19 vaccine by most of their population. On the other hand, the Asian countries or regions including Hong Kong has been keeping their strict quarantine measure and thus such actions had lock up most of their factories in their countries or regions and consequently prohibit their export trade from recovering when the number of infections has started to decrease. According to the latest </w:t>
      </w:r>
      <w:r w:rsidR="00C54D0C" w:rsidRPr="00BC385E">
        <w:rPr>
          <w:bCs/>
        </w:rPr>
        <w:t>Merchandise Trade</w:t>
      </w:r>
      <w:r w:rsidR="00C54D0C">
        <w:rPr>
          <w:bCs/>
        </w:rPr>
        <w:t xml:space="preserve"> </w:t>
      </w:r>
      <w:r w:rsidR="00F00A2B">
        <w:rPr>
          <w:bCs/>
        </w:rPr>
        <w:t>(Census and Statistic Department, Hong Kong,</w:t>
      </w:r>
      <w:r w:rsidR="00307782">
        <w:rPr>
          <w:bCs/>
        </w:rPr>
        <w:t xml:space="preserve"> </w:t>
      </w:r>
      <w:r w:rsidR="00F00A2B">
        <w:rPr>
          <w:bCs/>
        </w:rPr>
        <w:t>2023</w:t>
      </w:r>
      <w:r w:rsidR="00434A12">
        <w:rPr>
          <w:bCs/>
        </w:rPr>
        <w:t xml:space="preserve">) </w:t>
      </w:r>
      <w:r w:rsidR="00C54D0C">
        <w:rPr>
          <w:bCs/>
        </w:rPr>
        <w:t xml:space="preserve">record from Census and Statistics Department of Hong Kong, </w:t>
      </w:r>
      <w:r w:rsidR="00AB2209">
        <w:rPr>
          <w:bCs/>
        </w:rPr>
        <w:t>the</w:t>
      </w:r>
      <w:r w:rsidR="00C54D0C">
        <w:rPr>
          <w:bCs/>
        </w:rPr>
        <w:t xml:space="preserve"> export in December 2022 has decreased 28.9% year-on-year while the import has been dropped by 23.5%, and Such effect consequently the economy activities in Hong Kong and investors moved their headquarters out of Hong Kong to other countries which with less stringent quarantine measure together with their capital.</w:t>
      </w:r>
    </w:p>
    <w:p w14:paraId="72598635" w14:textId="77777777" w:rsidR="006525BF" w:rsidRPr="006525BF" w:rsidRDefault="006525BF" w:rsidP="006525BF">
      <w:pPr>
        <w:spacing w:before="180" w:line="480" w:lineRule="auto"/>
        <w:rPr>
          <w:bCs/>
        </w:rPr>
      </w:pPr>
    </w:p>
    <w:p w14:paraId="492A0312" w14:textId="549D75AC" w:rsidR="006F346A" w:rsidRPr="006525BF" w:rsidRDefault="00FF45EB" w:rsidP="006525BF">
      <w:pPr>
        <w:adjustRightInd w:val="0"/>
        <w:snapToGrid w:val="0"/>
        <w:spacing w:before="180"/>
        <w:jc w:val="both"/>
        <w:rPr>
          <w:b/>
          <w:bCs/>
          <w:sz w:val="26"/>
        </w:rPr>
      </w:pPr>
      <w:r w:rsidRPr="00C358E9">
        <w:rPr>
          <w:b/>
          <w:bCs/>
          <w:sz w:val="26"/>
        </w:rPr>
        <w:lastRenderedPageBreak/>
        <w:t xml:space="preserve">3 </w:t>
      </w:r>
      <w:r w:rsidR="0027453D" w:rsidRPr="00C358E9">
        <w:rPr>
          <w:b/>
          <w:bCs/>
          <w:sz w:val="26"/>
        </w:rPr>
        <w:t xml:space="preserve">Characteristics of the </w:t>
      </w:r>
      <w:r w:rsidR="005435E4">
        <w:rPr>
          <w:b/>
          <w:bCs/>
          <w:sz w:val="26"/>
        </w:rPr>
        <w:t>Australian</w:t>
      </w:r>
      <w:r w:rsidR="0027453D" w:rsidRPr="00C358E9">
        <w:rPr>
          <w:b/>
          <w:bCs/>
          <w:sz w:val="26"/>
        </w:rPr>
        <w:t xml:space="preserve"> stock market</w:t>
      </w:r>
      <w:r w:rsidR="00910037" w:rsidRPr="00C358E9">
        <w:rPr>
          <w:b/>
          <w:bCs/>
          <w:sz w:val="26"/>
        </w:rPr>
        <w:t xml:space="preserve"> </w:t>
      </w:r>
    </w:p>
    <w:p w14:paraId="63C034BF" w14:textId="77777777" w:rsidR="006525BF" w:rsidRDefault="006525BF" w:rsidP="00DD79F6">
      <w:pPr>
        <w:adjustRightInd w:val="0"/>
        <w:snapToGrid w:val="0"/>
        <w:spacing w:before="180" w:line="360" w:lineRule="auto"/>
        <w:jc w:val="both"/>
        <w:rPr>
          <w:b/>
          <w:bCs/>
        </w:rPr>
      </w:pPr>
    </w:p>
    <w:p w14:paraId="48E72851" w14:textId="1792547E" w:rsidR="00FF45EB" w:rsidRPr="00C358E9" w:rsidRDefault="007F6448" w:rsidP="00DD79F6">
      <w:pPr>
        <w:adjustRightInd w:val="0"/>
        <w:snapToGrid w:val="0"/>
        <w:spacing w:before="180" w:line="360" w:lineRule="auto"/>
        <w:jc w:val="both"/>
        <w:rPr>
          <w:b/>
          <w:bCs/>
        </w:rPr>
      </w:pPr>
      <w:r w:rsidRPr="00C358E9">
        <w:rPr>
          <w:b/>
          <w:bCs/>
        </w:rPr>
        <w:t xml:space="preserve">3.1 </w:t>
      </w:r>
      <w:r w:rsidR="0027453D" w:rsidRPr="00C358E9">
        <w:rPr>
          <w:b/>
          <w:bCs/>
        </w:rPr>
        <w:t xml:space="preserve">A comparison of the stock price index movement between </w:t>
      </w:r>
      <w:r w:rsidR="00572874" w:rsidRPr="00572874">
        <w:rPr>
          <w:b/>
          <w:bCs/>
        </w:rPr>
        <w:t xml:space="preserve">Australian </w:t>
      </w:r>
      <w:r w:rsidR="00572874">
        <w:rPr>
          <w:b/>
          <w:bCs/>
        </w:rPr>
        <w:t xml:space="preserve">and Hong Kong </w:t>
      </w:r>
      <w:r w:rsidR="0027453D" w:rsidRPr="00C358E9">
        <w:rPr>
          <w:b/>
          <w:bCs/>
        </w:rPr>
        <w:t>stock market</w:t>
      </w:r>
      <w:r w:rsidR="00572874">
        <w:rPr>
          <w:b/>
          <w:bCs/>
        </w:rPr>
        <w:t>s</w:t>
      </w:r>
      <w:r w:rsidR="0027453D" w:rsidRPr="00C358E9">
        <w:rPr>
          <w:b/>
          <w:bCs/>
        </w:rPr>
        <w:t xml:space="preserve"> </w:t>
      </w:r>
    </w:p>
    <w:p w14:paraId="08462247" w14:textId="5FB46E75" w:rsidR="007D77F8" w:rsidRDefault="00C62506" w:rsidP="006525BF">
      <w:pPr>
        <w:adjustRightInd w:val="0"/>
        <w:snapToGrid w:val="0"/>
        <w:spacing w:before="180" w:line="480" w:lineRule="auto"/>
        <w:ind w:firstLine="397"/>
        <w:jc w:val="both"/>
        <w:rPr>
          <w:bCs/>
        </w:rPr>
      </w:pPr>
      <w:r w:rsidRPr="008D4DD0">
        <w:rPr>
          <w:bCs/>
        </w:rPr>
        <w:t>First of all, before go</w:t>
      </w:r>
      <w:r w:rsidR="00572874">
        <w:rPr>
          <w:bCs/>
        </w:rPr>
        <w:t>ing</w:t>
      </w:r>
      <w:r w:rsidRPr="008D4DD0">
        <w:rPr>
          <w:bCs/>
        </w:rPr>
        <w:t xml:space="preserve"> into deep to discuss the performance of the Australian stock market and Hong Kong stock market</w:t>
      </w:r>
      <w:r w:rsidR="00572874">
        <w:rPr>
          <w:bCs/>
        </w:rPr>
        <w:t>s</w:t>
      </w:r>
      <w:r w:rsidRPr="008D4DD0">
        <w:rPr>
          <w:bCs/>
        </w:rPr>
        <w:t>, all we need to do is to look at the major stock index of th</w:t>
      </w:r>
      <w:r w:rsidR="00572874">
        <w:rPr>
          <w:bCs/>
        </w:rPr>
        <w:t>e</w:t>
      </w:r>
      <w:r w:rsidRPr="008D4DD0">
        <w:rPr>
          <w:bCs/>
        </w:rPr>
        <w:t>se two</w:t>
      </w:r>
      <w:r w:rsidR="00572874">
        <w:rPr>
          <w:bCs/>
        </w:rPr>
        <w:t xml:space="preserve"> markets</w:t>
      </w:r>
      <w:r w:rsidRPr="008D4DD0">
        <w:rPr>
          <w:bCs/>
        </w:rPr>
        <w:t>.</w:t>
      </w:r>
      <w:r w:rsidRPr="00C358E9">
        <w:rPr>
          <w:bCs/>
        </w:rPr>
        <w:t xml:space="preserve"> </w:t>
      </w:r>
    </w:p>
    <w:p w14:paraId="22468F0C" w14:textId="2CD87D28" w:rsidR="0027453D" w:rsidRDefault="0027453D" w:rsidP="00DD79F6">
      <w:pPr>
        <w:adjustRightInd w:val="0"/>
        <w:snapToGrid w:val="0"/>
        <w:spacing w:before="180" w:line="360" w:lineRule="auto"/>
        <w:jc w:val="both"/>
        <w:rPr>
          <w:bCs/>
        </w:rPr>
      </w:pPr>
      <w:r w:rsidRPr="008D4DD0">
        <w:rPr>
          <w:bCs/>
        </w:rPr>
        <w:t>Figure 1 Time plot of stock price index movements in HSI and the</w:t>
      </w:r>
      <w:r w:rsidR="00C62B90" w:rsidRPr="008D4DD0">
        <w:rPr>
          <w:bCs/>
        </w:rPr>
        <w:t xml:space="preserve"> ASX 200</w:t>
      </w:r>
      <w:r w:rsidRPr="008D4DD0">
        <w:rPr>
          <w:bCs/>
        </w:rPr>
        <w:t xml:space="preserve"> index</w:t>
      </w:r>
    </w:p>
    <w:p w14:paraId="231FB05A" w14:textId="059DC0DC" w:rsidR="00FA6C85" w:rsidRDefault="007D77F8" w:rsidP="00DD79F6">
      <w:pPr>
        <w:adjustRightInd w:val="0"/>
        <w:snapToGrid w:val="0"/>
        <w:spacing w:before="180" w:line="360" w:lineRule="auto"/>
        <w:jc w:val="both"/>
        <w:rPr>
          <w:bCs/>
        </w:rPr>
      </w:pPr>
      <w:r w:rsidRPr="00F25AA2">
        <w:rPr>
          <w:noProof/>
        </w:rPr>
        <w:drawing>
          <wp:inline distT="0" distB="0" distL="0" distR="0" wp14:anchorId="24A3D4BB" wp14:editId="4DD27C83">
            <wp:extent cx="5575300" cy="3441700"/>
            <wp:effectExtent l="0" t="0" r="12700" b="12700"/>
            <wp:docPr id="3" name="圖表 3">
              <a:extLst xmlns:a="http://schemas.openxmlformats.org/drawingml/2006/main">
                <a:ext uri="{FF2B5EF4-FFF2-40B4-BE49-F238E27FC236}">
                  <a16:creationId xmlns:a16="http://schemas.microsoft.com/office/drawing/2014/main" id="{9CDB80CE-0988-2AF1-ACF8-BF0B4FCE52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35B64E" w14:textId="67596739" w:rsidR="007D77F8" w:rsidRPr="003C0062" w:rsidRDefault="00FA6C85" w:rsidP="00DD79F6">
      <w:pPr>
        <w:adjustRightInd w:val="0"/>
        <w:snapToGrid w:val="0"/>
        <w:spacing w:before="180" w:line="360" w:lineRule="auto"/>
        <w:jc w:val="both"/>
        <w:rPr>
          <w:bCs/>
          <w:color w:val="000000" w:themeColor="text1"/>
          <w:sz w:val="20"/>
          <w:szCs w:val="20"/>
        </w:rPr>
      </w:pPr>
      <w:r w:rsidRPr="00F25AA2">
        <w:rPr>
          <w:bCs/>
          <w:color w:val="000000" w:themeColor="text1"/>
          <w:sz w:val="20"/>
          <w:szCs w:val="20"/>
        </w:rPr>
        <w:t xml:space="preserve">Sources: </w:t>
      </w:r>
      <w:r w:rsidR="00DA653C">
        <w:rPr>
          <w:bCs/>
          <w:color w:val="000000" w:themeColor="text1"/>
          <w:sz w:val="20"/>
          <w:szCs w:val="20"/>
        </w:rPr>
        <w:t>yahoo finance</w:t>
      </w:r>
    </w:p>
    <w:p w14:paraId="48C64BC0" w14:textId="16125ACA" w:rsidR="00411E20" w:rsidRDefault="004C75C4" w:rsidP="00912AB5">
      <w:pPr>
        <w:adjustRightInd w:val="0"/>
        <w:snapToGrid w:val="0"/>
        <w:spacing w:before="180" w:line="480" w:lineRule="auto"/>
        <w:jc w:val="both"/>
        <w:rPr>
          <w:bCs/>
        </w:rPr>
      </w:pPr>
      <w:r w:rsidRPr="00C358E9">
        <w:rPr>
          <w:bCs/>
          <w:color w:val="0000CC"/>
        </w:rPr>
        <w:tab/>
      </w:r>
      <w:r w:rsidR="005435E4">
        <w:rPr>
          <w:bCs/>
        </w:rPr>
        <w:t>F</w:t>
      </w:r>
      <w:r w:rsidR="00671916" w:rsidRPr="00185007">
        <w:rPr>
          <w:bCs/>
        </w:rPr>
        <w:t xml:space="preserve">igure 1 </w:t>
      </w:r>
      <w:r w:rsidR="005435E4">
        <w:rPr>
          <w:bCs/>
        </w:rPr>
        <w:t>shows</w:t>
      </w:r>
      <w:r w:rsidR="002D0543">
        <w:rPr>
          <w:bCs/>
        </w:rPr>
        <w:t xml:space="preserve"> </w:t>
      </w:r>
      <w:r w:rsidR="005435E4">
        <w:rPr>
          <w:bCs/>
        </w:rPr>
        <w:t>an upward</w:t>
      </w:r>
      <w:r w:rsidR="00671916" w:rsidRPr="00185007">
        <w:rPr>
          <w:bCs/>
        </w:rPr>
        <w:t xml:space="preserve"> trend of both of the ASX 200 and HSI throughout the last 40 years from December 1992 to December 2022</w:t>
      </w:r>
      <w:r w:rsidR="00F64DE7">
        <w:rPr>
          <w:bCs/>
        </w:rPr>
        <w:t>(Yahoo.com, 2022)</w:t>
      </w:r>
      <w:r w:rsidR="00671916" w:rsidRPr="00185007">
        <w:rPr>
          <w:bCs/>
        </w:rPr>
        <w:t xml:space="preserve">. The </w:t>
      </w:r>
      <w:r w:rsidR="00FD4FB3" w:rsidRPr="00185007">
        <w:rPr>
          <w:bCs/>
        </w:rPr>
        <w:t xml:space="preserve">fluctuation of the </w:t>
      </w:r>
      <w:r w:rsidR="00FD4FB3" w:rsidRPr="00185007">
        <w:rPr>
          <w:bCs/>
        </w:rPr>
        <w:lastRenderedPageBreak/>
        <w:t xml:space="preserve">ASX200 is not so significant as that of </w:t>
      </w:r>
      <w:r w:rsidR="005435E4">
        <w:rPr>
          <w:bCs/>
        </w:rPr>
        <w:t xml:space="preserve">the </w:t>
      </w:r>
      <w:r w:rsidR="00FD4FB3" w:rsidRPr="00185007">
        <w:rPr>
          <w:bCs/>
        </w:rPr>
        <w:t>HSI; and starting from 1992 all the way to 2007, the HSI soared from 5,512points up to 31,352points or about 600%, while the ASX</w:t>
      </w:r>
      <w:r w:rsidR="0080507E">
        <w:rPr>
          <w:bCs/>
        </w:rPr>
        <w:t xml:space="preserve"> increased</w:t>
      </w:r>
      <w:r w:rsidR="00C7644A" w:rsidRPr="00185007">
        <w:rPr>
          <w:bCs/>
        </w:rPr>
        <w:t xml:space="preserve"> from up 1,654 up to 6,754points or about 400%.</w:t>
      </w:r>
      <w:r w:rsidR="000C7AF4">
        <w:rPr>
          <w:bCs/>
        </w:rPr>
        <w:t xml:space="preserve"> Nevertheless, during the period from year 2019 to 2022, impacted by the Covid-19, both of HSI and ASX200 has plunged, but ASX200 picked a up a rebound while the HSI has been keeping slide until the end of year 2022. This signed that the ASX200 during the period had </w:t>
      </w:r>
      <w:r w:rsidR="003D627C">
        <w:rPr>
          <w:bCs/>
        </w:rPr>
        <w:t>outperformed HSI and when both Australia and Hong Kong recovered from the pandemic, Australia has more momentum to boost up the economy and eventually reflected on the performance of the stock indices of HSI and ASX 200.</w:t>
      </w:r>
    </w:p>
    <w:p w14:paraId="0F260D86" w14:textId="7FB29781" w:rsidR="001125F7" w:rsidRPr="00D43557" w:rsidRDefault="001125F7" w:rsidP="00D43557">
      <w:pPr>
        <w:adjustRightInd w:val="0"/>
        <w:snapToGrid w:val="0"/>
        <w:spacing w:before="180" w:line="360" w:lineRule="auto"/>
        <w:jc w:val="both"/>
        <w:rPr>
          <w:rFonts w:eastAsiaTheme="minorEastAsia"/>
          <w:bCs/>
        </w:rPr>
      </w:pPr>
      <w:r>
        <w:rPr>
          <w:bCs/>
        </w:rPr>
        <w:t xml:space="preserve">Table </w:t>
      </w:r>
      <w:r w:rsidR="00A53A1B">
        <w:rPr>
          <w:bCs/>
        </w:rPr>
        <w:t>2</w:t>
      </w:r>
      <w:r w:rsidRPr="00ED49E7">
        <w:rPr>
          <w:bCs/>
        </w:rPr>
        <w:t xml:space="preserve">: </w:t>
      </w:r>
      <w:r w:rsidR="0080507E" w:rsidRPr="0080507E">
        <w:rPr>
          <w:bCs/>
        </w:rPr>
        <w:t>The relationship of the performance of HSI against ASX200</w:t>
      </w:r>
      <w:r w:rsidR="0080507E">
        <w:rPr>
          <w:bCs/>
        </w:rPr>
        <w:t xml:space="preserve"> </w:t>
      </w:r>
    </w:p>
    <w:tbl>
      <w:tblPr>
        <w:tblW w:w="9220" w:type="dxa"/>
        <w:tblCellMar>
          <w:left w:w="28" w:type="dxa"/>
          <w:right w:w="28" w:type="dxa"/>
        </w:tblCellMar>
        <w:tblLook w:val="04A0" w:firstRow="1" w:lastRow="0" w:firstColumn="1" w:lastColumn="0" w:noHBand="0" w:noVBand="1"/>
      </w:tblPr>
      <w:tblGrid>
        <w:gridCol w:w="2829"/>
        <w:gridCol w:w="1610"/>
        <w:gridCol w:w="1710"/>
        <w:gridCol w:w="1461"/>
        <w:gridCol w:w="1610"/>
      </w:tblGrid>
      <w:tr w:rsidR="001E39AE" w:rsidRPr="001E39AE" w14:paraId="39EE0BBE" w14:textId="77777777" w:rsidTr="001E39AE">
        <w:trPr>
          <w:trHeight w:val="300"/>
        </w:trPr>
        <w:tc>
          <w:tcPr>
            <w:tcW w:w="9220" w:type="dxa"/>
            <w:gridSpan w:val="5"/>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28860EAF" w14:textId="7841A766" w:rsidR="001E39AE" w:rsidRPr="00494377" w:rsidRDefault="001E39AE" w:rsidP="001E39AE">
            <w:pPr>
              <w:spacing w:before="180"/>
              <w:jc w:val="center"/>
              <w:rPr>
                <w:color w:val="000000"/>
              </w:rPr>
            </w:pPr>
          </w:p>
        </w:tc>
      </w:tr>
      <w:tr w:rsidR="001E39AE" w:rsidRPr="001E39AE" w14:paraId="710046A2" w14:textId="77777777" w:rsidTr="00494377">
        <w:trPr>
          <w:trHeight w:val="300"/>
        </w:trPr>
        <w:tc>
          <w:tcPr>
            <w:tcW w:w="2829" w:type="dxa"/>
            <w:tcBorders>
              <w:top w:val="nil"/>
              <w:left w:val="single" w:sz="4" w:space="0" w:color="auto"/>
              <w:bottom w:val="single" w:sz="4" w:space="0" w:color="auto"/>
              <w:right w:val="single" w:sz="4" w:space="0" w:color="auto"/>
            </w:tcBorders>
            <w:shd w:val="clear" w:color="auto" w:fill="auto"/>
            <w:noWrap/>
            <w:vAlign w:val="center"/>
            <w:hideMark/>
          </w:tcPr>
          <w:p w14:paraId="7C454C64" w14:textId="77777777" w:rsidR="001E39AE" w:rsidRPr="001E39AE" w:rsidRDefault="001E39AE" w:rsidP="001E39AE">
            <w:pPr>
              <w:spacing w:before="180"/>
              <w:rPr>
                <w:rFonts w:ascii="新細明體" w:hAnsi="新細明體"/>
                <w:color w:val="000000"/>
              </w:rPr>
            </w:pPr>
            <w:r w:rsidRPr="001E39AE">
              <w:rPr>
                <w:rFonts w:ascii="新細明體" w:hAnsi="新細明體" w:hint="eastAsia"/>
                <w:color w:val="000000"/>
              </w:rPr>
              <w:t>Time Period (year)</w:t>
            </w:r>
          </w:p>
        </w:tc>
        <w:tc>
          <w:tcPr>
            <w:tcW w:w="1610" w:type="dxa"/>
            <w:tcBorders>
              <w:top w:val="nil"/>
              <w:left w:val="nil"/>
              <w:bottom w:val="single" w:sz="4" w:space="0" w:color="auto"/>
              <w:right w:val="single" w:sz="4" w:space="0" w:color="auto"/>
            </w:tcBorders>
            <w:shd w:val="clear" w:color="auto" w:fill="auto"/>
            <w:noWrap/>
            <w:vAlign w:val="center"/>
            <w:hideMark/>
          </w:tcPr>
          <w:p w14:paraId="09908667" w14:textId="77777777" w:rsidR="001E39AE" w:rsidRPr="00494377" w:rsidRDefault="001E39AE" w:rsidP="0080507E">
            <w:pPr>
              <w:spacing w:before="180"/>
              <w:jc w:val="center"/>
              <w:rPr>
                <w:color w:val="000000"/>
              </w:rPr>
            </w:pPr>
            <w:r w:rsidRPr="00494377">
              <w:rPr>
                <w:color w:val="000000"/>
              </w:rPr>
              <w:t>2015-2018</w:t>
            </w:r>
          </w:p>
        </w:tc>
        <w:tc>
          <w:tcPr>
            <w:tcW w:w="1710" w:type="dxa"/>
            <w:tcBorders>
              <w:top w:val="nil"/>
              <w:left w:val="nil"/>
              <w:bottom w:val="single" w:sz="4" w:space="0" w:color="auto"/>
              <w:right w:val="single" w:sz="4" w:space="0" w:color="auto"/>
            </w:tcBorders>
            <w:shd w:val="clear" w:color="auto" w:fill="auto"/>
            <w:noWrap/>
            <w:vAlign w:val="center"/>
            <w:hideMark/>
          </w:tcPr>
          <w:p w14:paraId="0880CA74" w14:textId="77777777" w:rsidR="001E39AE" w:rsidRPr="00494377" w:rsidRDefault="001E39AE" w:rsidP="0080507E">
            <w:pPr>
              <w:spacing w:before="180"/>
              <w:jc w:val="center"/>
              <w:rPr>
                <w:color w:val="000000"/>
              </w:rPr>
            </w:pPr>
            <w:r w:rsidRPr="00494377">
              <w:rPr>
                <w:color w:val="000000"/>
              </w:rPr>
              <w:t>2019-2022</w:t>
            </w:r>
          </w:p>
        </w:tc>
        <w:tc>
          <w:tcPr>
            <w:tcW w:w="1461" w:type="dxa"/>
            <w:tcBorders>
              <w:top w:val="nil"/>
              <w:left w:val="nil"/>
              <w:bottom w:val="single" w:sz="4" w:space="0" w:color="auto"/>
              <w:right w:val="single" w:sz="4" w:space="0" w:color="auto"/>
            </w:tcBorders>
            <w:shd w:val="clear" w:color="auto" w:fill="auto"/>
            <w:noWrap/>
            <w:vAlign w:val="center"/>
            <w:hideMark/>
          </w:tcPr>
          <w:p w14:paraId="4FE37DFC" w14:textId="77777777" w:rsidR="001E39AE" w:rsidRPr="00494377" w:rsidRDefault="001E39AE" w:rsidP="0080507E">
            <w:pPr>
              <w:spacing w:before="180"/>
              <w:jc w:val="center"/>
              <w:rPr>
                <w:color w:val="000000"/>
              </w:rPr>
            </w:pPr>
            <w:r w:rsidRPr="00494377">
              <w:rPr>
                <w:color w:val="000000"/>
              </w:rPr>
              <w:t>2015-2022</w:t>
            </w:r>
          </w:p>
        </w:tc>
        <w:tc>
          <w:tcPr>
            <w:tcW w:w="1610" w:type="dxa"/>
            <w:tcBorders>
              <w:top w:val="nil"/>
              <w:left w:val="nil"/>
              <w:bottom w:val="single" w:sz="4" w:space="0" w:color="auto"/>
              <w:right w:val="single" w:sz="4" w:space="0" w:color="auto"/>
            </w:tcBorders>
            <w:shd w:val="clear" w:color="auto" w:fill="auto"/>
            <w:noWrap/>
            <w:vAlign w:val="center"/>
            <w:hideMark/>
          </w:tcPr>
          <w:p w14:paraId="65650F13" w14:textId="77777777" w:rsidR="001E39AE" w:rsidRPr="00494377" w:rsidRDefault="001E39AE" w:rsidP="0080507E">
            <w:pPr>
              <w:spacing w:before="180"/>
              <w:jc w:val="center"/>
              <w:rPr>
                <w:color w:val="000000"/>
              </w:rPr>
            </w:pPr>
            <w:r w:rsidRPr="00494377">
              <w:rPr>
                <w:color w:val="000000"/>
              </w:rPr>
              <w:t>1992-2022</w:t>
            </w:r>
          </w:p>
        </w:tc>
      </w:tr>
      <w:tr w:rsidR="001E39AE" w:rsidRPr="001E39AE" w14:paraId="6E6D72F9" w14:textId="77777777" w:rsidTr="00494377">
        <w:trPr>
          <w:trHeight w:val="300"/>
        </w:trPr>
        <w:tc>
          <w:tcPr>
            <w:tcW w:w="2829" w:type="dxa"/>
            <w:tcBorders>
              <w:top w:val="nil"/>
              <w:left w:val="single" w:sz="4" w:space="0" w:color="auto"/>
              <w:bottom w:val="single" w:sz="4" w:space="0" w:color="auto"/>
              <w:right w:val="single" w:sz="4" w:space="0" w:color="auto"/>
            </w:tcBorders>
            <w:shd w:val="clear" w:color="auto" w:fill="auto"/>
            <w:noWrap/>
            <w:vAlign w:val="center"/>
            <w:hideMark/>
          </w:tcPr>
          <w:p w14:paraId="32A2A2EC" w14:textId="77777777" w:rsidR="001E39AE" w:rsidRPr="001E39AE" w:rsidRDefault="001E39AE" w:rsidP="001E39AE">
            <w:pPr>
              <w:spacing w:before="180"/>
              <w:rPr>
                <w:rFonts w:ascii="新細明體" w:hAnsi="新細明體"/>
                <w:color w:val="000000"/>
              </w:rPr>
            </w:pPr>
            <w:r w:rsidRPr="001E39AE">
              <w:rPr>
                <w:rFonts w:ascii="新細明體" w:hAnsi="新細明體" w:hint="eastAsia"/>
                <w:color w:val="000000"/>
              </w:rPr>
              <w:t xml:space="preserve">Correlation Coefficient </w:t>
            </w:r>
          </w:p>
        </w:tc>
        <w:tc>
          <w:tcPr>
            <w:tcW w:w="1610" w:type="dxa"/>
            <w:tcBorders>
              <w:top w:val="nil"/>
              <w:left w:val="nil"/>
              <w:bottom w:val="single" w:sz="4" w:space="0" w:color="auto"/>
              <w:right w:val="single" w:sz="4" w:space="0" w:color="auto"/>
            </w:tcBorders>
            <w:shd w:val="clear" w:color="auto" w:fill="auto"/>
            <w:noWrap/>
            <w:vAlign w:val="center"/>
            <w:hideMark/>
          </w:tcPr>
          <w:p w14:paraId="24510B22" w14:textId="5A321157" w:rsidR="001E39AE" w:rsidRPr="00494377" w:rsidRDefault="001E39AE" w:rsidP="00494377">
            <w:pPr>
              <w:spacing w:before="180"/>
              <w:jc w:val="center"/>
              <w:rPr>
                <w:color w:val="000000"/>
              </w:rPr>
            </w:pPr>
            <w:r w:rsidRPr="00494377">
              <w:rPr>
                <w:color w:val="000000"/>
              </w:rPr>
              <w:t>0.82</w:t>
            </w:r>
          </w:p>
        </w:tc>
        <w:tc>
          <w:tcPr>
            <w:tcW w:w="1710" w:type="dxa"/>
            <w:tcBorders>
              <w:top w:val="nil"/>
              <w:left w:val="nil"/>
              <w:bottom w:val="single" w:sz="4" w:space="0" w:color="auto"/>
              <w:right w:val="single" w:sz="4" w:space="0" w:color="auto"/>
            </w:tcBorders>
            <w:shd w:val="clear" w:color="auto" w:fill="auto"/>
            <w:noWrap/>
            <w:vAlign w:val="center"/>
            <w:hideMark/>
          </w:tcPr>
          <w:p w14:paraId="5424D132" w14:textId="46CDE0A4" w:rsidR="001E39AE" w:rsidRPr="00494377" w:rsidRDefault="001E39AE" w:rsidP="00494377">
            <w:pPr>
              <w:spacing w:before="180"/>
              <w:jc w:val="center"/>
              <w:rPr>
                <w:color w:val="000000"/>
              </w:rPr>
            </w:pPr>
            <w:r w:rsidRPr="00494377">
              <w:rPr>
                <w:color w:val="000000"/>
              </w:rPr>
              <w:t>-0.15</w:t>
            </w:r>
          </w:p>
        </w:tc>
        <w:tc>
          <w:tcPr>
            <w:tcW w:w="1461" w:type="dxa"/>
            <w:tcBorders>
              <w:top w:val="nil"/>
              <w:left w:val="nil"/>
              <w:bottom w:val="single" w:sz="4" w:space="0" w:color="auto"/>
              <w:right w:val="single" w:sz="4" w:space="0" w:color="auto"/>
            </w:tcBorders>
            <w:shd w:val="clear" w:color="auto" w:fill="auto"/>
            <w:noWrap/>
            <w:vAlign w:val="center"/>
            <w:hideMark/>
          </w:tcPr>
          <w:p w14:paraId="237A4DB2" w14:textId="62B6EE27" w:rsidR="001E39AE" w:rsidRPr="00494377" w:rsidRDefault="001E39AE" w:rsidP="00494377">
            <w:pPr>
              <w:spacing w:before="180"/>
              <w:jc w:val="center"/>
              <w:rPr>
                <w:color w:val="000000"/>
              </w:rPr>
            </w:pPr>
            <w:r w:rsidRPr="00494377">
              <w:rPr>
                <w:color w:val="000000"/>
              </w:rPr>
              <w:t>0.1</w:t>
            </w:r>
            <w:r w:rsidR="004B7F46" w:rsidRPr="00494377">
              <w:rPr>
                <w:color w:val="000000"/>
              </w:rPr>
              <w:t>1</w:t>
            </w:r>
          </w:p>
        </w:tc>
        <w:tc>
          <w:tcPr>
            <w:tcW w:w="1610" w:type="dxa"/>
            <w:tcBorders>
              <w:top w:val="nil"/>
              <w:left w:val="nil"/>
              <w:bottom w:val="single" w:sz="4" w:space="0" w:color="auto"/>
              <w:right w:val="single" w:sz="4" w:space="0" w:color="auto"/>
            </w:tcBorders>
            <w:shd w:val="clear" w:color="auto" w:fill="auto"/>
            <w:noWrap/>
            <w:vAlign w:val="center"/>
            <w:hideMark/>
          </w:tcPr>
          <w:p w14:paraId="26037A09" w14:textId="5CDC1562" w:rsidR="001E39AE" w:rsidRPr="00494377" w:rsidRDefault="001E39AE" w:rsidP="00494377">
            <w:pPr>
              <w:spacing w:before="180"/>
              <w:jc w:val="center"/>
              <w:rPr>
                <w:color w:val="000000"/>
              </w:rPr>
            </w:pPr>
            <w:r w:rsidRPr="00494377">
              <w:rPr>
                <w:color w:val="000000"/>
              </w:rPr>
              <w:t>0.89</w:t>
            </w:r>
          </w:p>
        </w:tc>
      </w:tr>
    </w:tbl>
    <w:p w14:paraId="48049F53" w14:textId="7F2B833E" w:rsidR="00D43557" w:rsidRDefault="008A347E" w:rsidP="00912AB5">
      <w:pPr>
        <w:adjustRightInd w:val="0"/>
        <w:snapToGrid w:val="0"/>
        <w:spacing w:before="180" w:line="480" w:lineRule="auto"/>
        <w:jc w:val="both"/>
        <w:rPr>
          <w:rFonts w:eastAsiaTheme="minorEastAsia"/>
          <w:bCs/>
        </w:rPr>
      </w:pPr>
      <w:r>
        <w:rPr>
          <w:rFonts w:eastAsiaTheme="minorEastAsia" w:hint="eastAsia"/>
          <w:bCs/>
        </w:rPr>
        <w:t>S</w:t>
      </w:r>
      <w:r>
        <w:rPr>
          <w:rFonts w:eastAsiaTheme="minorEastAsia"/>
          <w:bCs/>
        </w:rPr>
        <w:t>ource: yahoo</w:t>
      </w:r>
      <w:r w:rsidR="003A0719">
        <w:rPr>
          <w:rFonts w:eastAsiaTheme="minorEastAsia"/>
          <w:bCs/>
        </w:rPr>
        <w:t xml:space="preserve"> </w:t>
      </w:r>
      <w:r>
        <w:rPr>
          <w:rFonts w:eastAsiaTheme="minorEastAsia"/>
          <w:bCs/>
        </w:rPr>
        <w:t>finance</w:t>
      </w:r>
    </w:p>
    <w:p w14:paraId="74A57351" w14:textId="6BC82781" w:rsidR="0058562C" w:rsidRPr="00D812CC" w:rsidRDefault="001125F7" w:rsidP="00D812CC">
      <w:pPr>
        <w:adjustRightInd w:val="0"/>
        <w:snapToGrid w:val="0"/>
        <w:spacing w:before="180" w:line="480" w:lineRule="auto"/>
        <w:ind w:firstLine="397"/>
        <w:jc w:val="both"/>
        <w:rPr>
          <w:bCs/>
        </w:rPr>
      </w:pPr>
      <w:r>
        <w:rPr>
          <w:rFonts w:hint="eastAsia"/>
          <w:bCs/>
        </w:rPr>
        <w:t>T</w:t>
      </w:r>
      <w:r>
        <w:rPr>
          <w:bCs/>
        </w:rPr>
        <w:t xml:space="preserve">able </w:t>
      </w:r>
      <w:r w:rsidR="00A53A1B">
        <w:rPr>
          <w:bCs/>
        </w:rPr>
        <w:t>2</w:t>
      </w:r>
      <w:r>
        <w:rPr>
          <w:bCs/>
        </w:rPr>
        <w:t xml:space="preserve"> </w:t>
      </w:r>
      <w:r w:rsidR="00392EB9">
        <w:rPr>
          <w:bCs/>
        </w:rPr>
        <w:t>reflects</w:t>
      </w:r>
      <w:r>
        <w:rPr>
          <w:bCs/>
        </w:rPr>
        <w:t xml:space="preserve"> how the movement of </w:t>
      </w:r>
      <w:r w:rsidR="0088117A">
        <w:rPr>
          <w:bCs/>
        </w:rPr>
        <w:t>these</w:t>
      </w:r>
      <w:r>
        <w:rPr>
          <w:bCs/>
        </w:rPr>
        <w:t xml:space="preserve"> two stock price indexes are correlated.</w:t>
      </w:r>
      <w:r w:rsidR="0053587B">
        <w:rPr>
          <w:bCs/>
        </w:rPr>
        <w:t xml:space="preserve"> </w:t>
      </w:r>
      <w:r w:rsidR="00A7369A">
        <w:rPr>
          <w:bCs/>
        </w:rPr>
        <w:t>The methodology applied was the Person correlation coefficient which is used for measuring and see how strong the two variables are related</w:t>
      </w:r>
      <w:r w:rsidR="00737A34">
        <w:rPr>
          <w:bCs/>
        </w:rPr>
        <w:t xml:space="preserve"> </w:t>
      </w:r>
      <w:r w:rsidR="00534580">
        <w:rPr>
          <w:bCs/>
        </w:rPr>
        <w:t>(</w:t>
      </w:r>
      <w:r w:rsidR="006B1D79">
        <w:t>Turney</w:t>
      </w:r>
      <w:r w:rsidR="006B1636">
        <w:t xml:space="preserve">, </w:t>
      </w:r>
      <w:r w:rsidR="006B1D79">
        <w:t>2022)</w:t>
      </w:r>
      <w:r w:rsidR="009B3861">
        <w:rPr>
          <w:rFonts w:hint="eastAsia"/>
          <w:bCs/>
        </w:rPr>
        <w:t>.</w:t>
      </w:r>
      <w:r w:rsidR="009B3861">
        <w:rPr>
          <w:bCs/>
        </w:rPr>
        <w:t xml:space="preserve"> </w:t>
      </w:r>
      <w:r w:rsidR="00A7369A">
        <w:rPr>
          <w:bCs/>
        </w:rPr>
        <w:t xml:space="preserve">The range is between 0 and 1 or 0 to -1. When </w:t>
      </w:r>
      <w:r w:rsidR="00FC09FE">
        <w:rPr>
          <w:bCs/>
        </w:rPr>
        <w:t>it becomes 1, the two variables are of very strong related with the same direction., while the figure is -1, two variables are of strong inversely related., and when the figure becomes 0, t</w:t>
      </w:r>
      <w:r w:rsidR="00920436">
        <w:rPr>
          <w:bCs/>
        </w:rPr>
        <w:t>he two variables are of no relationship.</w:t>
      </w:r>
      <w:r w:rsidR="00A7369A">
        <w:rPr>
          <w:bCs/>
        </w:rPr>
        <w:t xml:space="preserve"> </w:t>
      </w:r>
      <w:r w:rsidR="00392EB9">
        <w:rPr>
          <w:bCs/>
        </w:rPr>
        <w:t xml:space="preserve"> It seemed the two indexed were of highly correlated as the correlation coefficient</w:t>
      </w:r>
      <w:r w:rsidR="00343BC4">
        <w:rPr>
          <w:bCs/>
        </w:rPr>
        <w:t xml:space="preserve"> (r) calculated from 2015 to 2018 before the outbreak of </w:t>
      </w:r>
      <w:r w:rsidR="00343BC4" w:rsidRPr="00343BC4">
        <w:rPr>
          <w:bCs/>
        </w:rPr>
        <w:t>Covid-19 pandemic</w:t>
      </w:r>
      <w:r w:rsidR="004B47FB">
        <w:rPr>
          <w:bCs/>
        </w:rPr>
        <w:t xml:space="preserve"> </w:t>
      </w:r>
      <w:r w:rsidR="00392EB9">
        <w:rPr>
          <w:bCs/>
        </w:rPr>
        <w:t xml:space="preserve">was 0.89. </w:t>
      </w:r>
      <w:r w:rsidR="00A35E31">
        <w:rPr>
          <w:bCs/>
        </w:rPr>
        <w:t xml:space="preserve">However, it is interesting to </w:t>
      </w:r>
      <w:r w:rsidR="00343BC4">
        <w:rPr>
          <w:bCs/>
        </w:rPr>
        <w:t xml:space="preserve">note </w:t>
      </w:r>
      <w:r w:rsidR="00A35E31">
        <w:rPr>
          <w:bCs/>
        </w:rPr>
        <w:t>that during the Covid-19 pandemic</w:t>
      </w:r>
      <w:r w:rsidR="00343BC4" w:rsidRPr="00343BC4">
        <w:rPr>
          <w:bCs/>
        </w:rPr>
        <w:t xml:space="preserve"> period 2019-22</w:t>
      </w:r>
      <w:r w:rsidR="00343BC4">
        <w:rPr>
          <w:bCs/>
        </w:rPr>
        <w:t>, the</w:t>
      </w:r>
      <w:r w:rsidR="00343BC4" w:rsidRPr="00343BC4">
        <w:rPr>
          <w:bCs/>
        </w:rPr>
        <w:t xml:space="preserve"> coefficient </w:t>
      </w:r>
      <w:r w:rsidR="005304D6">
        <w:rPr>
          <w:bCs/>
        </w:rPr>
        <w:t>changed</w:t>
      </w:r>
      <w:r w:rsidR="005304D6" w:rsidRPr="005304D6">
        <w:t xml:space="preserve"> </w:t>
      </w:r>
      <w:r w:rsidR="005304D6" w:rsidRPr="005304D6">
        <w:rPr>
          <w:bCs/>
        </w:rPr>
        <w:t>significantly</w:t>
      </w:r>
      <w:r w:rsidR="00343BC4">
        <w:rPr>
          <w:bCs/>
        </w:rPr>
        <w:t xml:space="preserve"> to</w:t>
      </w:r>
      <w:r w:rsidR="005304D6">
        <w:rPr>
          <w:bCs/>
        </w:rPr>
        <w:t xml:space="preserve"> r=-0.11</w:t>
      </w:r>
      <w:r w:rsidR="00A35E31">
        <w:rPr>
          <w:bCs/>
        </w:rPr>
        <w:t xml:space="preserve">. </w:t>
      </w:r>
      <w:r w:rsidR="00F562DD">
        <w:rPr>
          <w:bCs/>
        </w:rPr>
        <w:t xml:space="preserve">Although both of </w:t>
      </w:r>
      <w:r w:rsidR="00F562DD">
        <w:rPr>
          <w:bCs/>
        </w:rPr>
        <w:lastRenderedPageBreak/>
        <w:t xml:space="preserve">the indexes had impacted by the pandemic and showed </w:t>
      </w:r>
      <w:r w:rsidR="006F1CCF">
        <w:rPr>
          <w:bCs/>
        </w:rPr>
        <w:t>a</w:t>
      </w:r>
      <w:r w:rsidR="00F562DD">
        <w:rPr>
          <w:bCs/>
        </w:rPr>
        <w:t xml:space="preserve"> </w:t>
      </w:r>
      <w:r w:rsidR="005304D6">
        <w:rPr>
          <w:bCs/>
        </w:rPr>
        <w:t xml:space="preserve">drastic drop. </w:t>
      </w:r>
      <w:r w:rsidR="004B47FB">
        <w:rPr>
          <w:bCs/>
        </w:rPr>
        <w:t xml:space="preserve">For the period of year 2015 to 2018, it showed that the two indexes were highly correlated with </w:t>
      </w:r>
      <w:r w:rsidR="005304D6">
        <w:rPr>
          <w:bCs/>
        </w:rPr>
        <w:t>r=</w:t>
      </w:r>
      <w:r w:rsidR="004B7F46">
        <w:rPr>
          <w:bCs/>
        </w:rPr>
        <w:t>0.82</w:t>
      </w:r>
      <w:r w:rsidR="001812FB">
        <w:rPr>
          <w:bCs/>
        </w:rPr>
        <w:t xml:space="preserve">., </w:t>
      </w:r>
      <w:r w:rsidR="005304D6">
        <w:rPr>
          <w:bCs/>
        </w:rPr>
        <w:t xml:space="preserve">and </w:t>
      </w:r>
      <w:r w:rsidR="001812FB">
        <w:rPr>
          <w:bCs/>
        </w:rPr>
        <w:t xml:space="preserve">the </w:t>
      </w:r>
      <w:r w:rsidR="005304D6">
        <w:rPr>
          <w:bCs/>
        </w:rPr>
        <w:t>r-0.11</w:t>
      </w:r>
      <w:r w:rsidR="001812FB">
        <w:rPr>
          <w:bCs/>
        </w:rPr>
        <w:t xml:space="preserve"> </w:t>
      </w:r>
      <w:r w:rsidR="005304D6">
        <w:rPr>
          <w:bCs/>
        </w:rPr>
        <w:t xml:space="preserve">in the period of </w:t>
      </w:r>
      <w:r w:rsidR="001812FB">
        <w:rPr>
          <w:bCs/>
        </w:rPr>
        <w:t>2015 to 2022. This forementioned observation</w:t>
      </w:r>
      <w:r w:rsidR="0082289C">
        <w:rPr>
          <w:bCs/>
        </w:rPr>
        <w:t>s</w:t>
      </w:r>
      <w:r w:rsidR="001812FB">
        <w:rPr>
          <w:bCs/>
        </w:rPr>
        <w:t xml:space="preserve"> signified that the Covid-19 had greatl</w:t>
      </w:r>
      <w:r w:rsidR="00677582">
        <w:rPr>
          <w:bCs/>
        </w:rPr>
        <w:t>y affected the performance of stock market of Hong Kong and gave a short “pain” to Australia</w:t>
      </w:r>
      <w:r w:rsidR="00672944">
        <w:rPr>
          <w:bCs/>
        </w:rPr>
        <w:t xml:space="preserve"> and Australia recovered much faster than Hong Kong</w:t>
      </w:r>
      <w:r w:rsidR="00677582">
        <w:rPr>
          <w:bCs/>
        </w:rPr>
        <w:t>.</w:t>
      </w:r>
      <w:r w:rsidR="00672944">
        <w:rPr>
          <w:bCs/>
        </w:rPr>
        <w:t xml:space="preserve"> Investors need to capture the opportunities which less uncertainty that whether the markets will rebound again like what happen in Hong Kong.</w:t>
      </w:r>
    </w:p>
    <w:p w14:paraId="18F1F9BD" w14:textId="77777777" w:rsidR="00D812CC" w:rsidRDefault="00D43557" w:rsidP="00FD4FB3">
      <w:pPr>
        <w:adjustRightInd w:val="0"/>
        <w:snapToGrid w:val="0"/>
        <w:spacing w:before="180" w:line="360" w:lineRule="auto"/>
        <w:jc w:val="both"/>
        <w:rPr>
          <w:b/>
          <w:color w:val="000000" w:themeColor="text1"/>
        </w:rPr>
      </w:pPr>
      <w:r w:rsidRPr="00F941F8">
        <w:rPr>
          <w:b/>
          <w:color w:val="000000" w:themeColor="text1"/>
        </w:rPr>
        <w:t>3.2 The stock market profile</w:t>
      </w:r>
      <w:r w:rsidR="00E84DA2" w:rsidRPr="00ED1038">
        <w:rPr>
          <w:b/>
          <w:color w:val="000000" w:themeColor="text1"/>
        </w:rPr>
        <w:t xml:space="preserve"> of the</w:t>
      </w:r>
      <w:r w:rsidR="00E84DA2" w:rsidRPr="00ED1038">
        <w:rPr>
          <w:color w:val="000000" w:themeColor="text1"/>
        </w:rPr>
        <w:t xml:space="preserve"> </w:t>
      </w:r>
      <w:r w:rsidR="00E84DA2" w:rsidRPr="00ED1038">
        <w:rPr>
          <w:b/>
          <w:color w:val="000000" w:themeColor="text1"/>
        </w:rPr>
        <w:t xml:space="preserve">Australian stock market </w:t>
      </w:r>
    </w:p>
    <w:p w14:paraId="155B77B1" w14:textId="75535508" w:rsidR="0089107D" w:rsidRPr="00D812CC" w:rsidRDefault="0089107D" w:rsidP="00FD4FB3">
      <w:pPr>
        <w:adjustRightInd w:val="0"/>
        <w:snapToGrid w:val="0"/>
        <w:spacing w:before="180" w:line="360" w:lineRule="auto"/>
        <w:jc w:val="both"/>
        <w:rPr>
          <w:b/>
          <w:color w:val="000000" w:themeColor="text1"/>
        </w:rPr>
      </w:pPr>
      <w:r w:rsidRPr="00494377">
        <w:rPr>
          <w:bCs/>
          <w:color w:val="000000" w:themeColor="text1"/>
          <w:sz w:val="22"/>
        </w:rPr>
        <w:t xml:space="preserve">Figure 2. the weighting of the countries / regions of </w:t>
      </w:r>
      <w:r w:rsidR="00494377" w:rsidRPr="00494377">
        <w:rPr>
          <w:bCs/>
          <w:color w:val="000000" w:themeColor="text1"/>
          <w:sz w:val="22"/>
        </w:rPr>
        <w:t>distribution</w:t>
      </w:r>
      <w:r w:rsidRPr="00494377">
        <w:rPr>
          <w:bCs/>
          <w:color w:val="000000" w:themeColor="text1"/>
          <w:sz w:val="22"/>
        </w:rPr>
        <w:t xml:space="preserve"> of constituent stocks of ASX200 </w:t>
      </w:r>
    </w:p>
    <w:p w14:paraId="05B636CE" w14:textId="50F902A1" w:rsidR="0089107D" w:rsidRDefault="002E6B61" w:rsidP="00FD4FB3">
      <w:pPr>
        <w:adjustRightInd w:val="0"/>
        <w:snapToGrid w:val="0"/>
        <w:spacing w:before="180" w:line="360" w:lineRule="auto"/>
        <w:jc w:val="both"/>
        <w:rPr>
          <w:b/>
          <w:color w:val="000000" w:themeColor="text1"/>
        </w:rPr>
      </w:pPr>
      <w:r>
        <w:rPr>
          <w:noProof/>
        </w:rPr>
        <w:drawing>
          <wp:inline distT="0" distB="0" distL="0" distR="0" wp14:anchorId="5FD8A5D9" wp14:editId="3FE1A432">
            <wp:extent cx="5784112" cy="4001135"/>
            <wp:effectExtent l="0" t="0" r="7620" b="12065"/>
            <wp:docPr id="9" name="圖表 9">
              <a:extLst xmlns:a="http://schemas.openxmlformats.org/drawingml/2006/main">
                <a:ext uri="{FF2B5EF4-FFF2-40B4-BE49-F238E27FC236}">
                  <a16:creationId xmlns:a16="http://schemas.microsoft.com/office/drawing/2014/main" id="{1CC0C380-D1C2-6A49-0315-C57D5ED643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BE6BEBD" w14:textId="56A0623C" w:rsidR="00E24182" w:rsidRPr="004E4BA2" w:rsidRDefault="00E24182" w:rsidP="004E4BA2">
      <w:pPr>
        <w:adjustRightInd w:val="0"/>
        <w:snapToGrid w:val="0"/>
        <w:spacing w:before="180"/>
        <w:ind w:left="480" w:hangingChars="200" w:hanging="480"/>
        <w:jc w:val="both"/>
        <w:rPr>
          <w:color w:val="222222"/>
          <w:shd w:val="clear" w:color="auto" w:fill="FFFFFF"/>
        </w:rPr>
      </w:pPr>
      <w:r>
        <w:rPr>
          <w:bCs/>
          <w:color w:val="000000" w:themeColor="text1"/>
        </w:rPr>
        <w:t xml:space="preserve">Sources </w:t>
      </w:r>
      <w:r w:rsidR="004E4BA2">
        <w:rPr>
          <w:color w:val="222222"/>
          <w:shd w:val="clear" w:color="auto" w:fill="FFFFFF"/>
        </w:rPr>
        <w:t xml:space="preserve">S&amp;P Global, (2023), </w:t>
      </w:r>
      <w:r w:rsidR="004E4BA2" w:rsidRPr="00051353">
        <w:rPr>
          <w:i/>
          <w:iCs/>
          <w:color w:val="222222"/>
          <w:shd w:val="clear" w:color="auto" w:fill="FFFFFF"/>
        </w:rPr>
        <w:t>S&amp;P Dow Jones Indices</w:t>
      </w:r>
    </w:p>
    <w:p w14:paraId="236122D8" w14:textId="244B8B97" w:rsidR="00B42A80" w:rsidRPr="003B71F5" w:rsidRDefault="007F4614" w:rsidP="00A402B1">
      <w:pPr>
        <w:adjustRightInd w:val="0"/>
        <w:snapToGrid w:val="0"/>
        <w:spacing w:before="180" w:line="480" w:lineRule="auto"/>
        <w:ind w:firstLine="397"/>
        <w:jc w:val="both"/>
      </w:pPr>
      <w:r w:rsidRPr="003B71F5">
        <w:lastRenderedPageBreak/>
        <w:t>The ASX 200 of Australia is</w:t>
      </w:r>
      <w:r w:rsidR="00D933D9" w:rsidRPr="003B71F5">
        <w:t xml:space="preserve"> usually called </w:t>
      </w:r>
      <w:proofErr w:type="spellStart"/>
      <w:r w:rsidR="001E55FC" w:rsidRPr="003B71F5">
        <w:t>t</w:t>
      </w:r>
      <w:r w:rsidR="001E55FC" w:rsidRPr="003B71F5">
        <w:rPr>
          <w:lang w:val="x-none"/>
        </w:rPr>
        <w:t>h</w:t>
      </w:r>
      <w:r w:rsidR="001E55FC" w:rsidRPr="003B71F5">
        <w:t>e</w:t>
      </w:r>
      <w:proofErr w:type="spellEnd"/>
      <w:r w:rsidR="00D933D9" w:rsidRPr="003B71F5">
        <w:t xml:space="preserve"> S&amp;P/ASX 200</w:t>
      </w:r>
      <w:r w:rsidR="006709A1" w:rsidRPr="003B71F5">
        <w:t xml:space="preserve"> or ASX200</w:t>
      </w:r>
      <w:r w:rsidR="002E6FFE" w:rsidRPr="003B71F5">
        <w:t xml:space="preserve">. </w:t>
      </w:r>
      <w:r w:rsidR="006709A1" w:rsidRPr="003B71F5">
        <w:t xml:space="preserve">ASX200 </w:t>
      </w:r>
      <w:r w:rsidR="00D933D9" w:rsidRPr="003B71F5">
        <w:rPr>
          <w:lang w:val="x-none"/>
        </w:rPr>
        <w:t>i</w:t>
      </w:r>
      <w:r w:rsidR="00D933D9" w:rsidRPr="003B71F5">
        <w:t xml:space="preserve">s </w:t>
      </w:r>
      <w:r w:rsidR="006709A1" w:rsidRPr="003B71F5">
        <w:t xml:space="preserve">the index that treated </w:t>
      </w:r>
      <w:r w:rsidR="00D933D9" w:rsidRPr="003B71F5">
        <w:t xml:space="preserve">as the </w:t>
      </w:r>
      <w:r w:rsidR="006709A1" w:rsidRPr="003B71F5">
        <w:t xml:space="preserve">reliable reference for investing stocks </w:t>
      </w:r>
      <w:r w:rsidR="007A25B7" w:rsidRPr="003B71F5">
        <w:t xml:space="preserve">by institutional investors </w:t>
      </w:r>
      <w:r w:rsidR="00D933D9" w:rsidRPr="003B71F5">
        <w:t xml:space="preserve">in Australia. </w:t>
      </w:r>
      <w:r w:rsidR="006709A1" w:rsidRPr="003B71F5">
        <w:t>The constituent stocks of ASX200</w:t>
      </w:r>
      <w:r w:rsidR="00D933D9" w:rsidRPr="003B71F5">
        <w:t xml:space="preserve"> are </w:t>
      </w:r>
      <w:r w:rsidR="006709A1" w:rsidRPr="003B71F5">
        <w:t>picked</w:t>
      </w:r>
      <w:r w:rsidR="00D933D9" w:rsidRPr="003B71F5">
        <w:t xml:space="preserve"> from companies listed on the Australian Securities Exchange</w:t>
      </w:r>
      <w:r w:rsidR="006709A1" w:rsidRPr="003B71F5">
        <w:t xml:space="preserve"> (“ASE</w:t>
      </w:r>
      <w:r w:rsidR="001E55FC" w:rsidRPr="003B71F5">
        <w:t>”)</w:t>
      </w:r>
      <w:r w:rsidR="00D933D9" w:rsidRPr="003B71F5">
        <w:t xml:space="preserve">. The ASX200 is designed to measure the performance of the 200 largest stocks </w:t>
      </w:r>
      <w:r w:rsidR="00A54808" w:rsidRPr="003B71F5">
        <w:t xml:space="preserve">in their market capitalization </w:t>
      </w:r>
      <w:r w:rsidR="00D933D9" w:rsidRPr="003B71F5">
        <w:t>listed on the ASX</w:t>
      </w:r>
      <w:proofErr w:type="gramStart"/>
      <w:r w:rsidR="00A54808" w:rsidRPr="003B71F5">
        <w:t>200 .</w:t>
      </w:r>
      <w:proofErr w:type="gramEnd"/>
      <w:r w:rsidR="00A54808" w:rsidRPr="003B71F5">
        <w:t xml:space="preserve"> As stocks’ market capitalization varies, their weighting would have been adjusted quarterly at the last Friday of March, June, September and December of each calendar year.</w:t>
      </w:r>
    </w:p>
    <w:p w14:paraId="6A7B5BB1" w14:textId="3596C748" w:rsidR="00BA5E6B" w:rsidRPr="00651B8D" w:rsidRDefault="000023DF" w:rsidP="00A402B1">
      <w:pPr>
        <w:adjustRightInd w:val="0"/>
        <w:snapToGrid w:val="0"/>
        <w:spacing w:before="180" w:line="480" w:lineRule="auto"/>
        <w:jc w:val="both"/>
      </w:pPr>
      <w:r>
        <w:rPr>
          <w:sz w:val="26"/>
        </w:rPr>
        <w:tab/>
      </w:r>
      <w:r w:rsidRPr="00651B8D">
        <w:t>ASX200, according to new release of S&amp;P on 31</w:t>
      </w:r>
      <w:r w:rsidRPr="00651B8D">
        <w:rPr>
          <w:vertAlign w:val="superscript"/>
        </w:rPr>
        <w:t>st</w:t>
      </w:r>
      <w:r w:rsidRPr="00651B8D">
        <w:t xml:space="preserve"> January, 2023, has consisted mostly of Australia incorporated companies with 97.3%, </w:t>
      </w:r>
      <w:r w:rsidR="002F0356" w:rsidRPr="00651B8D">
        <w:t>others came from the United States, New Zealand and United Kingdom.</w:t>
      </w:r>
      <w:r w:rsidR="00BA5E6B" w:rsidRPr="00651B8D">
        <w:t xml:space="preserve"> </w:t>
      </w:r>
    </w:p>
    <w:p w14:paraId="53D7567A" w14:textId="0C77B7EE" w:rsidR="0058562C" w:rsidRDefault="00641B63" w:rsidP="00385AE9">
      <w:pPr>
        <w:adjustRightInd w:val="0"/>
        <w:snapToGrid w:val="0"/>
        <w:spacing w:before="180" w:line="480" w:lineRule="auto"/>
        <w:jc w:val="both"/>
      </w:pPr>
      <w:r>
        <w:rPr>
          <w:sz w:val="26"/>
        </w:rPr>
        <w:tab/>
      </w:r>
      <w:r w:rsidRPr="00385AE9">
        <w:t xml:space="preserve">Figure 2. show the distribution of industries of constituent stocks of ASX200. The largest portion of the industry came from the Financials, it was about 28%, followed by </w:t>
      </w:r>
      <w:r w:rsidR="001C2DED">
        <w:t>m</w:t>
      </w:r>
      <w:r w:rsidRPr="00385AE9">
        <w:t>aterials at about 25%. Both of them shared half of the weighting of the ASX200. Health care has taken 10% and Consumer discretionary, Real Estate, Energy and Industrials has each taken about 6% of weighting. This observation reflected the Australian economic activities have been relied on the financial and material (or said to be commodities)</w:t>
      </w:r>
      <w:r w:rsidR="00BB7831">
        <w:t xml:space="preserve">, </w:t>
      </w:r>
      <w:r w:rsidR="006E73DD">
        <w:t>which would be benefit from Russia-</w:t>
      </w:r>
      <w:r w:rsidR="005F4FBD">
        <w:t>Ukraine</w:t>
      </w:r>
      <w:r w:rsidR="006E73DD">
        <w:t xml:space="preserve"> conflicts as Australia is a commodity and energy </w:t>
      </w:r>
      <w:r w:rsidR="005F4FBD">
        <w:t>exporter</w:t>
      </w:r>
      <w:r w:rsidR="00FC4323">
        <w:t xml:space="preserve"> (</w:t>
      </w:r>
      <w:r w:rsidR="00872FDD">
        <w:t>Walker,2022)</w:t>
      </w:r>
      <w:r w:rsidR="006E73DD">
        <w:t xml:space="preserve">. </w:t>
      </w:r>
      <w:r w:rsidRPr="00385AE9">
        <w:t xml:space="preserve">This varies from that in HSI </w:t>
      </w:r>
      <w:r w:rsidR="001330D1" w:rsidRPr="00385AE9">
        <w:t>(figure 3)</w:t>
      </w:r>
      <w:r w:rsidR="00F03AF1" w:rsidRPr="00385AE9">
        <w:t xml:space="preserve"> </w:t>
      </w:r>
      <w:r w:rsidRPr="00385AE9">
        <w:t xml:space="preserve">that although 37% of constituent stocks were from </w:t>
      </w:r>
      <w:r w:rsidR="00281432" w:rsidRPr="00385AE9">
        <w:t>financials, information technology has been taken 32% in</w:t>
      </w:r>
      <w:r w:rsidR="001330D1" w:rsidRPr="00385AE9">
        <w:t>s</w:t>
      </w:r>
      <w:r w:rsidR="00281432" w:rsidRPr="00385AE9">
        <w:t>tead</w:t>
      </w:r>
      <w:r w:rsidR="00E16980" w:rsidRPr="00385AE9">
        <w:t xml:space="preserve"> and both of them occupied almost 70% of the </w:t>
      </w:r>
      <w:r w:rsidR="00FE5ED4" w:rsidRPr="00385AE9">
        <w:t>HSI, although no single stocks can take up weighting more than 8%</w:t>
      </w:r>
      <w:r w:rsidR="00E16980" w:rsidRPr="00385AE9">
        <w:t>.</w:t>
      </w:r>
      <w:r w:rsidR="00FE5ED4" w:rsidRPr="00385AE9">
        <w:t xml:space="preserve"> </w:t>
      </w:r>
    </w:p>
    <w:p w14:paraId="60508C68" w14:textId="77777777" w:rsidR="00385AE9" w:rsidRPr="00385AE9" w:rsidRDefault="00385AE9" w:rsidP="00385AE9">
      <w:pPr>
        <w:adjustRightInd w:val="0"/>
        <w:snapToGrid w:val="0"/>
        <w:spacing w:before="180" w:line="480" w:lineRule="auto"/>
        <w:jc w:val="both"/>
      </w:pPr>
    </w:p>
    <w:p w14:paraId="63F4A25E" w14:textId="071D71FF" w:rsidR="001330D1" w:rsidRPr="0085562F" w:rsidRDefault="001330D1" w:rsidP="00DD79F6">
      <w:pPr>
        <w:adjustRightInd w:val="0"/>
        <w:snapToGrid w:val="0"/>
        <w:spacing w:before="180" w:line="360" w:lineRule="auto"/>
        <w:jc w:val="both"/>
      </w:pPr>
      <w:r w:rsidRPr="0085562F">
        <w:lastRenderedPageBreak/>
        <w:t>Figure 3. Weighting of component stocks of Hang Seng Index (%)</w:t>
      </w:r>
    </w:p>
    <w:p w14:paraId="5F1E7079" w14:textId="1E5A7426" w:rsidR="00144063" w:rsidRDefault="00364BF4" w:rsidP="00DD79F6">
      <w:pPr>
        <w:adjustRightInd w:val="0"/>
        <w:snapToGrid w:val="0"/>
        <w:spacing w:before="180" w:line="360" w:lineRule="auto"/>
        <w:jc w:val="both"/>
        <w:rPr>
          <w:sz w:val="26"/>
        </w:rPr>
      </w:pPr>
      <w:r>
        <w:rPr>
          <w:noProof/>
        </w:rPr>
        <w:drawing>
          <wp:inline distT="0" distB="0" distL="0" distR="0" wp14:anchorId="0F26AAB4" wp14:editId="0122E411">
            <wp:extent cx="5063613" cy="3736258"/>
            <wp:effectExtent l="0" t="0" r="16510" b="10795"/>
            <wp:docPr id="10" name="圖表 10">
              <a:extLst xmlns:a="http://schemas.openxmlformats.org/drawingml/2006/main">
                <a:ext uri="{FF2B5EF4-FFF2-40B4-BE49-F238E27FC236}">
                  <a16:creationId xmlns:a16="http://schemas.microsoft.com/office/drawing/2014/main" id="{14282BB4-4ABF-68C2-965B-1DD9F112AF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DB341C5" w14:textId="285F9DC6" w:rsidR="00A0289E" w:rsidRPr="005F23F0" w:rsidRDefault="00A0289E" w:rsidP="00DD79F6">
      <w:pPr>
        <w:adjustRightInd w:val="0"/>
        <w:snapToGrid w:val="0"/>
        <w:spacing w:before="180" w:line="360" w:lineRule="auto"/>
        <w:jc w:val="both"/>
      </w:pPr>
      <w:r w:rsidRPr="005F23F0">
        <w:rPr>
          <w:rFonts w:hint="eastAsia"/>
        </w:rPr>
        <w:t>S</w:t>
      </w:r>
      <w:r w:rsidRPr="005F23F0">
        <w:t>ource</w:t>
      </w:r>
      <w:r w:rsidR="0019463A" w:rsidRPr="005F23F0">
        <w:t xml:space="preserve">: Hang Seng </w:t>
      </w:r>
      <w:r w:rsidR="00C75A41" w:rsidRPr="005F23F0">
        <w:t>Ind</w:t>
      </w:r>
      <w:r w:rsidR="00C75A41">
        <w:t>ic</w:t>
      </w:r>
      <w:r w:rsidR="00C75A41" w:rsidRPr="005F23F0">
        <w:t>es</w:t>
      </w:r>
      <w:r w:rsidR="0019463A" w:rsidRPr="005F23F0">
        <w:t xml:space="preserve"> Company Limited</w:t>
      </w:r>
      <w:r w:rsidR="00120C18">
        <w:t xml:space="preserve"> (2023), </w:t>
      </w:r>
      <w:r w:rsidR="00120C18" w:rsidRPr="00120C18">
        <w:rPr>
          <w:i/>
          <w:iCs/>
        </w:rPr>
        <w:t>Hang Seng Index</w:t>
      </w:r>
    </w:p>
    <w:p w14:paraId="6228FA08" w14:textId="007995C5" w:rsidR="00832375" w:rsidRPr="005F23F0" w:rsidRDefault="006C6CC9" w:rsidP="00C75A41">
      <w:pPr>
        <w:adjustRightInd w:val="0"/>
        <w:snapToGrid w:val="0"/>
        <w:spacing w:before="180" w:line="480" w:lineRule="auto"/>
        <w:ind w:firstLine="397"/>
        <w:jc w:val="both"/>
        <w:rPr>
          <w:rFonts w:eastAsiaTheme="minorEastAsia"/>
        </w:rPr>
      </w:pPr>
      <w:r w:rsidRPr="005F23F0">
        <w:rPr>
          <w:rFonts w:eastAsiaTheme="minorEastAsia"/>
        </w:rPr>
        <w:t xml:space="preserve">Figure 3 showed the industry distribution of HSI, it is easy to notice that </w:t>
      </w:r>
      <w:r w:rsidR="00C55ABB" w:rsidRPr="005F23F0">
        <w:rPr>
          <w:rFonts w:eastAsiaTheme="minorEastAsia"/>
        </w:rPr>
        <w:t>fi</w:t>
      </w:r>
      <w:r w:rsidRPr="005F23F0">
        <w:rPr>
          <w:rFonts w:eastAsiaTheme="minorEastAsia"/>
        </w:rPr>
        <w:t xml:space="preserve">nancial industries had occupied 37% of the whole HSI constituent stocks, followed by Information Technology with 32%. </w:t>
      </w:r>
      <w:r w:rsidR="002A3DCC" w:rsidRPr="005F23F0">
        <w:rPr>
          <w:rFonts w:eastAsiaTheme="minorEastAsia"/>
        </w:rPr>
        <w:t xml:space="preserve">The similarity was both of ASX200 and HSI were highly affected by the </w:t>
      </w:r>
      <w:r w:rsidR="00C55ABB" w:rsidRPr="005F23F0">
        <w:rPr>
          <w:rFonts w:eastAsiaTheme="minorEastAsia"/>
        </w:rPr>
        <w:t>financial industry, however, there was quite a large difference between the two stock markets that HSI has got much weighting on information technology as the second largest in the index while ASX200 has got a big portion of materials (</w:t>
      </w:r>
      <w:r w:rsidR="00100278">
        <w:rPr>
          <w:rFonts w:eastAsiaTheme="minorEastAsia"/>
        </w:rPr>
        <w:t>Walker, 2022</w:t>
      </w:r>
      <w:r w:rsidR="00C55ABB" w:rsidRPr="005F23F0">
        <w:rPr>
          <w:rFonts w:eastAsiaTheme="minorEastAsia"/>
        </w:rPr>
        <w:t>) which are f</w:t>
      </w:r>
      <w:r w:rsidR="00BB7831">
        <w:rPr>
          <w:rFonts w:eastAsiaTheme="minorEastAsia"/>
        </w:rPr>
        <w:t>ro</w:t>
      </w:r>
      <w:r w:rsidR="00C55ABB" w:rsidRPr="005F23F0">
        <w:rPr>
          <w:rFonts w:eastAsiaTheme="minorEastAsia"/>
        </w:rPr>
        <w:t>m rural and non-rural commodities.</w:t>
      </w:r>
      <w:r w:rsidR="00BB7831">
        <w:rPr>
          <w:rFonts w:eastAsiaTheme="minorEastAsia"/>
        </w:rPr>
        <w:t>(</w:t>
      </w:r>
      <w:r w:rsidR="009A2527">
        <w:rPr>
          <w:rFonts w:eastAsiaTheme="minorEastAsia"/>
        </w:rPr>
        <w:t>Australia</w:t>
      </w:r>
      <w:r w:rsidR="00BB7831">
        <w:rPr>
          <w:rFonts w:eastAsiaTheme="minorEastAsia"/>
        </w:rPr>
        <w:t xml:space="preserve"> Bureau of Statistics, </w:t>
      </w:r>
      <w:r w:rsidR="00422BC2" w:rsidRPr="00422BC2">
        <w:rPr>
          <w:rFonts w:eastAsiaTheme="minorEastAsia"/>
        </w:rPr>
        <w:t>International Trade in Goods and Services, Australia</w:t>
      </w:r>
      <w:r w:rsidR="00422BC2">
        <w:rPr>
          <w:rFonts w:eastAsiaTheme="minorEastAsia"/>
        </w:rPr>
        <w:t>, 2023)</w:t>
      </w:r>
      <w:r w:rsidR="00C55ABB" w:rsidRPr="005F23F0">
        <w:rPr>
          <w:rFonts w:eastAsiaTheme="minorEastAsia"/>
        </w:rPr>
        <w:t xml:space="preserve"> </w:t>
      </w:r>
      <w:r w:rsidR="002840C0" w:rsidRPr="005F23F0">
        <w:rPr>
          <w:rFonts w:eastAsiaTheme="minorEastAsia"/>
        </w:rPr>
        <w:t xml:space="preserve">This may make the difference when the both economies were impacted at the same time. When a place was locked down and normal business activities are closed down, the </w:t>
      </w:r>
      <w:r w:rsidR="002840C0" w:rsidRPr="005F23F0">
        <w:rPr>
          <w:rFonts w:eastAsiaTheme="minorEastAsia"/>
        </w:rPr>
        <w:lastRenderedPageBreak/>
        <w:t>most essential and vital will be raw food and raw material so that people can cook by themselves at home, and for the information technology will focus on a few services like financials and other remotes activities like online teaching and diagnosis.</w:t>
      </w:r>
    </w:p>
    <w:p w14:paraId="5479D959" w14:textId="77777777" w:rsidR="0058562C" w:rsidRDefault="0058562C" w:rsidP="00DD79F6">
      <w:pPr>
        <w:adjustRightInd w:val="0"/>
        <w:snapToGrid w:val="0"/>
        <w:spacing w:before="180" w:line="360" w:lineRule="auto"/>
        <w:jc w:val="both"/>
        <w:rPr>
          <w:b/>
          <w:bCs/>
        </w:rPr>
      </w:pPr>
    </w:p>
    <w:p w14:paraId="05379DDB" w14:textId="1697B14F" w:rsidR="008837E1" w:rsidRPr="00C358E9" w:rsidRDefault="00F3790B" w:rsidP="00DD79F6">
      <w:pPr>
        <w:adjustRightInd w:val="0"/>
        <w:snapToGrid w:val="0"/>
        <w:spacing w:before="180" w:line="360" w:lineRule="auto"/>
        <w:jc w:val="both"/>
        <w:rPr>
          <w:b/>
          <w:bCs/>
        </w:rPr>
      </w:pPr>
      <w:r w:rsidRPr="00C358E9">
        <w:rPr>
          <w:b/>
          <w:bCs/>
        </w:rPr>
        <w:t xml:space="preserve">3.3 </w:t>
      </w:r>
      <w:r w:rsidR="0027453D" w:rsidRPr="00C358E9">
        <w:rPr>
          <w:b/>
          <w:bCs/>
        </w:rPr>
        <w:t>The economic prospect</w:t>
      </w:r>
    </w:p>
    <w:p w14:paraId="06D1FCAA" w14:textId="727705F8" w:rsidR="0058562C" w:rsidRDefault="0058562C" w:rsidP="00EA59FF">
      <w:pPr>
        <w:adjustRightInd w:val="0"/>
        <w:snapToGrid w:val="0"/>
        <w:spacing w:before="180" w:line="480" w:lineRule="auto"/>
        <w:ind w:firstLine="397"/>
        <w:jc w:val="both"/>
        <w:rPr>
          <w:bCs/>
        </w:rPr>
      </w:pPr>
      <w:r w:rsidRPr="00C75A41">
        <w:rPr>
          <w:rFonts w:hint="eastAsia"/>
          <w:bCs/>
        </w:rPr>
        <w:t>T</w:t>
      </w:r>
      <w:r w:rsidRPr="00C75A41">
        <w:rPr>
          <w:bCs/>
        </w:rPr>
        <w:t xml:space="preserve">he outlook for Australian economy tends to be positive. Real GDP growth is expected to grow by 1.5% in year 2024, slower than 3.3% that in year </w:t>
      </w:r>
      <w:proofErr w:type="gramStart"/>
      <w:r w:rsidRPr="00C75A41">
        <w:rPr>
          <w:bCs/>
        </w:rPr>
        <w:t>2023.</w:t>
      </w:r>
      <w:r w:rsidR="003D31CD" w:rsidRPr="00C75A41">
        <w:rPr>
          <w:bCs/>
        </w:rPr>
        <w:t>(</w:t>
      </w:r>
      <w:proofErr w:type="gramEnd"/>
      <w:r w:rsidR="00D24F3E" w:rsidRPr="00C75A41">
        <w:rPr>
          <w:bCs/>
        </w:rPr>
        <w:t xml:space="preserve">Standard and </w:t>
      </w:r>
      <w:proofErr w:type="spellStart"/>
      <w:r w:rsidR="00D24F3E" w:rsidRPr="00C75A41">
        <w:rPr>
          <w:bCs/>
        </w:rPr>
        <w:t>Poors</w:t>
      </w:r>
      <w:proofErr w:type="spellEnd"/>
      <w:r w:rsidR="003D31CD" w:rsidRPr="00C75A41">
        <w:rPr>
          <w:bCs/>
        </w:rPr>
        <w:t>,</w:t>
      </w:r>
      <w:r w:rsidR="00BE2692">
        <w:rPr>
          <w:bCs/>
        </w:rPr>
        <w:t xml:space="preserve"> </w:t>
      </w:r>
      <w:r w:rsidR="003D31CD" w:rsidRPr="00C75A41">
        <w:rPr>
          <w:bCs/>
        </w:rPr>
        <w:t>2023)</w:t>
      </w:r>
      <w:r w:rsidRPr="00C75A41">
        <w:rPr>
          <w:bCs/>
        </w:rPr>
        <w:t xml:space="preserve"> </w:t>
      </w:r>
      <w:r w:rsidR="00AD3861" w:rsidRPr="00C75A41">
        <w:rPr>
          <w:bCs/>
        </w:rPr>
        <w:t xml:space="preserve">The </w:t>
      </w:r>
      <w:r w:rsidR="00D02FDF" w:rsidRPr="00C75A41">
        <w:rPr>
          <w:bCs/>
        </w:rPr>
        <w:t>slowdown</w:t>
      </w:r>
      <w:r w:rsidR="00AD3861" w:rsidRPr="00C75A41">
        <w:rPr>
          <w:bCs/>
        </w:rPr>
        <w:t xml:space="preserve"> of GDP growth would be mainly </w:t>
      </w:r>
      <w:r w:rsidR="00D02FDF" w:rsidRPr="00C75A41">
        <w:rPr>
          <w:bCs/>
        </w:rPr>
        <w:t>affected by</w:t>
      </w:r>
      <w:r w:rsidR="00AD3861" w:rsidRPr="00C75A41">
        <w:rPr>
          <w:bCs/>
        </w:rPr>
        <w:t xml:space="preserve"> its high inflation which subsequently </w:t>
      </w:r>
      <w:r w:rsidR="00067507" w:rsidRPr="00C75A41">
        <w:rPr>
          <w:bCs/>
        </w:rPr>
        <w:t>led</w:t>
      </w:r>
      <w:r w:rsidR="00AD3861" w:rsidRPr="00C75A41">
        <w:rPr>
          <w:bCs/>
        </w:rPr>
        <w:t xml:space="preserve"> to rapid increase in interest rate, not just in Australia, but also the whole world.</w:t>
      </w:r>
      <w:r w:rsidR="00D02FDF" w:rsidRPr="00C75A41">
        <w:rPr>
          <w:bCs/>
        </w:rPr>
        <w:t xml:space="preserve"> Under the high inflation and eventually higher interest rate environment, the confidence of both the consumer and the businessmen</w:t>
      </w:r>
      <w:r w:rsidR="00067507" w:rsidRPr="00C75A41">
        <w:rPr>
          <w:bCs/>
        </w:rPr>
        <w:t>.  The newly released Customer Price Index (CPI) by Australian Statistic Bureau (ABS) was 7.8 % which is the highest since year 1990</w:t>
      </w:r>
      <w:r w:rsidR="00BA1C28" w:rsidRPr="00C75A41">
        <w:rPr>
          <w:bCs/>
        </w:rPr>
        <w:t>(Australian Bureau of Statistics, 2023)</w:t>
      </w:r>
      <w:r w:rsidR="00067507" w:rsidRPr="00C75A41">
        <w:rPr>
          <w:bCs/>
        </w:rPr>
        <w:t>. The rises of</w:t>
      </w:r>
      <w:r w:rsidR="000B4DA5" w:rsidRPr="00C75A41">
        <w:rPr>
          <w:bCs/>
        </w:rPr>
        <w:t xml:space="preserve"> p</w:t>
      </w:r>
      <w:r w:rsidR="00067507" w:rsidRPr="00C75A41">
        <w:rPr>
          <w:bCs/>
        </w:rPr>
        <w:t xml:space="preserve">rices for food, </w:t>
      </w:r>
      <w:r w:rsidR="000B4DA5" w:rsidRPr="00C75A41">
        <w:rPr>
          <w:bCs/>
        </w:rPr>
        <w:t>vehicle</w:t>
      </w:r>
      <w:r w:rsidR="00067507" w:rsidRPr="00C75A41">
        <w:rPr>
          <w:bCs/>
        </w:rPr>
        <w:t xml:space="preserve"> fuel and new dwelling construction. Trimmed mean </w:t>
      </w:r>
      <w:r w:rsidR="000B4DA5" w:rsidRPr="00C75A41">
        <w:rPr>
          <w:bCs/>
        </w:rPr>
        <w:t>CPI</w:t>
      </w:r>
      <w:r w:rsidR="00067507" w:rsidRPr="00C75A41">
        <w:rPr>
          <w:bCs/>
        </w:rPr>
        <w:t xml:space="preserve">, which excludes </w:t>
      </w:r>
      <w:r w:rsidR="000B4DA5" w:rsidRPr="00C75A41">
        <w:rPr>
          <w:bCs/>
        </w:rPr>
        <w:t>high magnitude of fluctuation</w:t>
      </w:r>
      <w:r w:rsidR="00067507" w:rsidRPr="00C75A41">
        <w:rPr>
          <w:bCs/>
        </w:rPr>
        <w:t>, increased to 6.9</w:t>
      </w:r>
      <w:r w:rsidR="000B4DA5" w:rsidRPr="00C75A41">
        <w:rPr>
          <w:bCs/>
        </w:rPr>
        <w:t>%, which is</w:t>
      </w:r>
      <w:r w:rsidR="00067507" w:rsidRPr="00C75A41">
        <w:rPr>
          <w:bCs/>
        </w:rPr>
        <w:t xml:space="preserve"> the highest since the ABS first </w:t>
      </w:r>
      <w:r w:rsidR="000B4DA5" w:rsidRPr="00C75A41">
        <w:rPr>
          <w:bCs/>
        </w:rPr>
        <w:t xml:space="preserve">record </w:t>
      </w:r>
      <w:r w:rsidR="00067507" w:rsidRPr="00C75A41">
        <w:rPr>
          <w:bCs/>
        </w:rPr>
        <w:t xml:space="preserve">published </w:t>
      </w:r>
      <w:r w:rsidR="000B4DA5" w:rsidRPr="00C75A41">
        <w:rPr>
          <w:bCs/>
        </w:rPr>
        <w:t>by ABS in</w:t>
      </w:r>
      <w:r w:rsidR="00067507" w:rsidRPr="00C75A41">
        <w:rPr>
          <w:bCs/>
        </w:rPr>
        <w:t xml:space="preserve"> 2003.</w:t>
      </w:r>
    </w:p>
    <w:p w14:paraId="1E62473D" w14:textId="79222297" w:rsidR="001614DA" w:rsidRPr="00525BB2" w:rsidRDefault="005E40D7" w:rsidP="00525BB2">
      <w:pPr>
        <w:adjustRightInd w:val="0"/>
        <w:snapToGrid w:val="0"/>
        <w:spacing w:before="180" w:line="480" w:lineRule="auto"/>
        <w:jc w:val="both"/>
        <w:rPr>
          <w:bCs/>
        </w:rPr>
      </w:pPr>
      <w:r>
        <w:rPr>
          <w:bCs/>
        </w:rPr>
        <w:tab/>
        <w:t>In response to the dilemma, the</w:t>
      </w:r>
      <w:r w:rsidRPr="0058562C">
        <w:rPr>
          <w:bCs/>
        </w:rPr>
        <w:t xml:space="preserve"> Reserve Bank of Australia (RBA) </w:t>
      </w:r>
      <w:r>
        <w:rPr>
          <w:bCs/>
        </w:rPr>
        <w:t xml:space="preserve">increased the interest rate from 0.1% to 3.1% as at December, 2002. The significant increase of interest rate might affect the consumption of household as the debt derived from rental and mortgage payment are quite sensitive to the increase of interest rate. And eventually </w:t>
      </w:r>
      <w:r w:rsidR="00525BB2">
        <w:rPr>
          <w:bCs/>
        </w:rPr>
        <w:t xml:space="preserve">cost of </w:t>
      </w:r>
      <w:r>
        <w:rPr>
          <w:bCs/>
        </w:rPr>
        <w:t xml:space="preserve">new home building, new dwelling construction </w:t>
      </w:r>
      <w:r w:rsidR="00525BB2">
        <w:rPr>
          <w:bCs/>
        </w:rPr>
        <w:t xml:space="preserve">will be under pressure. As almost 70% of ASX200 are financials and </w:t>
      </w:r>
      <w:r w:rsidR="00525BB2">
        <w:rPr>
          <w:bCs/>
        </w:rPr>
        <w:lastRenderedPageBreak/>
        <w:t>materials, higher the costs for production will suppress the profit of those stocks and consequently the ASX200 will be going down in future 12 months.</w:t>
      </w:r>
    </w:p>
    <w:p w14:paraId="419276E4" w14:textId="77777777" w:rsidR="008F4603" w:rsidRDefault="008F4603" w:rsidP="00DD79F6">
      <w:pPr>
        <w:adjustRightInd w:val="0"/>
        <w:snapToGrid w:val="0"/>
        <w:spacing w:before="180" w:line="360" w:lineRule="auto"/>
        <w:jc w:val="both"/>
        <w:rPr>
          <w:b/>
          <w:bCs/>
        </w:rPr>
      </w:pPr>
    </w:p>
    <w:p w14:paraId="625823E7" w14:textId="5E60C5D5" w:rsidR="00B717F6" w:rsidRPr="00E24182" w:rsidRDefault="004F654D" w:rsidP="00DD79F6">
      <w:pPr>
        <w:adjustRightInd w:val="0"/>
        <w:snapToGrid w:val="0"/>
        <w:spacing w:before="180" w:line="360" w:lineRule="auto"/>
        <w:jc w:val="both"/>
      </w:pPr>
      <w:r w:rsidRPr="00E24182">
        <w:rPr>
          <w:rFonts w:hint="eastAsia"/>
        </w:rPr>
        <w:t>F</w:t>
      </w:r>
      <w:r w:rsidRPr="00E24182">
        <w:t xml:space="preserve">igure </w:t>
      </w:r>
      <w:r w:rsidR="00A53A1B" w:rsidRPr="00E24182">
        <w:t>4</w:t>
      </w:r>
      <w:r w:rsidRPr="00E24182">
        <w:t>: Inflation rate, average consumer prices (Annual percent change) comparison of Australia, Hong Kong and the World from year 1992 to 2022</w:t>
      </w:r>
    </w:p>
    <w:p w14:paraId="4A7571D9" w14:textId="494851B0" w:rsidR="00ED3671" w:rsidRPr="00C358E9" w:rsidRDefault="00D97616" w:rsidP="00DD79F6">
      <w:pPr>
        <w:adjustRightInd w:val="0"/>
        <w:snapToGrid w:val="0"/>
        <w:spacing w:before="180" w:line="360" w:lineRule="auto"/>
        <w:jc w:val="both"/>
        <w:rPr>
          <w:b/>
          <w:bCs/>
        </w:rPr>
      </w:pPr>
      <w:r w:rsidRPr="00C358E9">
        <w:rPr>
          <w:noProof/>
        </w:rPr>
        <w:drawing>
          <wp:inline distT="0" distB="0" distL="0" distR="0" wp14:anchorId="7672B011" wp14:editId="41A1C8A1">
            <wp:extent cx="5759450" cy="3637935"/>
            <wp:effectExtent l="0" t="0" r="6350" b="6985"/>
            <wp:docPr id="4" name="圖表 4">
              <a:extLst xmlns:a="http://schemas.openxmlformats.org/drawingml/2006/main">
                <a:ext uri="{FF2B5EF4-FFF2-40B4-BE49-F238E27FC236}">
                  <a16:creationId xmlns:a16="http://schemas.microsoft.com/office/drawing/2014/main" id="{8FD6C479-0FF0-A4D8-1FB3-A3C3075418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E416DCA" w14:textId="464C5B02" w:rsidR="00ED3671" w:rsidRPr="00C358E9" w:rsidRDefault="008B28E7" w:rsidP="00DD79F6">
      <w:pPr>
        <w:adjustRightInd w:val="0"/>
        <w:snapToGrid w:val="0"/>
        <w:spacing w:before="180" w:line="360" w:lineRule="auto"/>
        <w:jc w:val="both"/>
        <w:rPr>
          <w:b/>
          <w:bCs/>
        </w:rPr>
      </w:pPr>
      <w:r>
        <w:rPr>
          <w:rFonts w:hint="eastAsia"/>
          <w:b/>
          <w:bCs/>
        </w:rPr>
        <w:t>S</w:t>
      </w:r>
      <w:r>
        <w:rPr>
          <w:b/>
          <w:bCs/>
        </w:rPr>
        <w:t>ource: IMF Data</w:t>
      </w:r>
    </w:p>
    <w:p w14:paraId="34C3CDF0" w14:textId="2452E276" w:rsidR="00402D3A" w:rsidRPr="00C358E9" w:rsidRDefault="00402D3A" w:rsidP="00FF627A">
      <w:pPr>
        <w:spacing w:before="180" w:line="480" w:lineRule="auto"/>
        <w:ind w:firstLine="397"/>
      </w:pPr>
      <w:r w:rsidRPr="00602F59">
        <w:rPr>
          <w:bCs/>
        </w:rPr>
        <w:t xml:space="preserve">According to the "2021 </w:t>
      </w:r>
      <w:r w:rsidR="00516B58">
        <w:rPr>
          <w:bCs/>
        </w:rPr>
        <w:t xml:space="preserve">Economic </w:t>
      </w:r>
      <w:r w:rsidR="008C0F13">
        <w:rPr>
          <w:bCs/>
        </w:rPr>
        <w:t>Background</w:t>
      </w:r>
      <w:r w:rsidR="00516B58">
        <w:rPr>
          <w:bCs/>
        </w:rPr>
        <w:t xml:space="preserve"> and 2022 Prospects</w:t>
      </w:r>
      <w:r w:rsidRPr="00602F59">
        <w:rPr>
          <w:bCs/>
        </w:rPr>
        <w:t>" published by the "Hong Kong Government", Hong Kong's economy will recover significantly in 2021. With the sharp rebound in global demand, Hong Kong's economy turned to record a strong year-on-</w:t>
      </w:r>
      <w:r w:rsidRPr="00602F59">
        <w:rPr>
          <w:bCs/>
        </w:rPr>
        <w:lastRenderedPageBreak/>
        <w:t>year growth of 7.8% in the first half of 2021</w:t>
      </w:r>
      <w:r w:rsidR="001F0B52">
        <w:rPr>
          <w:bCs/>
        </w:rPr>
        <w:t xml:space="preserve">(Government of Hong Kong Special </w:t>
      </w:r>
      <w:r w:rsidR="003B343D">
        <w:rPr>
          <w:bCs/>
        </w:rPr>
        <w:t>Administration</w:t>
      </w:r>
      <w:r w:rsidR="001F0B52">
        <w:rPr>
          <w:bCs/>
        </w:rPr>
        <w:t xml:space="preserve"> Region, 2022)</w:t>
      </w:r>
      <w:r w:rsidRPr="00602F59">
        <w:rPr>
          <w:bCs/>
        </w:rPr>
        <w:t xml:space="preserve">, and recorded a further solid growth of 5.5% and 4.8% in the third quarter and fourth quarter respectively due to the local epidemic situation being contained increase. However, the recovery has been uneven, mainly because inbound tourism remains frozen. For the full year of 2021, the economy will grow by 6.4%, the fastest pace since 2010, though the economy remains about 2% below its 2018 level after two years of deep recession. Hong Kong's overall exports of goods will surge in 2021, reflecting the significant recovery in import demand from major economies, as well as the support of buoyant trade and production activities in the region. Although intra-regional trade and freight flows resumed, and cross-border commercial and financial services also increased, inbound tourism remained frozen during the year, and service exports recorded only a slight increase. Domestic demand will be on a recovery path in 2021. Benefiting from the subsidence of the local epidemic situation, the improvement of the labor market situation and the promotion of the consumer voucher scheme, private consumption expenditure has recorded considerable growth. The labor market was under significant pressure in early 2021 but continued to improve during the year. Underlying consumer price inflation rose moderately during the year as the economy recovered and import prices rose. </w:t>
      </w:r>
    </w:p>
    <w:p w14:paraId="56C02D41" w14:textId="77777777" w:rsidR="00402D3A" w:rsidRPr="00F941F8" w:rsidRDefault="00402D3A" w:rsidP="00EF53D1">
      <w:pPr>
        <w:spacing w:before="180" w:line="480" w:lineRule="auto"/>
        <w:ind w:firstLine="397"/>
        <w:rPr>
          <w:bCs/>
        </w:rPr>
      </w:pPr>
      <w:r w:rsidRPr="00F941F8">
        <w:rPr>
          <w:bCs/>
        </w:rPr>
        <w:lastRenderedPageBreak/>
        <w:t xml:space="preserve">The year-on-year contraction widened in the third quarter of 2022. The deterioration of the external environment and the continuous disruption of cross-boundary land freight movement have dealt a heavy blow to Hong Kong's exports. Tighter financial conditions due to sharp interest rate hikes by major central banks have weighed heavily on domestic demand, despite improving labor market conditions and the government's issuance of consumer vouchers in August to support private consumption. Real GDP fell by 4.5% year-on-year in the third quarter after falling by 1.3% in the previous quarter. On a seasonally adjusted quarter-to-quarter comparison, real GDP fell by 2.6%. </w:t>
      </w:r>
    </w:p>
    <w:p w14:paraId="29055384" w14:textId="1B47DC35" w:rsidR="00EA59FF" w:rsidRPr="00C54653" w:rsidRDefault="009A3C10" w:rsidP="002B6B7D">
      <w:pPr>
        <w:spacing w:before="180" w:line="480" w:lineRule="auto"/>
        <w:rPr>
          <w:bCs/>
        </w:rPr>
      </w:pPr>
      <w:r w:rsidRPr="00F941F8">
        <w:rPr>
          <w:bCs/>
          <w:color w:val="0000CC"/>
        </w:rPr>
        <w:tab/>
      </w:r>
      <w:r w:rsidRPr="00F941F8">
        <w:rPr>
          <w:bCs/>
        </w:rPr>
        <w:t xml:space="preserve">On the other hand, </w:t>
      </w:r>
      <w:r w:rsidR="00B950B2" w:rsidRPr="00F941F8">
        <w:rPr>
          <w:bCs/>
        </w:rPr>
        <w:t xml:space="preserve">Interesting to notice that </w:t>
      </w:r>
      <w:r w:rsidRPr="00F941F8">
        <w:rPr>
          <w:bCs/>
        </w:rPr>
        <w:t>Australia</w:t>
      </w:r>
      <w:r w:rsidR="005C1951" w:rsidRPr="00F941F8">
        <w:rPr>
          <w:bCs/>
        </w:rPr>
        <w:t xml:space="preserve">’s exports </w:t>
      </w:r>
      <w:r w:rsidRPr="00F941F8">
        <w:rPr>
          <w:bCs/>
        </w:rPr>
        <w:t>seemed not affected by the Covid</w:t>
      </w:r>
      <w:r w:rsidR="005C1951" w:rsidRPr="00F941F8">
        <w:rPr>
          <w:bCs/>
        </w:rPr>
        <w:t>.</w:t>
      </w:r>
      <w:r w:rsidRPr="00F941F8">
        <w:rPr>
          <w:bCs/>
        </w:rPr>
        <w:t xml:space="preserve"> </w:t>
      </w:r>
      <w:r w:rsidR="00477A9D" w:rsidRPr="00F941F8">
        <w:rPr>
          <w:bCs/>
        </w:rPr>
        <w:t xml:space="preserve">According </w:t>
      </w:r>
      <w:r w:rsidR="005C1951" w:rsidRPr="00F941F8">
        <w:rPr>
          <w:bCs/>
        </w:rPr>
        <w:t>to the Australia Statistic Bureau, t</w:t>
      </w:r>
      <w:r w:rsidRPr="00F941F8">
        <w:rPr>
          <w:bCs/>
        </w:rPr>
        <w:t xml:space="preserve">he economic momentum has been </w:t>
      </w:r>
      <w:r w:rsidR="002B6B7D" w:rsidRPr="00F941F8">
        <w:rPr>
          <w:bCs/>
        </w:rPr>
        <w:t xml:space="preserve">supported </w:t>
      </w:r>
      <w:r w:rsidRPr="00F941F8">
        <w:rPr>
          <w:bCs/>
        </w:rPr>
        <w:t>by the export and the export has been increasing gradually since</w:t>
      </w:r>
      <w:r w:rsidR="002B6B7D" w:rsidRPr="00F941F8">
        <w:rPr>
          <w:bCs/>
        </w:rPr>
        <w:t xml:space="preserve"> June 2020 and up to more than AUD50,000 in December 2022. </w:t>
      </w:r>
      <w:r w:rsidRPr="00F941F8">
        <w:rPr>
          <w:bCs/>
        </w:rPr>
        <w:t xml:space="preserve"> </w:t>
      </w:r>
    </w:p>
    <w:p w14:paraId="566255D5" w14:textId="77777777" w:rsidR="00C54653" w:rsidRDefault="00C54653" w:rsidP="002B6B7D">
      <w:pPr>
        <w:spacing w:before="180" w:line="480" w:lineRule="auto"/>
        <w:rPr>
          <w:bCs/>
          <w:color w:val="000000" w:themeColor="text1"/>
        </w:rPr>
      </w:pPr>
    </w:p>
    <w:p w14:paraId="7A245AA1" w14:textId="77777777" w:rsidR="00C54653" w:rsidRDefault="00C54653" w:rsidP="002B6B7D">
      <w:pPr>
        <w:spacing w:before="180" w:line="480" w:lineRule="auto"/>
        <w:rPr>
          <w:bCs/>
          <w:color w:val="000000" w:themeColor="text1"/>
        </w:rPr>
      </w:pPr>
    </w:p>
    <w:p w14:paraId="702BA762" w14:textId="77777777" w:rsidR="00C54653" w:rsidRDefault="00C54653" w:rsidP="002B6B7D">
      <w:pPr>
        <w:spacing w:before="180" w:line="480" w:lineRule="auto"/>
        <w:rPr>
          <w:bCs/>
          <w:color w:val="000000" w:themeColor="text1"/>
        </w:rPr>
      </w:pPr>
    </w:p>
    <w:p w14:paraId="0FE5C05E" w14:textId="458A92B9" w:rsidR="0052260F" w:rsidRPr="007C6181" w:rsidRDefault="00522DCB" w:rsidP="002B6B7D">
      <w:pPr>
        <w:spacing w:before="180" w:line="480" w:lineRule="auto"/>
        <w:rPr>
          <w:bCs/>
          <w:color w:val="0000CC"/>
        </w:rPr>
      </w:pPr>
      <w:r>
        <w:rPr>
          <w:bCs/>
          <w:color w:val="000000" w:themeColor="text1"/>
        </w:rPr>
        <w:lastRenderedPageBreak/>
        <w:t>Figure</w:t>
      </w:r>
      <w:r w:rsidR="0020641F" w:rsidRPr="00E5156F">
        <w:rPr>
          <w:bCs/>
          <w:color w:val="000000" w:themeColor="text1"/>
        </w:rPr>
        <w:t xml:space="preserve"> </w:t>
      </w:r>
      <w:r w:rsidR="00A53A1B">
        <w:rPr>
          <w:bCs/>
          <w:color w:val="000000" w:themeColor="text1"/>
        </w:rPr>
        <w:t>5</w:t>
      </w:r>
      <w:r w:rsidR="0020641F" w:rsidRPr="00E5156F">
        <w:rPr>
          <w:bCs/>
          <w:color w:val="000000" w:themeColor="text1"/>
        </w:rPr>
        <w:t>. The export in terms of goods and services credits seasonally adjust in A$ in million</w:t>
      </w:r>
    </w:p>
    <w:p w14:paraId="2A97F5DD" w14:textId="54F12275" w:rsidR="009A3C10" w:rsidRPr="007C6181" w:rsidRDefault="009A3C10" w:rsidP="00402D3A">
      <w:pPr>
        <w:spacing w:before="180"/>
        <w:rPr>
          <w:bCs/>
          <w:color w:val="0000CC"/>
        </w:rPr>
      </w:pPr>
      <w:r w:rsidRPr="00C358E9">
        <w:rPr>
          <w:noProof/>
        </w:rPr>
        <w:drawing>
          <wp:inline distT="0" distB="0" distL="0" distR="0" wp14:anchorId="2BAD1C04" wp14:editId="5E6F8EF3">
            <wp:extent cx="5759450" cy="3312160"/>
            <wp:effectExtent l="0" t="0" r="6350" b="15240"/>
            <wp:docPr id="6" name="圖表 6">
              <a:extLst xmlns:a="http://schemas.openxmlformats.org/drawingml/2006/main">
                <a:ext uri="{FF2B5EF4-FFF2-40B4-BE49-F238E27FC236}">
                  <a16:creationId xmlns:a16="http://schemas.microsoft.com/office/drawing/2014/main" id="{417D5526-51BA-CCAF-7C8C-179F512E98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1E7E684" w14:textId="55C1552F" w:rsidR="009A3C10" w:rsidRPr="00C54653" w:rsidRDefault="00B3609B" w:rsidP="00402D3A">
      <w:pPr>
        <w:spacing w:before="180"/>
        <w:rPr>
          <w:bCs/>
        </w:rPr>
      </w:pPr>
      <w:r w:rsidRPr="007C6181">
        <w:rPr>
          <w:bCs/>
        </w:rPr>
        <w:t xml:space="preserve">Source: Australia Statistic </w:t>
      </w:r>
      <w:r w:rsidR="00150B2A" w:rsidRPr="00150B2A">
        <w:rPr>
          <w:bCs/>
        </w:rPr>
        <w:t>Bureau</w:t>
      </w:r>
    </w:p>
    <w:p w14:paraId="7275C33D" w14:textId="0522037E" w:rsidR="007F3905" w:rsidRPr="00C54653" w:rsidRDefault="00402D3A" w:rsidP="00C54653">
      <w:pPr>
        <w:spacing w:before="180" w:line="480" w:lineRule="auto"/>
        <w:ind w:firstLine="397"/>
        <w:rPr>
          <w:bCs/>
        </w:rPr>
      </w:pPr>
      <w:r w:rsidRPr="0034350A">
        <w:rPr>
          <w:bCs/>
        </w:rPr>
        <w:t xml:space="preserve">Overall exports of goods fell sharply in the third quarter. The decline in exports to the </w:t>
      </w:r>
      <w:r w:rsidR="00C22982" w:rsidRPr="0034350A">
        <w:rPr>
          <w:bCs/>
        </w:rPr>
        <w:t>mainland</w:t>
      </w:r>
      <w:r w:rsidRPr="0034350A">
        <w:rPr>
          <w:bCs/>
        </w:rPr>
        <w:t xml:space="preserve"> widened. Exports to the U.S. and the EU turned sharply lower. Growth in exports to most other major Asian markets slowed. Exports of services turned down. Exports of financial services fell notably due to the weakening of cross-border financial and fund-raising activities. Exports of transportation services decreased due to the deterioration in trade performance, while exports of commercial and other services declined as the external environment deteriorated. Thanks to the government's relaxation of testing and quarantine </w:t>
      </w:r>
      <w:r w:rsidRPr="0034350A">
        <w:rPr>
          <w:bCs/>
        </w:rPr>
        <w:lastRenderedPageBreak/>
        <w:t xml:space="preserve">arrangements for tourists, the export of tourism services has increased significantly, but it is still far below the pre-epidemic level. </w:t>
      </w:r>
    </w:p>
    <w:p w14:paraId="5B28A2C3" w14:textId="6BBAA5C1" w:rsidR="004F654D" w:rsidRPr="001C1894" w:rsidRDefault="004232B5" w:rsidP="00DD79F6">
      <w:pPr>
        <w:adjustRightInd w:val="0"/>
        <w:snapToGrid w:val="0"/>
        <w:spacing w:before="180" w:line="360" w:lineRule="auto"/>
        <w:jc w:val="both"/>
        <w:rPr>
          <w:bCs/>
          <w:color w:val="000000" w:themeColor="text1"/>
        </w:rPr>
      </w:pPr>
      <w:r w:rsidRPr="001C1894">
        <w:rPr>
          <w:bCs/>
          <w:color w:val="000000" w:themeColor="text1"/>
        </w:rPr>
        <w:t xml:space="preserve">Figure </w:t>
      </w:r>
      <w:r w:rsidR="00A53A1B">
        <w:rPr>
          <w:bCs/>
          <w:color w:val="000000" w:themeColor="text1"/>
        </w:rPr>
        <w:t>6</w:t>
      </w:r>
      <w:r w:rsidRPr="001C1894">
        <w:rPr>
          <w:bCs/>
          <w:color w:val="000000" w:themeColor="text1"/>
        </w:rPr>
        <w:t>. The real GDP growth between Australia, Hong Kong and the World</w:t>
      </w:r>
    </w:p>
    <w:p w14:paraId="188D2F38" w14:textId="5C54CE76" w:rsidR="00281F6E" w:rsidRPr="00C358E9" w:rsidRDefault="00575D99" w:rsidP="00DD79F6">
      <w:pPr>
        <w:adjustRightInd w:val="0"/>
        <w:snapToGrid w:val="0"/>
        <w:spacing w:before="180" w:line="360" w:lineRule="auto"/>
        <w:rPr>
          <w:b/>
          <w:bCs/>
          <w:sz w:val="26"/>
        </w:rPr>
      </w:pPr>
      <w:r w:rsidRPr="00C358E9">
        <w:rPr>
          <w:noProof/>
        </w:rPr>
        <w:drawing>
          <wp:inline distT="0" distB="0" distL="0" distR="0" wp14:anchorId="6043CAE5" wp14:editId="78BC8D9C">
            <wp:extent cx="5943600" cy="2870200"/>
            <wp:effectExtent l="0" t="0" r="12700" b="12700"/>
            <wp:docPr id="5" name="圖表 5">
              <a:extLst xmlns:a="http://schemas.openxmlformats.org/drawingml/2006/main">
                <a:ext uri="{FF2B5EF4-FFF2-40B4-BE49-F238E27FC236}">
                  <a16:creationId xmlns:a16="http://schemas.microsoft.com/office/drawing/2014/main" id="{CD15B194-D60B-9D6C-48FF-0B79C6CD94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1771464" w14:textId="2092A43D" w:rsidR="00B72B8A" w:rsidRPr="00C60E98" w:rsidRDefault="00575D99" w:rsidP="00C60E98">
      <w:pPr>
        <w:adjustRightInd w:val="0"/>
        <w:snapToGrid w:val="0"/>
        <w:spacing w:before="180" w:line="360" w:lineRule="auto"/>
        <w:rPr>
          <w:b/>
          <w:bCs/>
          <w:sz w:val="26"/>
        </w:rPr>
      </w:pPr>
      <w:r w:rsidRPr="00C358E9">
        <w:rPr>
          <w:b/>
          <w:bCs/>
          <w:sz w:val="26"/>
        </w:rPr>
        <w:t xml:space="preserve">Source: IMF </w:t>
      </w:r>
      <w:r w:rsidR="007F3905">
        <w:rPr>
          <w:b/>
          <w:bCs/>
          <w:sz w:val="26"/>
        </w:rPr>
        <w:t xml:space="preserve">Data </w:t>
      </w:r>
      <w:r w:rsidRPr="00C358E9">
        <w:rPr>
          <w:b/>
          <w:bCs/>
          <w:sz w:val="26"/>
        </w:rPr>
        <w:t>2022</w:t>
      </w:r>
    </w:p>
    <w:p w14:paraId="2E111849" w14:textId="6D92FAFE" w:rsidR="00D92726" w:rsidRPr="006D5BFB" w:rsidRDefault="004411A7" w:rsidP="00B25B63">
      <w:pPr>
        <w:adjustRightInd w:val="0"/>
        <w:snapToGrid w:val="0"/>
        <w:spacing w:before="180" w:line="480" w:lineRule="auto"/>
        <w:ind w:firstLine="397"/>
        <w:jc w:val="both"/>
        <w:rPr>
          <w:bCs/>
        </w:rPr>
      </w:pPr>
      <w:r w:rsidRPr="00F941F8">
        <w:rPr>
          <w:bCs/>
        </w:rPr>
        <w:t>From figure</w:t>
      </w:r>
      <w:r w:rsidR="00E80131">
        <w:rPr>
          <w:bCs/>
        </w:rPr>
        <w:t xml:space="preserve"> 6 </w:t>
      </w:r>
      <w:r w:rsidRPr="00F941F8">
        <w:rPr>
          <w:bCs/>
        </w:rPr>
        <w:t xml:space="preserve">, it reflected that the real GDP of Australia has been following the world’s Real GDP pattern, while Hong Kong, in the whole period of past 30 years, </w:t>
      </w:r>
      <w:r w:rsidR="00D34A3F" w:rsidRPr="00F941F8">
        <w:rPr>
          <w:bCs/>
        </w:rPr>
        <w:t>with a more fluctuating than that of the Australia</w:t>
      </w:r>
      <w:r w:rsidR="00402D3A" w:rsidRPr="00F941F8">
        <w:rPr>
          <w:bCs/>
        </w:rPr>
        <w:t xml:space="preserve">. </w:t>
      </w:r>
      <w:r w:rsidR="007E5E96" w:rsidRPr="00F941F8">
        <w:rPr>
          <w:bCs/>
        </w:rPr>
        <w:t>And from the recent data, the Real GDP growth of Hong Kong recorded a negative growth of -0.3% while Australia has recorded 3.8% growth. This has shown that Australia could gain a</w:t>
      </w:r>
      <w:r w:rsidR="008F6720" w:rsidRPr="00F941F8">
        <w:rPr>
          <w:bCs/>
        </w:rPr>
        <w:t>n</w:t>
      </w:r>
      <w:r w:rsidR="007E5E96" w:rsidRPr="00F941F8">
        <w:rPr>
          <w:bCs/>
        </w:rPr>
        <w:t xml:space="preserve"> effective rebound of GDP after a 3-year Covid pandemic.</w:t>
      </w:r>
      <w:r w:rsidR="00A6231D" w:rsidRPr="00F941F8">
        <w:rPr>
          <w:bCs/>
        </w:rPr>
        <w:t xml:space="preserve"> This was due to the fact that Hong Kong “reopen” for international travel one year later than that of the Australia, and also the geographic conflict between Ukraine and Russia</w:t>
      </w:r>
      <w:r w:rsidR="00FA0500" w:rsidRPr="00F941F8">
        <w:rPr>
          <w:bCs/>
        </w:rPr>
        <w:t xml:space="preserve"> stimulating the rise of the hard and soft commodity pricing</w:t>
      </w:r>
      <w:r w:rsidR="0073201D">
        <w:rPr>
          <w:bCs/>
        </w:rPr>
        <w:t>(cite)</w:t>
      </w:r>
      <w:r w:rsidR="00FA0500" w:rsidRPr="00F941F8">
        <w:rPr>
          <w:bCs/>
        </w:rPr>
        <w:t xml:space="preserve">. Fortunately, Australia is a commodity </w:t>
      </w:r>
      <w:r w:rsidR="00FA0500" w:rsidRPr="00F941F8">
        <w:rPr>
          <w:bCs/>
        </w:rPr>
        <w:lastRenderedPageBreak/>
        <w:t>exporter and thus</w:t>
      </w:r>
      <w:r w:rsidR="00FA0500" w:rsidRPr="00C358E9">
        <w:rPr>
          <w:bCs/>
        </w:rPr>
        <w:t xml:space="preserve"> </w:t>
      </w:r>
      <w:r w:rsidR="0073201D">
        <w:rPr>
          <w:bCs/>
        </w:rPr>
        <w:t xml:space="preserve">energy, minerals and raw food supply can be sustained. Therefore, </w:t>
      </w:r>
      <w:r w:rsidR="0073201D" w:rsidRPr="0073201D">
        <w:rPr>
          <w:bCs/>
        </w:rPr>
        <w:t xml:space="preserve">the contrast of Australia and Hong Kong’s </w:t>
      </w:r>
      <w:r w:rsidR="0073201D">
        <w:rPr>
          <w:bCs/>
        </w:rPr>
        <w:t xml:space="preserve">real GDP growth which Australia has been keep growing while Hong Kong has been retreating, it </w:t>
      </w:r>
      <w:r w:rsidR="004634E2">
        <w:rPr>
          <w:bCs/>
        </w:rPr>
        <w:t>would be the opportunity to invest in the ASX200 to capture reward of real GDP growth and get rid of further lose in H</w:t>
      </w:r>
      <w:r w:rsidR="00634356">
        <w:rPr>
          <w:bCs/>
        </w:rPr>
        <w:t>S</w:t>
      </w:r>
      <w:r w:rsidR="004634E2">
        <w:rPr>
          <w:bCs/>
        </w:rPr>
        <w:t>I.</w:t>
      </w:r>
    </w:p>
    <w:p w14:paraId="784B15B3" w14:textId="77777777" w:rsidR="000A7BDB" w:rsidRDefault="000A7BDB" w:rsidP="00DD79F6">
      <w:pPr>
        <w:adjustRightInd w:val="0"/>
        <w:snapToGrid w:val="0"/>
        <w:spacing w:before="180" w:line="360" w:lineRule="auto"/>
        <w:jc w:val="both"/>
        <w:rPr>
          <w:b/>
          <w:bCs/>
          <w:sz w:val="26"/>
        </w:rPr>
      </w:pPr>
    </w:p>
    <w:p w14:paraId="0EA446C9" w14:textId="6042A89A" w:rsidR="00AC0F33" w:rsidRPr="005F42DA" w:rsidRDefault="00FF45EB" w:rsidP="00DD79F6">
      <w:pPr>
        <w:adjustRightInd w:val="0"/>
        <w:snapToGrid w:val="0"/>
        <w:spacing w:before="180" w:line="360" w:lineRule="auto"/>
        <w:jc w:val="both"/>
        <w:rPr>
          <w:b/>
          <w:bCs/>
          <w:sz w:val="26"/>
        </w:rPr>
      </w:pPr>
      <w:r w:rsidRPr="00C358E9">
        <w:rPr>
          <w:b/>
          <w:bCs/>
          <w:sz w:val="26"/>
        </w:rPr>
        <w:t>4</w:t>
      </w:r>
      <w:r w:rsidR="001B1DF5" w:rsidRPr="00C358E9">
        <w:rPr>
          <w:b/>
          <w:bCs/>
          <w:sz w:val="26"/>
        </w:rPr>
        <w:t xml:space="preserve">   Analysis and discussion  </w:t>
      </w:r>
    </w:p>
    <w:p w14:paraId="15D581BA" w14:textId="052114D6" w:rsidR="008F19EA" w:rsidRPr="008E243A" w:rsidRDefault="00C312BD" w:rsidP="008E243A">
      <w:pPr>
        <w:adjustRightInd w:val="0"/>
        <w:snapToGrid w:val="0"/>
        <w:spacing w:before="180" w:line="480" w:lineRule="auto"/>
        <w:ind w:firstLine="397"/>
        <w:jc w:val="both"/>
        <w:rPr>
          <w:bCs/>
        </w:rPr>
      </w:pPr>
      <w:r>
        <w:rPr>
          <w:bCs/>
        </w:rPr>
        <w:t>F</w:t>
      </w:r>
      <w:r w:rsidR="00AC0F33" w:rsidRPr="0093281E">
        <w:rPr>
          <w:bCs/>
        </w:rPr>
        <w:t xml:space="preserve">orm observation, </w:t>
      </w:r>
      <w:r>
        <w:rPr>
          <w:bCs/>
        </w:rPr>
        <w:t xml:space="preserve">the </w:t>
      </w:r>
      <w:r w:rsidR="00AC0F33" w:rsidRPr="0093281E">
        <w:rPr>
          <w:bCs/>
        </w:rPr>
        <w:t xml:space="preserve">stock index performance </w:t>
      </w:r>
      <w:r>
        <w:rPr>
          <w:bCs/>
        </w:rPr>
        <w:t xml:space="preserve">of Hong Kong and Australia are similar </w:t>
      </w:r>
      <w:r w:rsidRPr="00C312BD">
        <w:rPr>
          <w:bCs/>
        </w:rPr>
        <w:t>a certain way</w:t>
      </w:r>
      <w:r w:rsidR="00AC0F33" w:rsidRPr="0093281E">
        <w:rPr>
          <w:bCs/>
        </w:rPr>
        <w:t>,</w:t>
      </w:r>
      <w:r w:rsidR="00A001DA">
        <w:rPr>
          <w:bCs/>
        </w:rPr>
        <w:t xml:space="preserve"> </w:t>
      </w:r>
      <w:r w:rsidR="00AC0F33" w:rsidRPr="0093281E">
        <w:rPr>
          <w:bCs/>
        </w:rPr>
        <w:t xml:space="preserve">however, </w:t>
      </w:r>
      <w:r w:rsidR="00AE180D">
        <w:rPr>
          <w:bCs/>
        </w:rPr>
        <w:t xml:space="preserve">a careful analysis of the </w:t>
      </w:r>
      <w:r w:rsidR="00AC0F33" w:rsidRPr="0093281E">
        <w:rPr>
          <w:bCs/>
        </w:rPr>
        <w:t xml:space="preserve">risk and return of </w:t>
      </w:r>
      <w:r w:rsidR="00AE180D">
        <w:rPr>
          <w:bCs/>
        </w:rPr>
        <w:t xml:space="preserve">investing in </w:t>
      </w:r>
      <w:r w:rsidR="00AC0F33" w:rsidRPr="0093281E">
        <w:rPr>
          <w:bCs/>
        </w:rPr>
        <w:t>the</w:t>
      </w:r>
      <w:r w:rsidR="00AE180D">
        <w:rPr>
          <w:bCs/>
        </w:rPr>
        <w:t>se</w:t>
      </w:r>
      <w:r w:rsidR="00AC0F33" w:rsidRPr="0093281E">
        <w:rPr>
          <w:bCs/>
        </w:rPr>
        <w:t xml:space="preserve"> </w:t>
      </w:r>
      <w:proofErr w:type="gramStart"/>
      <w:r w:rsidR="00AC0F33" w:rsidRPr="0093281E">
        <w:rPr>
          <w:bCs/>
        </w:rPr>
        <w:t xml:space="preserve">two </w:t>
      </w:r>
      <w:r w:rsidR="00AE180D">
        <w:rPr>
          <w:bCs/>
        </w:rPr>
        <w:t>stock</w:t>
      </w:r>
      <w:proofErr w:type="gramEnd"/>
      <w:r w:rsidR="00AE180D">
        <w:rPr>
          <w:bCs/>
        </w:rPr>
        <w:t xml:space="preserve"> market is important</w:t>
      </w:r>
      <w:r w:rsidR="00AC0F33" w:rsidRPr="0093281E">
        <w:rPr>
          <w:bCs/>
        </w:rPr>
        <w:t xml:space="preserve"> </w:t>
      </w:r>
      <w:r w:rsidR="00AE180D">
        <w:rPr>
          <w:bCs/>
        </w:rPr>
        <w:t>for the</w:t>
      </w:r>
      <w:r w:rsidR="00AC0F33" w:rsidRPr="0093281E">
        <w:rPr>
          <w:bCs/>
        </w:rPr>
        <w:t xml:space="preserve"> </w:t>
      </w:r>
      <w:r w:rsidR="00AE180D">
        <w:rPr>
          <w:bCs/>
        </w:rPr>
        <w:t xml:space="preserve">company’s </w:t>
      </w:r>
      <w:r w:rsidR="002E13EB" w:rsidRPr="0093281E">
        <w:rPr>
          <w:bCs/>
        </w:rPr>
        <w:t xml:space="preserve">judgement </w:t>
      </w:r>
      <w:r w:rsidR="00AC0F33" w:rsidRPr="0093281E">
        <w:rPr>
          <w:bCs/>
        </w:rPr>
        <w:t xml:space="preserve">on whether to invest to the Australian stock market. </w:t>
      </w:r>
      <w:r w:rsidR="00AE180D">
        <w:rPr>
          <w:bCs/>
        </w:rPr>
        <w:t xml:space="preserve">In this section, the discussion is focused on </w:t>
      </w:r>
      <w:r w:rsidR="00AC0F33" w:rsidRPr="0093281E">
        <w:rPr>
          <w:bCs/>
        </w:rPr>
        <w:t xml:space="preserve">Investment return, income return, </w:t>
      </w:r>
      <w:r w:rsidR="00947D42" w:rsidRPr="0093281E">
        <w:rPr>
          <w:bCs/>
        </w:rPr>
        <w:t>equity premium</w:t>
      </w:r>
      <w:r w:rsidR="00AE180D">
        <w:rPr>
          <w:bCs/>
        </w:rPr>
        <w:t>,</w:t>
      </w:r>
      <w:r w:rsidR="00947D42" w:rsidRPr="0093281E">
        <w:rPr>
          <w:bCs/>
        </w:rPr>
        <w:t xml:space="preserve"> and </w:t>
      </w:r>
      <w:r w:rsidR="00AC0F33" w:rsidRPr="0093281E">
        <w:rPr>
          <w:bCs/>
        </w:rPr>
        <w:t>investment risk</w:t>
      </w:r>
      <w:r w:rsidR="002E13EB" w:rsidRPr="0093281E">
        <w:rPr>
          <w:bCs/>
        </w:rPr>
        <w:t>.</w:t>
      </w:r>
    </w:p>
    <w:p w14:paraId="0A70209D" w14:textId="3ADE8B19" w:rsidR="00F34801" w:rsidRPr="00C358E9" w:rsidRDefault="00F34801" w:rsidP="00DD79F6">
      <w:pPr>
        <w:adjustRightInd w:val="0"/>
        <w:snapToGrid w:val="0"/>
        <w:spacing w:before="180" w:line="360" w:lineRule="auto"/>
        <w:jc w:val="both"/>
        <w:rPr>
          <w:b/>
          <w:bCs/>
        </w:rPr>
      </w:pPr>
      <w:r w:rsidRPr="00C358E9">
        <w:rPr>
          <w:b/>
          <w:bCs/>
        </w:rPr>
        <w:t>4.1</w:t>
      </w:r>
      <w:r w:rsidRPr="00C358E9">
        <w:rPr>
          <w:b/>
          <w:bCs/>
        </w:rPr>
        <w:tab/>
      </w:r>
      <w:r w:rsidR="00E846B0" w:rsidRPr="00C358E9">
        <w:rPr>
          <w:b/>
          <w:bCs/>
        </w:rPr>
        <w:t>Investment return</w:t>
      </w:r>
    </w:p>
    <w:p w14:paraId="3F967BF5" w14:textId="1B6927B1" w:rsidR="00392184" w:rsidRPr="0093281E" w:rsidRDefault="00392184" w:rsidP="00DD79F6">
      <w:pPr>
        <w:adjustRightInd w:val="0"/>
        <w:snapToGrid w:val="0"/>
        <w:spacing w:before="180" w:line="360" w:lineRule="auto"/>
        <w:jc w:val="both"/>
        <w:rPr>
          <w:bCs/>
          <w:sz w:val="20"/>
          <w:szCs w:val="20"/>
        </w:rPr>
      </w:pPr>
      <w:r w:rsidRPr="0093281E">
        <w:rPr>
          <w:bCs/>
          <w:sz w:val="20"/>
          <w:szCs w:val="20"/>
        </w:rPr>
        <w:t>Table</w:t>
      </w:r>
      <w:r w:rsidR="00CA4801">
        <w:rPr>
          <w:bCs/>
          <w:sz w:val="20"/>
          <w:szCs w:val="20"/>
        </w:rPr>
        <w:t xml:space="preserve"> </w:t>
      </w:r>
      <w:r w:rsidR="00A53A1B">
        <w:rPr>
          <w:bCs/>
          <w:sz w:val="20"/>
          <w:szCs w:val="20"/>
        </w:rPr>
        <w:t>3</w:t>
      </w:r>
      <w:r w:rsidR="001F2722" w:rsidRPr="0093281E">
        <w:rPr>
          <w:bCs/>
          <w:sz w:val="20"/>
          <w:szCs w:val="20"/>
        </w:rPr>
        <w:t xml:space="preserve"> </w:t>
      </w:r>
      <w:r w:rsidR="00DE2789">
        <w:rPr>
          <w:bCs/>
          <w:sz w:val="20"/>
          <w:szCs w:val="20"/>
        </w:rPr>
        <w:t xml:space="preserve">Return on </w:t>
      </w:r>
      <w:r w:rsidR="0006213B" w:rsidRPr="0093281E">
        <w:rPr>
          <w:bCs/>
          <w:sz w:val="20"/>
          <w:szCs w:val="20"/>
        </w:rPr>
        <w:t>of HSI and ASX 200 from December 1992 to December 20</w:t>
      </w:r>
      <w:r w:rsidR="0093281E">
        <w:rPr>
          <w:bCs/>
          <w:sz w:val="20"/>
          <w:szCs w:val="20"/>
        </w:rPr>
        <w:t>22</w:t>
      </w:r>
      <w:r w:rsidR="00DE2789">
        <w:rPr>
          <w:bCs/>
          <w:sz w:val="20"/>
          <w:szCs w:val="20"/>
        </w:rPr>
        <w:t xml:space="preserve"> with different calendar period</w:t>
      </w:r>
    </w:p>
    <w:tbl>
      <w:tblPr>
        <w:tblW w:w="9634" w:type="dxa"/>
        <w:tblCellMar>
          <w:left w:w="28" w:type="dxa"/>
          <w:right w:w="28" w:type="dxa"/>
        </w:tblCellMar>
        <w:tblLook w:val="04A0" w:firstRow="1" w:lastRow="0" w:firstColumn="1" w:lastColumn="0" w:noHBand="0" w:noVBand="1"/>
      </w:tblPr>
      <w:tblGrid>
        <w:gridCol w:w="1520"/>
        <w:gridCol w:w="1940"/>
        <w:gridCol w:w="1980"/>
        <w:gridCol w:w="1785"/>
        <w:gridCol w:w="1417"/>
        <w:gridCol w:w="992"/>
      </w:tblGrid>
      <w:tr w:rsidR="00E22277" w14:paraId="55BCA42D" w14:textId="77777777" w:rsidTr="004C1B52">
        <w:trPr>
          <w:trHeight w:val="640"/>
        </w:trPr>
        <w:tc>
          <w:tcPr>
            <w:tcW w:w="152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B8D9EDA" w14:textId="77777777" w:rsidR="00E22277" w:rsidRDefault="00E22277">
            <w:pPr>
              <w:spacing w:before="180"/>
              <w:rPr>
                <w:rFonts w:ascii="新細明體" w:eastAsia="新細明體" w:hAnsi="新細明體"/>
                <w:color w:val="000000"/>
              </w:rPr>
            </w:pPr>
            <w:r>
              <w:rPr>
                <w:rFonts w:ascii="新細明體" w:eastAsia="新細明體" w:hAnsi="新細明體" w:hint="eastAsia"/>
                <w:color w:val="000000"/>
              </w:rPr>
              <w:t xml:space="preserve">　</w:t>
            </w:r>
          </w:p>
        </w:tc>
        <w:tc>
          <w:tcPr>
            <w:tcW w:w="5705" w:type="dxa"/>
            <w:gridSpan w:val="3"/>
            <w:tcBorders>
              <w:top w:val="single" w:sz="4" w:space="0" w:color="auto"/>
              <w:left w:val="nil"/>
              <w:bottom w:val="single" w:sz="4" w:space="0" w:color="auto"/>
              <w:right w:val="single" w:sz="4" w:space="0" w:color="000000"/>
            </w:tcBorders>
            <w:shd w:val="clear" w:color="auto" w:fill="auto"/>
            <w:vAlign w:val="center"/>
            <w:hideMark/>
          </w:tcPr>
          <w:p w14:paraId="7313D6F3" w14:textId="77777777" w:rsidR="00E22277" w:rsidRDefault="00E22277">
            <w:pPr>
              <w:spacing w:before="180"/>
              <w:jc w:val="center"/>
              <w:rPr>
                <w:rFonts w:ascii="新細明體" w:eastAsia="新細明體" w:hAnsi="新細明體"/>
                <w:color w:val="000000"/>
              </w:rPr>
            </w:pPr>
            <w:r>
              <w:rPr>
                <w:rFonts w:ascii="新細明體" w:eastAsia="新細明體" w:hAnsi="新細明體" w:hint="eastAsia"/>
                <w:color w:val="000000"/>
              </w:rPr>
              <w:t xml:space="preserve"> Average return %</w:t>
            </w:r>
          </w:p>
        </w:tc>
        <w:tc>
          <w:tcPr>
            <w:tcW w:w="1417" w:type="dxa"/>
            <w:tcBorders>
              <w:top w:val="single" w:sz="4" w:space="0" w:color="auto"/>
              <w:left w:val="nil"/>
              <w:bottom w:val="single" w:sz="4" w:space="0" w:color="auto"/>
              <w:right w:val="single" w:sz="4" w:space="0" w:color="auto"/>
            </w:tcBorders>
            <w:shd w:val="clear" w:color="auto" w:fill="auto"/>
            <w:vAlign w:val="center"/>
            <w:hideMark/>
          </w:tcPr>
          <w:p w14:paraId="5B2A2C99" w14:textId="4A2486DB" w:rsidR="00E22277" w:rsidRDefault="00E22277">
            <w:pPr>
              <w:spacing w:before="180"/>
              <w:rPr>
                <w:rFonts w:ascii="新細明體" w:eastAsia="新細明體" w:hAnsi="新細明體"/>
                <w:color w:val="000000"/>
              </w:rPr>
            </w:pPr>
            <w:r>
              <w:rPr>
                <w:rFonts w:ascii="新細明體" w:eastAsia="新細明體" w:hAnsi="新細明體" w:hint="eastAsia"/>
                <w:color w:val="000000"/>
              </w:rPr>
              <w:t xml:space="preserve">Expected </w:t>
            </w:r>
            <w:r w:rsidR="00884906">
              <w:rPr>
                <w:rFonts w:ascii="新細明體" w:eastAsia="新細明體" w:hAnsi="新細明體"/>
                <w:color w:val="000000"/>
              </w:rPr>
              <w:t>return</w:t>
            </w:r>
            <w:r>
              <w:rPr>
                <w:rFonts w:ascii="新細明體" w:eastAsia="新細明體" w:hAnsi="新細明體" w:hint="eastAsia"/>
                <w:color w:val="000000"/>
              </w:rPr>
              <w:t xml:space="preserve"> %</w:t>
            </w:r>
          </w:p>
        </w:tc>
        <w:tc>
          <w:tcPr>
            <w:tcW w:w="992" w:type="dxa"/>
            <w:tcBorders>
              <w:top w:val="single" w:sz="4" w:space="0" w:color="auto"/>
              <w:left w:val="nil"/>
              <w:bottom w:val="single" w:sz="4" w:space="0" w:color="auto"/>
              <w:right w:val="single" w:sz="4" w:space="0" w:color="auto"/>
            </w:tcBorders>
            <w:shd w:val="clear" w:color="auto" w:fill="auto"/>
            <w:vAlign w:val="center"/>
            <w:hideMark/>
          </w:tcPr>
          <w:p w14:paraId="7BFDE164" w14:textId="77777777" w:rsidR="00E22277" w:rsidRDefault="00E22277">
            <w:pPr>
              <w:spacing w:before="180"/>
              <w:rPr>
                <w:rFonts w:ascii="新細明體" w:eastAsia="新細明體" w:hAnsi="新細明體"/>
                <w:color w:val="000000"/>
              </w:rPr>
            </w:pPr>
            <w:r>
              <w:rPr>
                <w:rFonts w:ascii="新細明體" w:eastAsia="新細明體" w:hAnsi="新細明體" w:hint="eastAsia"/>
                <w:color w:val="000000"/>
              </w:rPr>
              <w:t>Expected risk %</w:t>
            </w:r>
          </w:p>
        </w:tc>
      </w:tr>
      <w:tr w:rsidR="00E22277" w14:paraId="11625AF1" w14:textId="77777777" w:rsidTr="004C1B52">
        <w:trPr>
          <w:trHeight w:val="640"/>
        </w:trPr>
        <w:tc>
          <w:tcPr>
            <w:tcW w:w="1520" w:type="dxa"/>
            <w:tcBorders>
              <w:top w:val="nil"/>
              <w:left w:val="single" w:sz="4" w:space="0" w:color="auto"/>
              <w:bottom w:val="single" w:sz="4" w:space="0" w:color="auto"/>
              <w:right w:val="single" w:sz="4" w:space="0" w:color="auto"/>
            </w:tcBorders>
            <w:shd w:val="clear" w:color="auto" w:fill="auto"/>
            <w:vAlign w:val="center"/>
            <w:hideMark/>
          </w:tcPr>
          <w:p w14:paraId="40F32D16" w14:textId="77777777" w:rsidR="00E22277" w:rsidRDefault="00E22277">
            <w:pPr>
              <w:rPr>
                <w:rFonts w:ascii="新細明體" w:eastAsia="新細明體" w:hAnsi="新細明體"/>
                <w:color w:val="000000"/>
              </w:rPr>
            </w:pPr>
            <w:r>
              <w:rPr>
                <w:rFonts w:ascii="新細明體" w:eastAsia="新細明體" w:hAnsi="新細明體" w:hint="eastAsia"/>
                <w:color w:val="000000"/>
              </w:rPr>
              <w:t>Stock index name</w:t>
            </w:r>
          </w:p>
        </w:tc>
        <w:tc>
          <w:tcPr>
            <w:tcW w:w="1940" w:type="dxa"/>
            <w:tcBorders>
              <w:top w:val="nil"/>
              <w:left w:val="nil"/>
              <w:bottom w:val="single" w:sz="4" w:space="0" w:color="auto"/>
              <w:right w:val="single" w:sz="4" w:space="0" w:color="auto"/>
            </w:tcBorders>
            <w:shd w:val="clear" w:color="auto" w:fill="auto"/>
            <w:vAlign w:val="center"/>
            <w:hideMark/>
          </w:tcPr>
          <w:p w14:paraId="4C157D8F" w14:textId="77777777" w:rsidR="00E22277" w:rsidRDefault="00E22277">
            <w:pPr>
              <w:rPr>
                <w:rFonts w:ascii="新細明體" w:eastAsia="新細明體" w:hAnsi="新細明體"/>
                <w:color w:val="000000"/>
              </w:rPr>
            </w:pPr>
            <w:r>
              <w:rPr>
                <w:rFonts w:ascii="新細明體" w:eastAsia="新細明體" w:hAnsi="新細明體" w:hint="eastAsia"/>
                <w:color w:val="000000"/>
              </w:rPr>
              <w:t>Year 1992-2001</w:t>
            </w:r>
          </w:p>
        </w:tc>
        <w:tc>
          <w:tcPr>
            <w:tcW w:w="1980" w:type="dxa"/>
            <w:tcBorders>
              <w:top w:val="nil"/>
              <w:left w:val="nil"/>
              <w:bottom w:val="single" w:sz="4" w:space="0" w:color="auto"/>
              <w:right w:val="single" w:sz="4" w:space="0" w:color="auto"/>
            </w:tcBorders>
            <w:shd w:val="clear" w:color="auto" w:fill="auto"/>
            <w:vAlign w:val="center"/>
            <w:hideMark/>
          </w:tcPr>
          <w:p w14:paraId="6F7EA53F" w14:textId="77777777" w:rsidR="00E22277" w:rsidRDefault="00E22277">
            <w:pPr>
              <w:rPr>
                <w:rFonts w:ascii="新細明體" w:eastAsia="新細明體" w:hAnsi="新細明體"/>
                <w:color w:val="000000"/>
              </w:rPr>
            </w:pPr>
            <w:r>
              <w:rPr>
                <w:rFonts w:ascii="新細明體" w:eastAsia="新細明體" w:hAnsi="新細明體" w:hint="eastAsia"/>
                <w:color w:val="000000"/>
              </w:rPr>
              <w:t>Year 2002-2011</w:t>
            </w:r>
          </w:p>
        </w:tc>
        <w:tc>
          <w:tcPr>
            <w:tcW w:w="1785" w:type="dxa"/>
            <w:tcBorders>
              <w:top w:val="nil"/>
              <w:left w:val="nil"/>
              <w:bottom w:val="single" w:sz="4" w:space="0" w:color="auto"/>
              <w:right w:val="single" w:sz="4" w:space="0" w:color="auto"/>
            </w:tcBorders>
            <w:shd w:val="clear" w:color="auto" w:fill="auto"/>
            <w:vAlign w:val="center"/>
            <w:hideMark/>
          </w:tcPr>
          <w:p w14:paraId="68965AF8" w14:textId="77777777" w:rsidR="00E22277" w:rsidRDefault="00E22277">
            <w:pPr>
              <w:rPr>
                <w:rFonts w:ascii="新細明體" w:eastAsia="新細明體" w:hAnsi="新細明體"/>
                <w:color w:val="000000"/>
              </w:rPr>
            </w:pPr>
            <w:r>
              <w:rPr>
                <w:rFonts w:ascii="新細明體" w:eastAsia="新細明體" w:hAnsi="新細明體" w:hint="eastAsia"/>
                <w:color w:val="000000"/>
              </w:rPr>
              <w:t>Year 2012-2022</w:t>
            </w:r>
          </w:p>
        </w:tc>
        <w:tc>
          <w:tcPr>
            <w:tcW w:w="1417" w:type="dxa"/>
            <w:tcBorders>
              <w:top w:val="nil"/>
              <w:left w:val="nil"/>
              <w:bottom w:val="single" w:sz="4" w:space="0" w:color="auto"/>
              <w:right w:val="single" w:sz="4" w:space="0" w:color="auto"/>
            </w:tcBorders>
            <w:shd w:val="clear" w:color="auto" w:fill="auto"/>
            <w:noWrap/>
            <w:vAlign w:val="center"/>
            <w:hideMark/>
          </w:tcPr>
          <w:p w14:paraId="6B2CCA50" w14:textId="77777777" w:rsidR="00E22277" w:rsidRDefault="00E22277">
            <w:pPr>
              <w:rPr>
                <w:rFonts w:ascii="新細明體" w:eastAsia="新細明體" w:hAnsi="新細明體"/>
                <w:color w:val="000000"/>
              </w:rPr>
            </w:pPr>
            <w:r>
              <w:rPr>
                <w:rFonts w:ascii="新細明體" w:eastAsia="新細明體" w:hAnsi="新細明體" w:hint="eastAsia"/>
                <w:color w:val="000000"/>
              </w:rPr>
              <w:t xml:space="preserve">　</w:t>
            </w:r>
          </w:p>
        </w:tc>
        <w:tc>
          <w:tcPr>
            <w:tcW w:w="992" w:type="dxa"/>
            <w:tcBorders>
              <w:top w:val="nil"/>
              <w:left w:val="nil"/>
              <w:bottom w:val="single" w:sz="4" w:space="0" w:color="auto"/>
              <w:right w:val="single" w:sz="4" w:space="0" w:color="auto"/>
            </w:tcBorders>
            <w:shd w:val="clear" w:color="auto" w:fill="auto"/>
            <w:noWrap/>
            <w:vAlign w:val="center"/>
            <w:hideMark/>
          </w:tcPr>
          <w:p w14:paraId="305A4052" w14:textId="77777777" w:rsidR="00E22277" w:rsidRDefault="00E22277">
            <w:pPr>
              <w:rPr>
                <w:rFonts w:ascii="新細明體" w:eastAsia="新細明體" w:hAnsi="新細明體"/>
                <w:color w:val="000000"/>
              </w:rPr>
            </w:pPr>
            <w:r>
              <w:rPr>
                <w:rFonts w:ascii="新細明體" w:eastAsia="新細明體" w:hAnsi="新細明體" w:hint="eastAsia"/>
                <w:color w:val="000000"/>
              </w:rPr>
              <w:t xml:space="preserve">　</w:t>
            </w:r>
          </w:p>
        </w:tc>
      </w:tr>
      <w:tr w:rsidR="00E22277" w14:paraId="3A26AD89" w14:textId="77777777" w:rsidTr="004C1B52">
        <w:trPr>
          <w:trHeight w:val="300"/>
        </w:trPr>
        <w:tc>
          <w:tcPr>
            <w:tcW w:w="1520" w:type="dxa"/>
            <w:tcBorders>
              <w:top w:val="nil"/>
              <w:left w:val="single" w:sz="4" w:space="0" w:color="auto"/>
              <w:bottom w:val="single" w:sz="4" w:space="0" w:color="auto"/>
              <w:right w:val="single" w:sz="4" w:space="0" w:color="auto"/>
            </w:tcBorders>
            <w:shd w:val="clear" w:color="auto" w:fill="auto"/>
            <w:noWrap/>
            <w:vAlign w:val="center"/>
            <w:hideMark/>
          </w:tcPr>
          <w:p w14:paraId="0547782A" w14:textId="77777777" w:rsidR="00E22277" w:rsidRDefault="00E22277">
            <w:pPr>
              <w:rPr>
                <w:rFonts w:ascii="新細明體" w:eastAsia="新細明體" w:hAnsi="新細明體"/>
                <w:color w:val="000000"/>
              </w:rPr>
            </w:pPr>
            <w:r>
              <w:rPr>
                <w:rFonts w:ascii="新細明體" w:eastAsia="新細明體" w:hAnsi="新細明體" w:hint="eastAsia"/>
                <w:color w:val="000000"/>
              </w:rPr>
              <w:t>ASX200</w:t>
            </w:r>
          </w:p>
        </w:tc>
        <w:tc>
          <w:tcPr>
            <w:tcW w:w="1940" w:type="dxa"/>
            <w:tcBorders>
              <w:top w:val="nil"/>
              <w:left w:val="nil"/>
              <w:bottom w:val="single" w:sz="4" w:space="0" w:color="auto"/>
              <w:right w:val="single" w:sz="4" w:space="0" w:color="auto"/>
            </w:tcBorders>
            <w:shd w:val="clear" w:color="auto" w:fill="auto"/>
            <w:noWrap/>
            <w:vAlign w:val="center"/>
            <w:hideMark/>
          </w:tcPr>
          <w:p w14:paraId="21D9A7F8" w14:textId="4A19F166" w:rsidR="00E22277" w:rsidRDefault="00E22277">
            <w:pPr>
              <w:rPr>
                <w:rFonts w:ascii="新細明體" w:eastAsia="新細明體" w:hAnsi="新細明體"/>
                <w:color w:val="000000"/>
              </w:rPr>
            </w:pPr>
            <w:r>
              <w:rPr>
                <w:rFonts w:ascii="新細明體" w:eastAsia="新細明體" w:hAnsi="新細明體" w:hint="eastAsia"/>
                <w:color w:val="000000"/>
              </w:rPr>
              <w:t>23.62</w:t>
            </w:r>
          </w:p>
        </w:tc>
        <w:tc>
          <w:tcPr>
            <w:tcW w:w="1980" w:type="dxa"/>
            <w:tcBorders>
              <w:top w:val="nil"/>
              <w:left w:val="nil"/>
              <w:bottom w:val="single" w:sz="4" w:space="0" w:color="auto"/>
              <w:right w:val="single" w:sz="4" w:space="0" w:color="auto"/>
            </w:tcBorders>
            <w:shd w:val="clear" w:color="auto" w:fill="auto"/>
            <w:noWrap/>
            <w:vAlign w:val="center"/>
            <w:hideMark/>
          </w:tcPr>
          <w:p w14:paraId="360D9E3A" w14:textId="05046425" w:rsidR="00E22277" w:rsidRDefault="00E22277">
            <w:pPr>
              <w:rPr>
                <w:rFonts w:ascii="新細明體" w:eastAsia="新細明體" w:hAnsi="新細明體"/>
                <w:color w:val="000000"/>
              </w:rPr>
            </w:pPr>
            <w:r>
              <w:rPr>
                <w:rFonts w:ascii="新細明體" w:eastAsia="新細明體" w:hAnsi="新細明體" w:hint="eastAsia"/>
                <w:color w:val="000000"/>
              </w:rPr>
              <w:t>14.22</w:t>
            </w:r>
          </w:p>
        </w:tc>
        <w:tc>
          <w:tcPr>
            <w:tcW w:w="1785" w:type="dxa"/>
            <w:tcBorders>
              <w:top w:val="nil"/>
              <w:left w:val="nil"/>
              <w:bottom w:val="single" w:sz="4" w:space="0" w:color="auto"/>
              <w:right w:val="single" w:sz="4" w:space="0" w:color="auto"/>
            </w:tcBorders>
            <w:shd w:val="clear" w:color="auto" w:fill="auto"/>
            <w:noWrap/>
            <w:vAlign w:val="center"/>
            <w:hideMark/>
          </w:tcPr>
          <w:p w14:paraId="437BD556" w14:textId="38D7C2C3" w:rsidR="00E22277" w:rsidRDefault="00E22277">
            <w:pPr>
              <w:rPr>
                <w:rFonts w:ascii="新細明體" w:eastAsia="新細明體" w:hAnsi="新細明體"/>
                <w:color w:val="000000"/>
              </w:rPr>
            </w:pPr>
            <w:r>
              <w:rPr>
                <w:rFonts w:ascii="新細明體" w:eastAsia="新細明體" w:hAnsi="新細明體" w:hint="eastAsia"/>
                <w:color w:val="000000"/>
              </w:rPr>
              <w:t>21.47</w:t>
            </w:r>
          </w:p>
        </w:tc>
        <w:tc>
          <w:tcPr>
            <w:tcW w:w="1417" w:type="dxa"/>
            <w:tcBorders>
              <w:top w:val="nil"/>
              <w:left w:val="nil"/>
              <w:bottom w:val="single" w:sz="4" w:space="0" w:color="auto"/>
              <w:right w:val="single" w:sz="4" w:space="0" w:color="auto"/>
            </w:tcBorders>
            <w:shd w:val="clear" w:color="auto" w:fill="auto"/>
            <w:noWrap/>
            <w:vAlign w:val="center"/>
            <w:hideMark/>
          </w:tcPr>
          <w:p w14:paraId="00B41BEA" w14:textId="4E916479" w:rsidR="00E22277" w:rsidRDefault="00E22277">
            <w:pPr>
              <w:rPr>
                <w:rFonts w:ascii="新細明體" w:eastAsia="新細明體" w:hAnsi="新細明體"/>
                <w:color w:val="000000"/>
              </w:rPr>
            </w:pPr>
            <w:r>
              <w:rPr>
                <w:rFonts w:ascii="新細明體" w:eastAsia="新細明體" w:hAnsi="新細明體" w:hint="eastAsia"/>
                <w:color w:val="000000"/>
              </w:rPr>
              <w:t>19.77</w:t>
            </w:r>
          </w:p>
        </w:tc>
        <w:tc>
          <w:tcPr>
            <w:tcW w:w="992" w:type="dxa"/>
            <w:tcBorders>
              <w:top w:val="nil"/>
              <w:left w:val="nil"/>
              <w:bottom w:val="single" w:sz="4" w:space="0" w:color="auto"/>
              <w:right w:val="single" w:sz="4" w:space="0" w:color="auto"/>
            </w:tcBorders>
            <w:shd w:val="clear" w:color="auto" w:fill="auto"/>
            <w:noWrap/>
            <w:vAlign w:val="center"/>
            <w:hideMark/>
          </w:tcPr>
          <w:p w14:paraId="189F810E" w14:textId="2B3D934F" w:rsidR="00E22277" w:rsidRDefault="00E22277">
            <w:pPr>
              <w:rPr>
                <w:rFonts w:ascii="新細明體" w:eastAsia="新細明體" w:hAnsi="新細明體"/>
                <w:color w:val="000000"/>
              </w:rPr>
            </w:pPr>
            <w:r>
              <w:rPr>
                <w:rFonts w:ascii="新細明體" w:eastAsia="新細明體" w:hAnsi="新細明體" w:hint="eastAsia"/>
                <w:color w:val="000000"/>
              </w:rPr>
              <w:t>4.92</w:t>
            </w:r>
          </w:p>
        </w:tc>
      </w:tr>
      <w:tr w:rsidR="00E22277" w14:paraId="4AA40EC5" w14:textId="77777777" w:rsidTr="004C1B52">
        <w:trPr>
          <w:trHeight w:val="300"/>
        </w:trPr>
        <w:tc>
          <w:tcPr>
            <w:tcW w:w="1520" w:type="dxa"/>
            <w:tcBorders>
              <w:top w:val="nil"/>
              <w:left w:val="single" w:sz="4" w:space="0" w:color="auto"/>
              <w:bottom w:val="single" w:sz="4" w:space="0" w:color="auto"/>
              <w:right w:val="single" w:sz="4" w:space="0" w:color="auto"/>
            </w:tcBorders>
            <w:shd w:val="clear" w:color="auto" w:fill="auto"/>
            <w:noWrap/>
            <w:vAlign w:val="center"/>
            <w:hideMark/>
          </w:tcPr>
          <w:p w14:paraId="78DC2FA1" w14:textId="77777777" w:rsidR="00E22277" w:rsidRDefault="00E22277">
            <w:pPr>
              <w:rPr>
                <w:rFonts w:ascii="新細明體" w:eastAsia="新細明體" w:hAnsi="新細明體"/>
                <w:color w:val="000000"/>
              </w:rPr>
            </w:pPr>
            <w:r>
              <w:rPr>
                <w:rFonts w:ascii="新細明體" w:eastAsia="新細明體" w:hAnsi="新細明體" w:hint="eastAsia"/>
                <w:color w:val="000000"/>
              </w:rPr>
              <w:t>HSI</w:t>
            </w:r>
          </w:p>
        </w:tc>
        <w:tc>
          <w:tcPr>
            <w:tcW w:w="1940" w:type="dxa"/>
            <w:tcBorders>
              <w:top w:val="nil"/>
              <w:left w:val="nil"/>
              <w:bottom w:val="single" w:sz="4" w:space="0" w:color="auto"/>
              <w:right w:val="single" w:sz="4" w:space="0" w:color="auto"/>
            </w:tcBorders>
            <w:shd w:val="clear" w:color="auto" w:fill="auto"/>
            <w:noWrap/>
            <w:vAlign w:val="center"/>
            <w:hideMark/>
          </w:tcPr>
          <w:p w14:paraId="321C2754" w14:textId="7EE3D236" w:rsidR="00E22277" w:rsidRDefault="00E22277">
            <w:pPr>
              <w:rPr>
                <w:rFonts w:ascii="新細明體" w:eastAsia="新細明體" w:hAnsi="新細明體"/>
                <w:color w:val="000000"/>
              </w:rPr>
            </w:pPr>
            <w:r>
              <w:rPr>
                <w:rFonts w:ascii="新細明體" w:eastAsia="新細明體" w:hAnsi="新細明體" w:hint="eastAsia"/>
                <w:color w:val="000000"/>
              </w:rPr>
              <w:t>22.3</w:t>
            </w:r>
            <w:r w:rsidR="00EE350A">
              <w:rPr>
                <w:rFonts w:ascii="新細明體" w:eastAsia="新細明體" w:hAnsi="新細明體"/>
                <w:color w:val="000000"/>
              </w:rPr>
              <w:t>3</w:t>
            </w:r>
          </w:p>
        </w:tc>
        <w:tc>
          <w:tcPr>
            <w:tcW w:w="1980" w:type="dxa"/>
            <w:tcBorders>
              <w:top w:val="nil"/>
              <w:left w:val="nil"/>
              <w:bottom w:val="single" w:sz="4" w:space="0" w:color="auto"/>
              <w:right w:val="single" w:sz="4" w:space="0" w:color="auto"/>
            </w:tcBorders>
            <w:shd w:val="clear" w:color="auto" w:fill="auto"/>
            <w:noWrap/>
            <w:vAlign w:val="center"/>
            <w:hideMark/>
          </w:tcPr>
          <w:p w14:paraId="7D1D9475" w14:textId="496B6A3F" w:rsidR="00E22277" w:rsidRDefault="00E22277">
            <w:pPr>
              <w:rPr>
                <w:rFonts w:ascii="新細明體" w:eastAsia="新細明體" w:hAnsi="新細明體"/>
                <w:color w:val="000000"/>
              </w:rPr>
            </w:pPr>
            <w:r>
              <w:rPr>
                <w:rFonts w:ascii="新細明體" w:eastAsia="新細明體" w:hAnsi="新細明體" w:hint="eastAsia"/>
                <w:color w:val="000000"/>
              </w:rPr>
              <w:t>19.4</w:t>
            </w:r>
            <w:r w:rsidR="00EE350A">
              <w:rPr>
                <w:rFonts w:ascii="新細明體" w:eastAsia="新細明體" w:hAnsi="新細明體"/>
                <w:color w:val="000000"/>
              </w:rPr>
              <w:t>1</w:t>
            </w:r>
          </w:p>
        </w:tc>
        <w:tc>
          <w:tcPr>
            <w:tcW w:w="1785" w:type="dxa"/>
            <w:tcBorders>
              <w:top w:val="nil"/>
              <w:left w:val="nil"/>
              <w:bottom w:val="single" w:sz="4" w:space="0" w:color="auto"/>
              <w:right w:val="single" w:sz="4" w:space="0" w:color="auto"/>
            </w:tcBorders>
            <w:shd w:val="clear" w:color="auto" w:fill="auto"/>
            <w:noWrap/>
            <w:vAlign w:val="center"/>
            <w:hideMark/>
          </w:tcPr>
          <w:p w14:paraId="72D54FA0" w14:textId="48FDE044" w:rsidR="00E22277" w:rsidRDefault="00E22277">
            <w:pPr>
              <w:rPr>
                <w:rFonts w:ascii="新細明體" w:eastAsia="新細明體" w:hAnsi="新細明體"/>
                <w:color w:val="000000"/>
              </w:rPr>
            </w:pPr>
            <w:r>
              <w:rPr>
                <w:rFonts w:ascii="新細明體" w:eastAsia="新細明體" w:hAnsi="新細明體" w:hint="eastAsia"/>
                <w:color w:val="000000"/>
              </w:rPr>
              <w:t>12.7</w:t>
            </w:r>
            <w:r w:rsidR="00EE350A">
              <w:rPr>
                <w:rFonts w:ascii="新細明體" w:eastAsia="新細明體" w:hAnsi="新細明體"/>
                <w:color w:val="000000"/>
              </w:rPr>
              <w:t>6</w:t>
            </w:r>
          </w:p>
        </w:tc>
        <w:tc>
          <w:tcPr>
            <w:tcW w:w="1417" w:type="dxa"/>
            <w:tcBorders>
              <w:top w:val="nil"/>
              <w:left w:val="nil"/>
              <w:bottom w:val="single" w:sz="4" w:space="0" w:color="auto"/>
              <w:right w:val="single" w:sz="4" w:space="0" w:color="auto"/>
            </w:tcBorders>
            <w:shd w:val="clear" w:color="auto" w:fill="auto"/>
            <w:noWrap/>
            <w:vAlign w:val="center"/>
            <w:hideMark/>
          </w:tcPr>
          <w:p w14:paraId="7C5CA887" w14:textId="4CE6124A" w:rsidR="00E22277" w:rsidRDefault="00E22277">
            <w:pPr>
              <w:rPr>
                <w:rFonts w:ascii="新細明體" w:eastAsia="新細明體" w:hAnsi="新細明體"/>
                <w:color w:val="000000"/>
              </w:rPr>
            </w:pPr>
            <w:r>
              <w:rPr>
                <w:rFonts w:ascii="新細明體" w:eastAsia="新細明體" w:hAnsi="新細明體" w:hint="eastAsia"/>
                <w:color w:val="000000"/>
              </w:rPr>
              <w:t>18.1</w:t>
            </w:r>
            <w:r w:rsidR="00EE350A">
              <w:rPr>
                <w:rFonts w:ascii="新細明體" w:eastAsia="新細明體" w:hAnsi="新細明體"/>
                <w:color w:val="000000"/>
              </w:rPr>
              <w:t>7</w:t>
            </w:r>
          </w:p>
        </w:tc>
        <w:tc>
          <w:tcPr>
            <w:tcW w:w="992" w:type="dxa"/>
            <w:tcBorders>
              <w:top w:val="nil"/>
              <w:left w:val="nil"/>
              <w:bottom w:val="single" w:sz="4" w:space="0" w:color="auto"/>
              <w:right w:val="single" w:sz="4" w:space="0" w:color="auto"/>
            </w:tcBorders>
            <w:shd w:val="clear" w:color="auto" w:fill="auto"/>
            <w:noWrap/>
            <w:vAlign w:val="center"/>
            <w:hideMark/>
          </w:tcPr>
          <w:p w14:paraId="09BA498B" w14:textId="5539FED9" w:rsidR="00E22277" w:rsidRDefault="00E22277">
            <w:pPr>
              <w:rPr>
                <w:rFonts w:ascii="新細明體" w:eastAsia="新細明體" w:hAnsi="新細明體"/>
                <w:color w:val="000000"/>
              </w:rPr>
            </w:pPr>
            <w:r>
              <w:rPr>
                <w:rFonts w:ascii="新細明體" w:eastAsia="新細明體" w:hAnsi="新細明體" w:hint="eastAsia"/>
                <w:color w:val="000000"/>
              </w:rPr>
              <w:t>4.9</w:t>
            </w:r>
            <w:r w:rsidR="00CE2EDB">
              <w:rPr>
                <w:rFonts w:ascii="新細明體" w:eastAsia="新細明體" w:hAnsi="新細明體"/>
                <w:color w:val="000000"/>
              </w:rPr>
              <w:t>1</w:t>
            </w:r>
          </w:p>
        </w:tc>
      </w:tr>
    </w:tbl>
    <w:p w14:paraId="00A7C253" w14:textId="7A0B4B26" w:rsidR="00C068C8" w:rsidRDefault="00A16836" w:rsidP="00DD79F6">
      <w:pPr>
        <w:adjustRightInd w:val="0"/>
        <w:snapToGrid w:val="0"/>
        <w:spacing w:before="180" w:line="360" w:lineRule="auto"/>
        <w:jc w:val="both"/>
        <w:rPr>
          <w:rFonts w:eastAsiaTheme="minorEastAsia"/>
          <w:bCs/>
          <w:sz w:val="26"/>
        </w:rPr>
      </w:pPr>
      <w:r>
        <w:rPr>
          <w:rFonts w:eastAsiaTheme="minorEastAsia" w:hint="eastAsia"/>
          <w:bCs/>
          <w:sz w:val="26"/>
        </w:rPr>
        <w:t>S</w:t>
      </w:r>
      <w:r>
        <w:rPr>
          <w:rFonts w:eastAsiaTheme="minorEastAsia"/>
          <w:bCs/>
          <w:sz w:val="26"/>
        </w:rPr>
        <w:t xml:space="preserve">ource: </w:t>
      </w:r>
      <w:proofErr w:type="spellStart"/>
      <w:proofErr w:type="gramStart"/>
      <w:r>
        <w:rPr>
          <w:rFonts w:eastAsiaTheme="minorEastAsia"/>
          <w:bCs/>
          <w:sz w:val="26"/>
        </w:rPr>
        <w:t>yahoo.finance</w:t>
      </w:r>
      <w:proofErr w:type="spellEnd"/>
      <w:proofErr w:type="gramEnd"/>
    </w:p>
    <w:p w14:paraId="3B04F126" w14:textId="10751114" w:rsidR="001B1CA9" w:rsidRPr="00381AEC" w:rsidRDefault="00884906" w:rsidP="00381AEC">
      <w:pPr>
        <w:adjustRightInd w:val="0"/>
        <w:snapToGrid w:val="0"/>
        <w:spacing w:before="180" w:line="480" w:lineRule="auto"/>
        <w:ind w:firstLine="397"/>
        <w:jc w:val="both"/>
        <w:rPr>
          <w:rFonts w:eastAsiaTheme="minorEastAsia"/>
          <w:bCs/>
        </w:rPr>
      </w:pPr>
      <w:r w:rsidRPr="00381AEC">
        <w:rPr>
          <w:rFonts w:eastAsiaTheme="minorEastAsia"/>
          <w:bCs/>
        </w:rPr>
        <w:t xml:space="preserve">Table 3 showed the </w:t>
      </w:r>
      <w:r w:rsidR="006D735E" w:rsidRPr="00381AEC">
        <w:rPr>
          <w:rFonts w:eastAsiaTheme="minorEastAsia"/>
          <w:bCs/>
        </w:rPr>
        <w:t xml:space="preserve">return of ASX200 and HSI in the past 30 years. </w:t>
      </w:r>
      <w:r w:rsidR="001B1CA9" w:rsidRPr="00381AEC">
        <w:rPr>
          <w:rFonts w:eastAsiaTheme="minorEastAsia"/>
          <w:bCs/>
        </w:rPr>
        <w:t>However, as per figure 1, there were numbers of fluctuations affecting the performance of the indices, therefore the 30-year period was divided into 3 decades for further comparison.</w:t>
      </w:r>
      <w:r w:rsidR="0030470A" w:rsidRPr="00381AEC">
        <w:rPr>
          <w:rFonts w:eastAsiaTheme="minorEastAsia"/>
          <w:bCs/>
        </w:rPr>
        <w:t xml:space="preserve"> </w:t>
      </w:r>
    </w:p>
    <w:p w14:paraId="73B739D1" w14:textId="213209F3" w:rsidR="00497B31" w:rsidRPr="00381AEC" w:rsidRDefault="001B1CA9" w:rsidP="00381AEC">
      <w:pPr>
        <w:adjustRightInd w:val="0"/>
        <w:snapToGrid w:val="0"/>
        <w:spacing w:before="180" w:line="480" w:lineRule="auto"/>
        <w:ind w:firstLine="397"/>
        <w:jc w:val="both"/>
        <w:rPr>
          <w:rFonts w:eastAsiaTheme="minorEastAsia"/>
          <w:bCs/>
          <w:lang w:val="x-none"/>
        </w:rPr>
      </w:pPr>
      <w:r w:rsidRPr="00381AEC">
        <w:rPr>
          <w:rFonts w:eastAsiaTheme="minorEastAsia"/>
          <w:bCs/>
        </w:rPr>
        <w:lastRenderedPageBreak/>
        <w:t xml:space="preserve">From the computed </w:t>
      </w:r>
      <w:r w:rsidR="00EE350A" w:rsidRPr="00381AEC">
        <w:rPr>
          <w:rFonts w:eastAsiaTheme="minorEastAsia"/>
          <w:bCs/>
        </w:rPr>
        <w:t xml:space="preserve">results </w:t>
      </w:r>
      <w:r w:rsidRPr="00381AEC">
        <w:rPr>
          <w:rFonts w:eastAsiaTheme="minorEastAsia"/>
          <w:bCs/>
        </w:rPr>
        <w:t xml:space="preserve">ASX200, the </w:t>
      </w:r>
      <w:r w:rsidR="00EE350A" w:rsidRPr="00381AEC">
        <w:rPr>
          <w:rFonts w:eastAsiaTheme="minorEastAsia"/>
          <w:bCs/>
        </w:rPr>
        <w:t>average annual return for year 1992-2001in % was 23.62</w:t>
      </w:r>
      <w:r w:rsidR="00D334AA" w:rsidRPr="00381AEC">
        <w:rPr>
          <w:rFonts w:eastAsiaTheme="minorEastAsia"/>
          <w:bCs/>
        </w:rPr>
        <w:t xml:space="preserve">%, while there was a drop in the </w:t>
      </w:r>
      <w:r w:rsidR="00A5768A" w:rsidRPr="00381AEC">
        <w:rPr>
          <w:rFonts w:eastAsiaTheme="minorEastAsia"/>
          <w:bCs/>
        </w:rPr>
        <w:t>year 2002-11</w:t>
      </w:r>
      <w:r w:rsidR="00D334AA" w:rsidRPr="00381AEC">
        <w:rPr>
          <w:rFonts w:eastAsiaTheme="minorEastAsia"/>
          <w:bCs/>
        </w:rPr>
        <w:t xml:space="preserve"> to 14.22%. And ASX200 had got a significant rebound in the </w:t>
      </w:r>
      <w:r w:rsidR="00A5768A" w:rsidRPr="00381AEC">
        <w:rPr>
          <w:rFonts w:eastAsiaTheme="minorEastAsia"/>
          <w:bCs/>
        </w:rPr>
        <w:t>year 2012-22</w:t>
      </w:r>
      <w:r w:rsidR="00D334AA" w:rsidRPr="00381AEC">
        <w:rPr>
          <w:rFonts w:eastAsiaTheme="minorEastAsia"/>
          <w:bCs/>
        </w:rPr>
        <w:t xml:space="preserve"> to the magnitude almost equal to the level of the first decade at 21.47%. For HSI, </w:t>
      </w:r>
      <w:r w:rsidR="007D34F9" w:rsidRPr="00381AEC">
        <w:rPr>
          <w:rFonts w:eastAsiaTheme="minorEastAsia"/>
          <w:bCs/>
        </w:rPr>
        <w:t>the average annual return was more or less the same as that of ASX200</w:t>
      </w:r>
      <w:r w:rsidR="00CF6B6A" w:rsidRPr="00381AEC">
        <w:rPr>
          <w:rFonts w:eastAsiaTheme="minorEastAsia"/>
          <w:bCs/>
        </w:rPr>
        <w:t xml:space="preserve"> in year 1992-2001,</w:t>
      </w:r>
      <w:r w:rsidR="00D334AA" w:rsidRPr="00381AEC">
        <w:rPr>
          <w:rFonts w:eastAsiaTheme="minorEastAsia"/>
          <w:bCs/>
        </w:rPr>
        <w:t xml:space="preserve"> </w:t>
      </w:r>
      <w:r w:rsidR="0079187F" w:rsidRPr="00381AEC">
        <w:rPr>
          <w:rFonts w:eastAsiaTheme="minorEastAsia"/>
          <w:bCs/>
        </w:rPr>
        <w:t xml:space="preserve">and had just a slightly decrease to 19.41% in the </w:t>
      </w:r>
      <w:r w:rsidR="00CF6B6A" w:rsidRPr="00381AEC">
        <w:rPr>
          <w:rFonts w:eastAsiaTheme="minorEastAsia"/>
          <w:bCs/>
        </w:rPr>
        <w:t>year 2002-11</w:t>
      </w:r>
      <w:r w:rsidR="0079187F" w:rsidRPr="00381AEC">
        <w:rPr>
          <w:rFonts w:eastAsiaTheme="minorEastAsia"/>
          <w:bCs/>
        </w:rPr>
        <w:t xml:space="preserve">, but the trend </w:t>
      </w:r>
      <w:r w:rsidR="00CF6B6A" w:rsidRPr="00381AEC">
        <w:rPr>
          <w:rFonts w:eastAsiaTheme="minorEastAsia"/>
          <w:bCs/>
        </w:rPr>
        <w:t>continues</w:t>
      </w:r>
      <w:r w:rsidR="0079187F" w:rsidRPr="00381AEC">
        <w:rPr>
          <w:rFonts w:eastAsiaTheme="minorEastAsia"/>
          <w:bCs/>
        </w:rPr>
        <w:t xml:space="preserve"> and in the </w:t>
      </w:r>
      <w:r w:rsidR="00CF6B6A" w:rsidRPr="00381AEC">
        <w:rPr>
          <w:rFonts w:eastAsiaTheme="minorEastAsia"/>
          <w:bCs/>
        </w:rPr>
        <w:t xml:space="preserve">year 2012-22 and the average annual return decreased to 12.76%. Overall, the average annual return in the past 30 years of ASX200 </w:t>
      </w:r>
      <w:r w:rsidR="005F7B15" w:rsidRPr="00381AEC">
        <w:rPr>
          <w:rFonts w:eastAsiaTheme="minorEastAsia"/>
          <w:bCs/>
        </w:rPr>
        <w:t xml:space="preserve">has performed better </w:t>
      </w:r>
      <w:r w:rsidR="00CF6B6A" w:rsidRPr="00381AEC">
        <w:rPr>
          <w:rFonts w:eastAsiaTheme="minorEastAsia"/>
          <w:bCs/>
        </w:rPr>
        <w:t xml:space="preserve">HSI </w:t>
      </w:r>
      <w:r w:rsidR="005F7B15" w:rsidRPr="00381AEC">
        <w:rPr>
          <w:rFonts w:eastAsiaTheme="minorEastAsia"/>
          <w:bCs/>
        </w:rPr>
        <w:t xml:space="preserve">with </w:t>
      </w:r>
      <w:r w:rsidR="00CF6B6A" w:rsidRPr="00381AEC">
        <w:rPr>
          <w:rFonts w:eastAsiaTheme="minorEastAsia"/>
          <w:bCs/>
        </w:rPr>
        <w:t>19.77% and 18.17% respectively.</w:t>
      </w:r>
      <w:r w:rsidR="005F7B15" w:rsidRPr="00381AEC">
        <w:rPr>
          <w:rFonts w:eastAsiaTheme="minorEastAsia"/>
          <w:bCs/>
        </w:rPr>
        <w:t xml:space="preserve"> </w:t>
      </w:r>
      <w:r w:rsidR="00171093" w:rsidRPr="00381AEC">
        <w:rPr>
          <w:rFonts w:eastAsiaTheme="minorEastAsia"/>
          <w:bCs/>
        </w:rPr>
        <w:t>The investment risk in of ASX200 and HSI were 4.92% and 4.91% respectively.</w:t>
      </w:r>
      <w:r w:rsidR="00522DCB" w:rsidRPr="00381AEC">
        <w:rPr>
          <w:rFonts w:eastAsiaTheme="minorEastAsia"/>
          <w:bCs/>
        </w:rPr>
        <w:t xml:space="preserve"> </w:t>
      </w:r>
    </w:p>
    <w:p w14:paraId="0A9FD4BF" w14:textId="24191813" w:rsidR="00F34801" w:rsidRPr="00C358E9" w:rsidRDefault="00F34801" w:rsidP="00DD79F6">
      <w:pPr>
        <w:adjustRightInd w:val="0"/>
        <w:snapToGrid w:val="0"/>
        <w:spacing w:before="180" w:line="360" w:lineRule="auto"/>
        <w:jc w:val="both"/>
        <w:rPr>
          <w:bCs/>
        </w:rPr>
      </w:pPr>
      <w:r w:rsidRPr="00C358E9">
        <w:rPr>
          <w:bCs/>
        </w:rPr>
        <w:t>4.1.1</w:t>
      </w:r>
      <w:r w:rsidRPr="00C358E9">
        <w:rPr>
          <w:bCs/>
        </w:rPr>
        <w:tab/>
      </w:r>
      <w:r w:rsidR="00E846B0" w:rsidRPr="00C358E9">
        <w:rPr>
          <w:bCs/>
        </w:rPr>
        <w:t>Capital return</w:t>
      </w:r>
    </w:p>
    <w:p w14:paraId="343233F1" w14:textId="67297827" w:rsidR="00E0195C" w:rsidRDefault="000700D6" w:rsidP="00947D42">
      <w:pPr>
        <w:adjustRightInd w:val="0"/>
        <w:snapToGrid w:val="0"/>
        <w:spacing w:before="180" w:line="480" w:lineRule="auto"/>
        <w:ind w:firstLine="397"/>
        <w:jc w:val="both"/>
        <w:rPr>
          <w:bCs/>
        </w:rPr>
      </w:pPr>
      <w:r>
        <w:rPr>
          <w:rFonts w:hint="eastAsia"/>
          <w:bCs/>
        </w:rPr>
        <w:t>B</w:t>
      </w:r>
      <w:r>
        <w:rPr>
          <w:bCs/>
        </w:rPr>
        <w:t>oth of the ASX200</w:t>
      </w:r>
      <w:r w:rsidR="00405158">
        <w:rPr>
          <w:bCs/>
        </w:rPr>
        <w:t xml:space="preserve"> </w:t>
      </w:r>
      <w:r w:rsidR="00405158">
        <w:rPr>
          <w:rFonts w:ascii="新細明體" w:eastAsia="新細明體" w:hAnsi="新細明體" w:cs="新細明體"/>
          <w:bCs/>
        </w:rPr>
        <w:t>(</w:t>
      </w:r>
      <w:r w:rsidR="00CA66DA">
        <w:rPr>
          <w:color w:val="222222"/>
          <w:shd w:val="clear" w:color="auto" w:fill="FFFFFF"/>
        </w:rPr>
        <w:t>S&amp;P Global, 2023)</w:t>
      </w:r>
      <w:r>
        <w:rPr>
          <w:bCs/>
          <w:lang w:val="x-none"/>
        </w:rPr>
        <w:t xml:space="preserve"> </w:t>
      </w:r>
      <w:r>
        <w:rPr>
          <w:bCs/>
        </w:rPr>
        <w:t xml:space="preserve">and HSI </w:t>
      </w:r>
      <w:r w:rsidR="00405158">
        <w:rPr>
          <w:bCs/>
        </w:rPr>
        <w:t>(</w:t>
      </w:r>
      <w:r w:rsidR="00507D1A">
        <w:rPr>
          <w:rFonts w:hint="eastAsia"/>
        </w:rPr>
        <w:t>H</w:t>
      </w:r>
      <w:r w:rsidR="00507D1A">
        <w:t xml:space="preserve">ang Seng </w:t>
      </w:r>
      <w:proofErr w:type="spellStart"/>
      <w:r w:rsidR="00507D1A">
        <w:t>Indexes</w:t>
      </w:r>
      <w:proofErr w:type="spellEnd"/>
      <w:r w:rsidR="00507D1A">
        <w:t xml:space="preserve"> C</w:t>
      </w:r>
      <w:r w:rsidR="00507D1A" w:rsidRPr="00C87813">
        <w:t xml:space="preserve">ompany Limited </w:t>
      </w:r>
      <w:r w:rsidR="00E45659">
        <w:t>,</w:t>
      </w:r>
      <w:r w:rsidR="00507D1A">
        <w:t xml:space="preserve">2023) </w:t>
      </w:r>
      <w:r>
        <w:rPr>
          <w:bCs/>
        </w:rPr>
        <w:t xml:space="preserve">has released their official Total return and </w:t>
      </w:r>
      <w:r w:rsidR="00216941">
        <w:rPr>
          <w:bCs/>
        </w:rPr>
        <w:t xml:space="preserve">Price return. </w:t>
      </w:r>
    </w:p>
    <w:p w14:paraId="3460AC81" w14:textId="19CC3D1A" w:rsidR="00FA6C85" w:rsidRPr="007C082D" w:rsidRDefault="00216941" w:rsidP="007C082D">
      <w:pPr>
        <w:adjustRightInd w:val="0"/>
        <w:snapToGrid w:val="0"/>
        <w:spacing w:line="480" w:lineRule="auto"/>
        <w:ind w:firstLine="397"/>
        <w:jc w:val="both"/>
        <w:rPr>
          <w:bCs/>
        </w:rPr>
      </w:pPr>
      <w:r w:rsidRPr="00365337">
        <w:rPr>
          <w:rFonts w:hint="eastAsia"/>
          <w:bCs/>
        </w:rPr>
        <w:t>F</w:t>
      </w:r>
      <w:r w:rsidRPr="00365337">
        <w:rPr>
          <w:bCs/>
        </w:rPr>
        <w:t xml:space="preserve">or the </w:t>
      </w:r>
      <w:r w:rsidR="00B80523" w:rsidRPr="00365337">
        <w:rPr>
          <w:bCs/>
        </w:rPr>
        <w:t>annualized t</w:t>
      </w:r>
      <w:r w:rsidRPr="00365337">
        <w:rPr>
          <w:bCs/>
        </w:rPr>
        <w:t xml:space="preserve">otal return in the last year, ASX 200 has got </w:t>
      </w:r>
      <w:r w:rsidR="003420A0" w:rsidRPr="00365337">
        <w:rPr>
          <w:bCs/>
        </w:rPr>
        <w:t>12.21</w:t>
      </w:r>
      <w:r w:rsidRPr="00365337">
        <w:rPr>
          <w:bCs/>
        </w:rPr>
        <w:t xml:space="preserve">% and 4.37% for </w:t>
      </w:r>
      <w:r w:rsidR="00B80523" w:rsidRPr="00365337">
        <w:rPr>
          <w:bCs/>
        </w:rPr>
        <w:t>p</w:t>
      </w:r>
      <w:r w:rsidRPr="00365337">
        <w:rPr>
          <w:bCs/>
        </w:rPr>
        <w:t>rice return</w:t>
      </w:r>
      <w:r w:rsidR="00B772BA" w:rsidRPr="00365337">
        <w:rPr>
          <w:bCs/>
        </w:rPr>
        <w:t xml:space="preserve"> and dividend return respectively</w:t>
      </w:r>
      <w:r w:rsidRPr="00365337">
        <w:rPr>
          <w:bCs/>
        </w:rPr>
        <w:t>., where HSI has got -</w:t>
      </w:r>
      <w:r w:rsidR="003420A0" w:rsidRPr="00365337">
        <w:rPr>
          <w:bCs/>
        </w:rPr>
        <w:t>5.07</w:t>
      </w:r>
      <w:r w:rsidRPr="00365337">
        <w:rPr>
          <w:bCs/>
        </w:rPr>
        <w:t>% and -</w:t>
      </w:r>
      <w:r w:rsidR="003420A0" w:rsidRPr="00365337">
        <w:rPr>
          <w:bCs/>
        </w:rPr>
        <w:t>8.23</w:t>
      </w:r>
      <w:r w:rsidRPr="00365337">
        <w:rPr>
          <w:bCs/>
        </w:rPr>
        <w:t xml:space="preserve">% for </w:t>
      </w:r>
      <w:r w:rsidR="00B80523" w:rsidRPr="00365337">
        <w:rPr>
          <w:bCs/>
        </w:rPr>
        <w:t xml:space="preserve">annualized </w:t>
      </w:r>
      <w:r w:rsidR="003420A0" w:rsidRPr="00365337">
        <w:rPr>
          <w:bCs/>
        </w:rPr>
        <w:t>t</w:t>
      </w:r>
      <w:r w:rsidRPr="00365337">
        <w:rPr>
          <w:bCs/>
        </w:rPr>
        <w:t xml:space="preserve">otal return and index return respectively. </w:t>
      </w:r>
      <w:r w:rsidR="007F2C7E" w:rsidRPr="00365337">
        <w:rPr>
          <w:bCs/>
        </w:rPr>
        <w:t xml:space="preserve">And the dividend yield of ASX200 and the HSI last year were 4.39% and 3.02% respectively, moreover the Price to Earning (P/E) ratio of ASX200 and HSI were 15.24 and 12.32 respectively. Provided the Cash Rate Target of Reserve Bank of Australia </w:t>
      </w:r>
      <w:r w:rsidR="004A63E8">
        <w:rPr>
          <w:bCs/>
        </w:rPr>
        <w:t>in February 2023 is</w:t>
      </w:r>
      <w:r w:rsidR="007F2C7E" w:rsidRPr="00365337">
        <w:rPr>
          <w:bCs/>
        </w:rPr>
        <w:t xml:space="preserve"> 3.35%</w:t>
      </w:r>
      <w:r w:rsidR="003227CB">
        <w:rPr>
          <w:bCs/>
        </w:rPr>
        <w:t xml:space="preserve"> </w:t>
      </w:r>
      <w:r w:rsidR="001C526F" w:rsidRPr="00365337">
        <w:rPr>
          <w:bCs/>
        </w:rPr>
        <w:t>(</w:t>
      </w:r>
      <w:r w:rsidR="001C526F" w:rsidRPr="00365337">
        <w:rPr>
          <w:rFonts w:hint="eastAsia"/>
          <w:color w:val="222222"/>
          <w:shd w:val="clear" w:color="auto" w:fill="FFFFFF"/>
        </w:rPr>
        <w:t>R</w:t>
      </w:r>
      <w:r w:rsidR="001C526F" w:rsidRPr="00365337">
        <w:rPr>
          <w:color w:val="222222"/>
          <w:shd w:val="clear" w:color="auto" w:fill="FFFFFF"/>
        </w:rPr>
        <w:t xml:space="preserve">eserve Bank of Australia (2023) </w:t>
      </w:r>
      <w:r w:rsidR="007F2C7E" w:rsidRPr="00365337">
        <w:rPr>
          <w:bCs/>
        </w:rPr>
        <w:t xml:space="preserve">and Base Rate of Hong Kong </w:t>
      </w:r>
      <w:r w:rsidR="004A63E8">
        <w:rPr>
          <w:bCs/>
        </w:rPr>
        <w:t>is</w:t>
      </w:r>
      <w:r w:rsidR="007F2C7E" w:rsidRPr="00365337">
        <w:rPr>
          <w:bCs/>
        </w:rPr>
        <w:t xml:space="preserve"> now </w:t>
      </w:r>
      <w:r w:rsidR="002656CC" w:rsidRPr="00365337">
        <w:rPr>
          <w:bCs/>
        </w:rPr>
        <w:t>5%</w:t>
      </w:r>
      <w:r w:rsidR="00C42313">
        <w:rPr>
          <w:bCs/>
        </w:rPr>
        <w:t xml:space="preserve"> (Hong Kong Monetary Authority, 2023).</w:t>
      </w:r>
    </w:p>
    <w:p w14:paraId="072447EF" w14:textId="5215477C" w:rsidR="00A01F30" w:rsidRPr="00C358E9" w:rsidRDefault="00F34801" w:rsidP="00DD79F6">
      <w:pPr>
        <w:adjustRightInd w:val="0"/>
        <w:snapToGrid w:val="0"/>
        <w:spacing w:before="180" w:line="360" w:lineRule="auto"/>
        <w:jc w:val="both"/>
        <w:rPr>
          <w:b/>
          <w:bCs/>
        </w:rPr>
      </w:pPr>
      <w:bookmarkStart w:id="4" w:name="_Hlk60487949"/>
      <w:r w:rsidRPr="00C358E9">
        <w:rPr>
          <w:bCs/>
        </w:rPr>
        <w:t>4.1.2</w:t>
      </w:r>
      <w:r w:rsidRPr="00C358E9">
        <w:rPr>
          <w:bCs/>
        </w:rPr>
        <w:tab/>
      </w:r>
      <w:r w:rsidR="00E846B0" w:rsidRPr="00C358E9">
        <w:rPr>
          <w:bCs/>
        </w:rPr>
        <w:t>Income return</w:t>
      </w:r>
      <w:bookmarkEnd w:id="4"/>
      <w:r w:rsidR="007D2E62" w:rsidRPr="00C358E9">
        <w:rPr>
          <w:bCs/>
        </w:rPr>
        <w:t xml:space="preserve"> </w:t>
      </w:r>
    </w:p>
    <w:p w14:paraId="37A40DBF" w14:textId="7129D1E7" w:rsidR="00F3790B" w:rsidRPr="00FF51D4" w:rsidRDefault="00B772BA" w:rsidP="00FF51D4">
      <w:pPr>
        <w:adjustRightInd w:val="0"/>
        <w:snapToGrid w:val="0"/>
        <w:spacing w:before="180" w:line="480" w:lineRule="auto"/>
        <w:ind w:firstLine="397"/>
        <w:jc w:val="both"/>
        <w:rPr>
          <w:bCs/>
          <w:color w:val="000000" w:themeColor="text1"/>
        </w:rPr>
      </w:pPr>
      <w:r w:rsidRPr="00FF51D4">
        <w:rPr>
          <w:bCs/>
          <w:color w:val="000000" w:themeColor="text1"/>
        </w:rPr>
        <w:t>The income return of the stock market index could be expressed in terms of dividend yield.</w:t>
      </w:r>
    </w:p>
    <w:p w14:paraId="6C6681C0" w14:textId="54845A1A" w:rsidR="00B772BA" w:rsidRPr="00FF51D4" w:rsidRDefault="005C595A" w:rsidP="00FF51D4">
      <w:pPr>
        <w:adjustRightInd w:val="0"/>
        <w:snapToGrid w:val="0"/>
        <w:spacing w:before="180" w:line="480" w:lineRule="auto"/>
        <w:jc w:val="both"/>
        <w:rPr>
          <w:bCs/>
          <w:color w:val="000000" w:themeColor="text1"/>
        </w:rPr>
      </w:pPr>
      <w:r w:rsidRPr="00FF51D4">
        <w:rPr>
          <w:bCs/>
          <w:color w:val="000000" w:themeColor="text1"/>
        </w:rPr>
        <w:lastRenderedPageBreak/>
        <w:t>And the dividend yield of ASX200 and the HSI last year were 4.39% and 3.02% respectively.</w:t>
      </w:r>
      <w:r w:rsidR="00CE48D3" w:rsidRPr="00FF51D4">
        <w:rPr>
          <w:bCs/>
          <w:color w:val="000000" w:themeColor="text1"/>
        </w:rPr>
        <w:t xml:space="preserve"> It is not difficult to notice that in the past 3 years, the HSI has been decreasing significantly, where the ASX200 has rebounded in year 2021 and in the time period of 2019-22 the coefficient variance of the two indices was negative, signed that they have been in different direction. </w:t>
      </w:r>
      <w:r w:rsidR="009C0C3D" w:rsidRPr="00FF51D4">
        <w:rPr>
          <w:bCs/>
          <w:color w:val="000000" w:themeColor="text1"/>
        </w:rPr>
        <w:t xml:space="preserve">ASX200 </w:t>
      </w:r>
      <w:r w:rsidR="002B470A">
        <w:rPr>
          <w:bCs/>
          <w:color w:val="000000" w:themeColor="text1"/>
        </w:rPr>
        <w:t>was</w:t>
      </w:r>
      <w:r w:rsidR="009C0C3D" w:rsidRPr="00FF51D4">
        <w:rPr>
          <w:bCs/>
          <w:color w:val="000000" w:themeColor="text1"/>
        </w:rPr>
        <w:t xml:space="preserve"> going up and HSI </w:t>
      </w:r>
      <w:r w:rsidR="002B470A">
        <w:rPr>
          <w:bCs/>
          <w:color w:val="000000" w:themeColor="text1"/>
        </w:rPr>
        <w:t>was</w:t>
      </w:r>
      <w:r w:rsidR="009C0C3D" w:rsidRPr="00FF51D4">
        <w:rPr>
          <w:bCs/>
          <w:color w:val="000000" w:themeColor="text1"/>
        </w:rPr>
        <w:t xml:space="preserve"> going down. The dividend yield of the HSI should be higher because assuming the dividend (</w:t>
      </w:r>
      <w:r w:rsidR="00522DCB" w:rsidRPr="00FF51D4">
        <w:rPr>
          <w:bCs/>
          <w:color w:val="000000" w:themeColor="text1"/>
        </w:rPr>
        <w:t>nominator)</w:t>
      </w:r>
      <w:r w:rsidR="00475425" w:rsidRPr="00FF51D4">
        <w:rPr>
          <w:bCs/>
          <w:color w:val="000000" w:themeColor="text1"/>
        </w:rPr>
        <w:t xml:space="preserve"> </w:t>
      </w:r>
      <w:r w:rsidR="009C0C3D" w:rsidRPr="00FF51D4">
        <w:rPr>
          <w:bCs/>
          <w:color w:val="000000" w:themeColor="text1"/>
        </w:rPr>
        <w:t xml:space="preserve">was unchanged, with the stock price (denominator) decreasing. </w:t>
      </w:r>
      <w:r w:rsidR="00F155E8" w:rsidRPr="00FF51D4">
        <w:rPr>
          <w:bCs/>
          <w:color w:val="000000" w:themeColor="text1"/>
        </w:rPr>
        <w:t xml:space="preserve">Thus ASX 200 has been doing better performance in terms of income </w:t>
      </w:r>
      <w:r w:rsidR="00D763B1" w:rsidRPr="00FF51D4">
        <w:rPr>
          <w:bCs/>
          <w:color w:val="000000" w:themeColor="text1"/>
        </w:rPr>
        <w:t>return</w:t>
      </w:r>
      <w:r w:rsidR="00F155E8" w:rsidRPr="00FF51D4">
        <w:rPr>
          <w:bCs/>
          <w:color w:val="000000" w:themeColor="text1"/>
        </w:rPr>
        <w:t>.</w:t>
      </w:r>
    </w:p>
    <w:p w14:paraId="00B988AB" w14:textId="77777777" w:rsidR="002272CE" w:rsidRPr="00C358E9" w:rsidRDefault="002272CE" w:rsidP="00DD79F6">
      <w:pPr>
        <w:adjustRightInd w:val="0"/>
        <w:snapToGrid w:val="0"/>
        <w:spacing w:before="180" w:line="360" w:lineRule="auto"/>
        <w:jc w:val="both"/>
        <w:rPr>
          <w:bCs/>
        </w:rPr>
      </w:pPr>
    </w:p>
    <w:p w14:paraId="61FE6484" w14:textId="50AEE003" w:rsidR="00F3790B" w:rsidRDefault="00F3790B" w:rsidP="00DD79F6">
      <w:pPr>
        <w:adjustRightInd w:val="0"/>
        <w:snapToGrid w:val="0"/>
        <w:spacing w:before="180" w:line="360" w:lineRule="auto"/>
        <w:jc w:val="both"/>
        <w:rPr>
          <w:bCs/>
        </w:rPr>
      </w:pPr>
      <w:r w:rsidRPr="00C358E9">
        <w:rPr>
          <w:bCs/>
        </w:rPr>
        <w:t>4.1.</w:t>
      </w:r>
      <w:r w:rsidR="00E846B0" w:rsidRPr="00C358E9">
        <w:rPr>
          <w:bCs/>
        </w:rPr>
        <w:t>3</w:t>
      </w:r>
      <w:r w:rsidRPr="00C358E9">
        <w:rPr>
          <w:bCs/>
        </w:rPr>
        <w:tab/>
      </w:r>
      <w:r w:rsidR="00E846B0" w:rsidRPr="00C358E9">
        <w:rPr>
          <w:bCs/>
        </w:rPr>
        <w:t>Equity premium</w:t>
      </w:r>
      <w:r w:rsidR="00FC716B" w:rsidRPr="00C358E9">
        <w:rPr>
          <w:bCs/>
        </w:rPr>
        <w:t xml:space="preserve"> </w:t>
      </w:r>
    </w:p>
    <w:p w14:paraId="04A16C5B" w14:textId="476F2806" w:rsidR="008569D1" w:rsidRPr="008569D1" w:rsidRDefault="008569D1" w:rsidP="008569D1">
      <w:pPr>
        <w:adjustRightInd w:val="0"/>
        <w:snapToGrid w:val="0"/>
        <w:spacing w:before="180" w:line="360" w:lineRule="auto"/>
        <w:jc w:val="both"/>
        <w:rPr>
          <w:bCs/>
          <w:color w:val="000000" w:themeColor="text1"/>
        </w:rPr>
      </w:pPr>
      <w:r w:rsidRPr="008569D1">
        <w:rPr>
          <w:bCs/>
          <w:color w:val="000000" w:themeColor="text1"/>
        </w:rPr>
        <w:t xml:space="preserve">To directly measure the equity premium, usually defined as the difference between the total return on stocks minus the </w:t>
      </w:r>
      <w:r w:rsidR="00A66AA2">
        <w:rPr>
          <w:bCs/>
          <w:color w:val="000000" w:themeColor="text1"/>
        </w:rPr>
        <w:t xml:space="preserve">local central banks’ standard interest </w:t>
      </w:r>
      <w:r w:rsidRPr="008569D1">
        <w:rPr>
          <w:bCs/>
          <w:color w:val="000000" w:themeColor="text1"/>
        </w:rPr>
        <w:t xml:space="preserve">rate. Decomposing the total return on stocks into capital return (CRS) and income return (IRS), and the </w:t>
      </w:r>
      <w:r w:rsidR="000C26F3">
        <w:rPr>
          <w:bCs/>
          <w:color w:val="000000" w:themeColor="text1"/>
        </w:rPr>
        <w:t>l</w:t>
      </w:r>
      <w:r w:rsidR="0060104D">
        <w:rPr>
          <w:bCs/>
          <w:color w:val="000000" w:themeColor="text1"/>
        </w:rPr>
        <w:t xml:space="preserve">ocal central banks’ standard interest </w:t>
      </w:r>
      <w:r w:rsidR="0060104D" w:rsidRPr="008569D1">
        <w:rPr>
          <w:bCs/>
          <w:color w:val="000000" w:themeColor="text1"/>
        </w:rPr>
        <w:t>rate</w:t>
      </w:r>
      <w:r w:rsidRPr="008569D1">
        <w:rPr>
          <w:bCs/>
          <w:color w:val="000000" w:themeColor="text1"/>
        </w:rPr>
        <w:t xml:space="preserve"> (RTB) into the inflation component and the real rate, we can write</w:t>
      </w:r>
    </w:p>
    <w:p w14:paraId="1DFC5812" w14:textId="28662273" w:rsidR="004D24AB" w:rsidRPr="004D24AB" w:rsidRDefault="008569D1" w:rsidP="00DD79F6">
      <w:pPr>
        <w:adjustRightInd w:val="0"/>
        <w:snapToGrid w:val="0"/>
        <w:spacing w:before="180" w:line="360" w:lineRule="auto"/>
        <w:jc w:val="both"/>
        <w:rPr>
          <w:bCs/>
          <w:color w:val="000000" w:themeColor="text1"/>
        </w:rPr>
      </w:pPr>
      <w:r w:rsidRPr="008569D1">
        <w:rPr>
          <w:bCs/>
          <w:color w:val="000000" w:themeColor="text1"/>
        </w:rPr>
        <w:t xml:space="preserve">Equity Premium = </w:t>
      </w:r>
      <w:r w:rsidR="00523C97">
        <w:rPr>
          <w:bCs/>
          <w:color w:val="000000" w:themeColor="text1"/>
        </w:rPr>
        <w:t>(</w:t>
      </w:r>
      <w:r w:rsidR="001305C5">
        <w:rPr>
          <w:bCs/>
          <w:color w:val="000000" w:themeColor="text1"/>
        </w:rPr>
        <w:t>CRS+</w:t>
      </w:r>
      <w:r w:rsidR="00FE2485">
        <w:rPr>
          <w:bCs/>
          <w:color w:val="000000" w:themeColor="text1"/>
        </w:rPr>
        <w:t>I</w:t>
      </w:r>
      <w:r w:rsidR="00770789">
        <w:rPr>
          <w:bCs/>
          <w:color w:val="000000" w:themeColor="text1"/>
        </w:rPr>
        <w:t>RS</w:t>
      </w:r>
      <w:r w:rsidR="00523C97">
        <w:rPr>
          <w:bCs/>
          <w:color w:val="000000" w:themeColor="text1"/>
        </w:rPr>
        <w:t>)</w:t>
      </w:r>
      <w:r w:rsidR="00770789">
        <w:rPr>
          <w:bCs/>
          <w:color w:val="000000" w:themeColor="text1"/>
        </w:rPr>
        <w:t>-</w:t>
      </w:r>
      <w:r w:rsidRPr="008569D1">
        <w:rPr>
          <w:bCs/>
          <w:color w:val="000000" w:themeColor="text1"/>
        </w:rPr>
        <w:t>RTB</w:t>
      </w:r>
    </w:p>
    <w:p w14:paraId="1750E7BB" w14:textId="40AC92A9" w:rsidR="000F5063" w:rsidRDefault="000F5063" w:rsidP="008569D1">
      <w:pPr>
        <w:adjustRightInd w:val="0"/>
        <w:snapToGrid w:val="0"/>
        <w:spacing w:before="180" w:line="480" w:lineRule="auto"/>
        <w:jc w:val="both"/>
        <w:rPr>
          <w:bCs/>
        </w:rPr>
      </w:pPr>
      <w:r>
        <w:rPr>
          <w:rFonts w:hint="eastAsia"/>
          <w:bCs/>
        </w:rPr>
        <w:t>T</w:t>
      </w:r>
      <w:r>
        <w:rPr>
          <w:bCs/>
        </w:rPr>
        <w:t>hus,</w:t>
      </w:r>
    </w:p>
    <w:p w14:paraId="1F2CE2A4" w14:textId="20527B4C" w:rsidR="008569D1" w:rsidRDefault="008569D1" w:rsidP="008569D1">
      <w:pPr>
        <w:adjustRightInd w:val="0"/>
        <w:snapToGrid w:val="0"/>
        <w:spacing w:before="180" w:line="480" w:lineRule="auto"/>
        <w:jc w:val="both"/>
        <w:rPr>
          <w:bCs/>
        </w:rPr>
      </w:pPr>
      <w:r>
        <w:rPr>
          <w:bCs/>
        </w:rPr>
        <w:t>The Equity Premium of ASX200 and HSI can be computed:</w:t>
      </w:r>
    </w:p>
    <w:p w14:paraId="17FF7C8E" w14:textId="77777777" w:rsidR="008569D1" w:rsidRDefault="008569D1" w:rsidP="008569D1">
      <w:pPr>
        <w:adjustRightInd w:val="0"/>
        <w:snapToGrid w:val="0"/>
        <w:spacing w:before="180" w:line="480" w:lineRule="auto"/>
        <w:ind w:firstLine="397"/>
        <w:jc w:val="both"/>
        <w:rPr>
          <w:bCs/>
        </w:rPr>
      </w:pPr>
      <w:r>
        <w:rPr>
          <w:bCs/>
        </w:rPr>
        <w:t>Equity Premium of ASX200</w:t>
      </w:r>
      <w:proofErr w:type="gramStart"/>
      <w:r>
        <w:rPr>
          <w:bCs/>
        </w:rPr>
        <w:t>=(</w:t>
      </w:r>
      <w:proofErr w:type="gramEnd"/>
      <w:r>
        <w:rPr>
          <w:bCs/>
        </w:rPr>
        <w:t>12.21-3.35)%=8.86%</w:t>
      </w:r>
    </w:p>
    <w:p w14:paraId="3F5A184C" w14:textId="77777777" w:rsidR="008569D1" w:rsidRDefault="008569D1" w:rsidP="008569D1">
      <w:pPr>
        <w:adjustRightInd w:val="0"/>
        <w:snapToGrid w:val="0"/>
        <w:spacing w:before="180" w:line="480" w:lineRule="auto"/>
        <w:ind w:firstLine="397"/>
        <w:jc w:val="both"/>
        <w:rPr>
          <w:bCs/>
        </w:rPr>
      </w:pPr>
      <w:r>
        <w:rPr>
          <w:rFonts w:hint="eastAsia"/>
          <w:bCs/>
        </w:rPr>
        <w:t>E</w:t>
      </w:r>
      <w:r>
        <w:rPr>
          <w:bCs/>
        </w:rPr>
        <w:t>quity Premium of HSI= (-5.07-4.</w:t>
      </w:r>
      <w:proofErr w:type="gramStart"/>
      <w:r>
        <w:rPr>
          <w:bCs/>
        </w:rPr>
        <w:t>75)%</w:t>
      </w:r>
      <w:proofErr w:type="gramEnd"/>
      <w:r>
        <w:rPr>
          <w:bCs/>
        </w:rPr>
        <w:t>= -9.82%</w:t>
      </w:r>
    </w:p>
    <w:p w14:paraId="7E62E4BC" w14:textId="59F92D9B" w:rsidR="008569D1" w:rsidRDefault="008569D1" w:rsidP="008569D1">
      <w:pPr>
        <w:adjustRightInd w:val="0"/>
        <w:snapToGrid w:val="0"/>
        <w:spacing w:before="180" w:line="480" w:lineRule="auto"/>
        <w:jc w:val="both"/>
        <w:rPr>
          <w:bCs/>
        </w:rPr>
      </w:pPr>
      <w:r>
        <w:rPr>
          <w:rFonts w:hint="eastAsia"/>
          <w:bCs/>
        </w:rPr>
        <w:t>F</w:t>
      </w:r>
      <w:r>
        <w:rPr>
          <w:bCs/>
        </w:rPr>
        <w:t xml:space="preserve">or the above computed results of equity premium of ASX200 and HSI, it is obvious to know that the ASX200 has outperformed much than that of HSI since the price return of ASX200 is </w:t>
      </w:r>
      <w:r>
        <w:rPr>
          <w:bCs/>
        </w:rPr>
        <w:lastRenderedPageBreak/>
        <w:t>of positive figure whereas HSI had performed badly with its price return a negative figure.</w:t>
      </w:r>
      <w:r w:rsidR="00363B39">
        <w:rPr>
          <w:bCs/>
        </w:rPr>
        <w:t xml:space="preserve"> Moreover, when looking at the </w:t>
      </w:r>
      <w:r w:rsidR="00DD4779">
        <w:rPr>
          <w:bCs/>
        </w:rPr>
        <w:t xml:space="preserve">trend of </w:t>
      </w:r>
      <w:r w:rsidR="00363B39">
        <w:rPr>
          <w:bCs/>
        </w:rPr>
        <w:t xml:space="preserve">performance of the 3 decades period, </w:t>
      </w:r>
      <w:r w:rsidR="00DD4779">
        <w:rPr>
          <w:bCs/>
        </w:rPr>
        <w:t xml:space="preserve">it is not difficult to notice that the average annual return of ASX200 had dropped at the second decade and rebounded in the third decade, while the HSI performing a trend at a decreasing manner. </w:t>
      </w:r>
      <w:r w:rsidR="00555CF6">
        <w:rPr>
          <w:bCs/>
        </w:rPr>
        <w:t>This gives the message that ASX200 has a better prospec</w:t>
      </w:r>
      <w:r w:rsidR="00033C9A">
        <w:rPr>
          <w:bCs/>
        </w:rPr>
        <w:t xml:space="preserve">t </w:t>
      </w:r>
      <w:r w:rsidR="00555CF6">
        <w:rPr>
          <w:bCs/>
        </w:rPr>
        <w:t>than the HSI.</w:t>
      </w:r>
    </w:p>
    <w:p w14:paraId="1F057E21" w14:textId="6EFEF1A5" w:rsidR="000E694D" w:rsidRPr="000E62A0" w:rsidRDefault="000E62A0" w:rsidP="000E62A0">
      <w:pPr>
        <w:adjustRightInd w:val="0"/>
        <w:snapToGrid w:val="0"/>
        <w:spacing w:before="180" w:line="480" w:lineRule="auto"/>
        <w:ind w:firstLine="397"/>
        <w:jc w:val="both"/>
        <w:rPr>
          <w:bCs/>
        </w:rPr>
      </w:pPr>
      <w:r w:rsidRPr="00C64C71">
        <w:rPr>
          <w:bCs/>
        </w:rPr>
        <w:t>The Board of central bank of Australia, Reserve Bank of Australia (RBA) has decided to increase the cash rate target by 25 basis points to 3.35 % as well as the interest rate on Exchange Settlement balances by same magnitude to 3.25% on the meeting held on 7th February 2023. This showed the RBA has to act to tackle the CPI inflation. The CPI inflation in the fourth quarter was 7.8% which was the highest since 1990. The actual inflation was 6.9% which also has beaten the estimated. Although global factors including the US and the EU countries’ high inflation and geographical conflicts has affected the inflation of Australia, strong domestic demand has been the one of the major factors for Australian’s high inflation.</w:t>
      </w:r>
    </w:p>
    <w:p w14:paraId="777723E3" w14:textId="1D91E878" w:rsidR="00530B7C" w:rsidRPr="007F0CDF" w:rsidRDefault="00F34801" w:rsidP="00DD79F6">
      <w:pPr>
        <w:adjustRightInd w:val="0"/>
        <w:snapToGrid w:val="0"/>
        <w:spacing w:before="180" w:line="360" w:lineRule="auto"/>
        <w:jc w:val="both"/>
        <w:rPr>
          <w:b/>
          <w:bCs/>
        </w:rPr>
      </w:pPr>
      <w:r w:rsidRPr="00C358E9">
        <w:rPr>
          <w:b/>
          <w:bCs/>
        </w:rPr>
        <w:t>4.2</w:t>
      </w:r>
      <w:r w:rsidRPr="00C358E9">
        <w:rPr>
          <w:b/>
          <w:bCs/>
        </w:rPr>
        <w:tab/>
      </w:r>
      <w:r w:rsidR="00E846B0" w:rsidRPr="00C358E9">
        <w:rPr>
          <w:b/>
          <w:bCs/>
        </w:rPr>
        <w:t>Investment risk</w:t>
      </w:r>
    </w:p>
    <w:p w14:paraId="6A7927B8" w14:textId="30A8A424" w:rsidR="005A7CE6" w:rsidRDefault="00F34801" w:rsidP="00DD79F6">
      <w:pPr>
        <w:adjustRightInd w:val="0"/>
        <w:snapToGrid w:val="0"/>
        <w:spacing w:before="180" w:line="360" w:lineRule="auto"/>
        <w:jc w:val="both"/>
        <w:rPr>
          <w:bCs/>
        </w:rPr>
      </w:pPr>
      <w:r w:rsidRPr="00C358E9">
        <w:rPr>
          <w:bCs/>
        </w:rPr>
        <w:t>4.2.1</w:t>
      </w:r>
      <w:r w:rsidRPr="00C358E9">
        <w:rPr>
          <w:bCs/>
        </w:rPr>
        <w:tab/>
      </w:r>
      <w:r w:rsidR="00E846B0" w:rsidRPr="00C358E9">
        <w:rPr>
          <w:bCs/>
        </w:rPr>
        <w:t>Stock price volatility</w:t>
      </w:r>
    </w:p>
    <w:p w14:paraId="318C1EEA" w14:textId="670EC1F8" w:rsidR="00E846B0" w:rsidRPr="00363B39" w:rsidRDefault="00D701DA" w:rsidP="008B0A4E">
      <w:pPr>
        <w:adjustRightInd w:val="0"/>
        <w:snapToGrid w:val="0"/>
        <w:spacing w:beforeLines="50" w:before="180" w:line="480" w:lineRule="auto"/>
        <w:jc w:val="both"/>
        <w:rPr>
          <w:bCs/>
        </w:rPr>
      </w:pPr>
      <w:r w:rsidRPr="00C358E9">
        <w:rPr>
          <w:bCs/>
        </w:rPr>
        <w:tab/>
      </w:r>
      <w:r w:rsidRPr="00EE1581">
        <w:rPr>
          <w:bCs/>
        </w:rPr>
        <w:t xml:space="preserve">Stock price volatility can be determined by quantitative methodology as good as the standard deviation, </w:t>
      </w:r>
      <w:r w:rsidR="00FC716B" w:rsidRPr="00EE1581">
        <w:rPr>
          <w:bCs/>
        </w:rPr>
        <w:t>so that it helps to</w:t>
      </w:r>
      <w:r w:rsidR="003D6246" w:rsidRPr="00EE1581">
        <w:rPr>
          <w:bCs/>
        </w:rPr>
        <w:t xml:space="preserve"> assess the risk of investing in each of the stock markets.</w:t>
      </w:r>
    </w:p>
    <w:p w14:paraId="4B36C3D8" w14:textId="662D1C4C" w:rsidR="006A0E65" w:rsidRPr="00C64C71" w:rsidRDefault="003D6246" w:rsidP="00207B89">
      <w:pPr>
        <w:adjustRightInd w:val="0"/>
        <w:snapToGrid w:val="0"/>
        <w:spacing w:beforeLines="50" w:before="180" w:line="480" w:lineRule="auto"/>
        <w:ind w:firstLine="397"/>
        <w:jc w:val="both"/>
        <w:rPr>
          <w:bCs/>
        </w:rPr>
      </w:pPr>
      <w:r w:rsidRPr="006F0D52">
        <w:rPr>
          <w:bCs/>
        </w:rPr>
        <w:t xml:space="preserve">From the </w:t>
      </w:r>
      <w:r w:rsidR="00EE1581">
        <w:rPr>
          <w:bCs/>
        </w:rPr>
        <w:t xml:space="preserve">Table </w:t>
      </w:r>
      <w:r w:rsidR="00056569">
        <w:rPr>
          <w:bCs/>
        </w:rPr>
        <w:t>3</w:t>
      </w:r>
      <w:r w:rsidR="00EE1581">
        <w:rPr>
          <w:bCs/>
        </w:rPr>
        <w:t xml:space="preserve"> it is</w:t>
      </w:r>
      <w:r w:rsidRPr="006F0D52">
        <w:rPr>
          <w:bCs/>
        </w:rPr>
        <w:t xml:space="preserve"> notice</w:t>
      </w:r>
      <w:r w:rsidR="00EE1581">
        <w:rPr>
          <w:bCs/>
        </w:rPr>
        <w:t>d</w:t>
      </w:r>
      <w:r w:rsidRPr="006F0D52">
        <w:rPr>
          <w:bCs/>
        </w:rPr>
        <w:t xml:space="preserve"> that the </w:t>
      </w:r>
      <w:r w:rsidR="00056569">
        <w:rPr>
          <w:bCs/>
        </w:rPr>
        <w:t xml:space="preserve">expected risk in terms of </w:t>
      </w:r>
      <w:r w:rsidRPr="006F0D52">
        <w:rPr>
          <w:bCs/>
        </w:rPr>
        <w:t xml:space="preserve">standard deviation of ASX 200 and </w:t>
      </w:r>
      <w:r w:rsidR="00056569">
        <w:rPr>
          <w:bCs/>
        </w:rPr>
        <w:t>HSI in the past 30 years was 4.92% and 4.91% respectively.</w:t>
      </w:r>
      <w:r w:rsidR="00363B39">
        <w:rPr>
          <w:bCs/>
        </w:rPr>
        <w:t xml:space="preserve"> From this observation, there was very similar risk on investing the two stock markets.</w:t>
      </w:r>
      <w:r w:rsidR="000E62A0">
        <w:rPr>
          <w:bCs/>
        </w:rPr>
        <w:t xml:space="preserve"> </w:t>
      </w:r>
    </w:p>
    <w:p w14:paraId="3E607053" w14:textId="6204A138" w:rsidR="00F34801" w:rsidRPr="00C358E9" w:rsidRDefault="006A0E65" w:rsidP="008B0A4E">
      <w:pPr>
        <w:spacing w:line="480" w:lineRule="auto"/>
        <w:ind w:firstLine="397"/>
        <w:rPr>
          <w:bCs/>
        </w:rPr>
      </w:pPr>
      <w:r w:rsidRPr="00C64C71">
        <w:rPr>
          <w:bCs/>
        </w:rPr>
        <w:lastRenderedPageBreak/>
        <w:t>The Australian economy grew strongly over 2022. The central forecast is little changed from three months ago, with GDP growth expected to slow to around 1.5% over 2023 and 2024</w:t>
      </w:r>
      <w:r w:rsidR="00AE10A3">
        <w:rPr>
          <w:bCs/>
        </w:rPr>
        <w:t>(Reserve Bank of Australia, 2023)</w:t>
      </w:r>
      <w:r w:rsidRPr="00C64C71">
        <w:rPr>
          <w:bCs/>
        </w:rPr>
        <w:t>. The recovery in spending on services following the lifting of COVID restrictions has largely run its course and the tighter financial conditions will constrain spending more broadly.</w:t>
      </w:r>
    </w:p>
    <w:p w14:paraId="6CC16170" w14:textId="6ADEBF8B" w:rsidR="009A3C10" w:rsidRPr="00104ACF" w:rsidRDefault="006A0E65" w:rsidP="00104ACF">
      <w:pPr>
        <w:adjustRightInd w:val="0"/>
        <w:snapToGrid w:val="0"/>
        <w:spacing w:before="240" w:line="600" w:lineRule="auto"/>
        <w:ind w:firstLine="397"/>
        <w:jc w:val="both"/>
        <w:rPr>
          <w:bCs/>
        </w:rPr>
      </w:pPr>
      <w:r w:rsidRPr="00F941F8">
        <w:rPr>
          <w:bCs/>
        </w:rPr>
        <w:t>According to The Census and Statistics Department (“C&amp;SD”</w:t>
      </w:r>
      <w:r w:rsidRPr="003D222B">
        <w:rPr>
          <w:bCs/>
        </w:rPr>
        <w:t xml:space="preserve">) </w:t>
      </w:r>
      <w:r w:rsidR="00D054FC" w:rsidRPr="003D222B">
        <w:rPr>
          <w:bCs/>
          <w:color w:val="000000" w:themeColor="text1"/>
        </w:rPr>
        <w:t>(</w:t>
      </w:r>
      <w:r w:rsidR="00C80243" w:rsidRPr="003D222B">
        <w:rPr>
          <w:bCs/>
          <w:color w:val="000000" w:themeColor="text1"/>
        </w:rPr>
        <w:t xml:space="preserve">Census </w:t>
      </w:r>
      <w:r w:rsidR="00C80243" w:rsidRPr="00F941F8">
        <w:rPr>
          <w:bCs/>
        </w:rPr>
        <w:t>and Statistics Department</w:t>
      </w:r>
      <w:r w:rsidR="00C80243">
        <w:rPr>
          <w:bCs/>
        </w:rPr>
        <w:t>, Hong Kong, 2</w:t>
      </w:r>
      <w:r w:rsidR="00C80243" w:rsidRPr="003D222B">
        <w:rPr>
          <w:bCs/>
        </w:rPr>
        <w:t>022</w:t>
      </w:r>
      <w:r w:rsidR="00D054FC" w:rsidRPr="003D222B">
        <w:rPr>
          <w:bCs/>
          <w:color w:val="000000" w:themeColor="text1"/>
        </w:rPr>
        <w:t>)</w:t>
      </w:r>
      <w:r w:rsidR="00C80243" w:rsidRPr="003D222B">
        <w:rPr>
          <w:bCs/>
          <w:color w:val="000000" w:themeColor="text1"/>
        </w:rPr>
        <w:t xml:space="preserve"> </w:t>
      </w:r>
      <w:r w:rsidRPr="003D222B">
        <w:rPr>
          <w:bCs/>
        </w:rPr>
        <w:t>latest figur</w:t>
      </w:r>
      <w:r w:rsidRPr="00F941F8">
        <w:rPr>
          <w:bCs/>
        </w:rPr>
        <w:t xml:space="preserve">es on retail sales </w:t>
      </w:r>
      <w:r w:rsidR="00031703" w:rsidRPr="00F941F8">
        <w:rPr>
          <w:bCs/>
        </w:rPr>
        <w:t>data,</w:t>
      </w:r>
      <w:r w:rsidR="0095002A" w:rsidRPr="00F941F8">
        <w:rPr>
          <w:bCs/>
        </w:rPr>
        <w:t xml:space="preserve"> t</w:t>
      </w:r>
      <w:r w:rsidRPr="00F941F8">
        <w:rPr>
          <w:bCs/>
        </w:rPr>
        <w:t xml:space="preserve">he </w:t>
      </w:r>
      <w:r w:rsidR="0095002A" w:rsidRPr="00F941F8">
        <w:rPr>
          <w:bCs/>
        </w:rPr>
        <w:t>val</w:t>
      </w:r>
      <w:r w:rsidRPr="00F941F8">
        <w:rPr>
          <w:bCs/>
        </w:rPr>
        <w:t xml:space="preserve">ue of total retail sales in September 2022, provisionally estimated at </w:t>
      </w:r>
      <w:r w:rsidR="00C440B8" w:rsidRPr="00F941F8">
        <w:rPr>
          <w:bCs/>
        </w:rPr>
        <w:t>HKD</w:t>
      </w:r>
      <w:r w:rsidRPr="00F941F8">
        <w:rPr>
          <w:bCs/>
        </w:rPr>
        <w:t xml:space="preserve">28.1 billion, </w:t>
      </w:r>
      <w:r w:rsidR="00C440B8" w:rsidRPr="00F941F8">
        <w:rPr>
          <w:bCs/>
        </w:rPr>
        <w:t xml:space="preserve">increased </w:t>
      </w:r>
      <w:r w:rsidRPr="00F941F8">
        <w:rPr>
          <w:bCs/>
        </w:rPr>
        <w:t xml:space="preserve">by 0.2% compared with the same month in </w:t>
      </w:r>
      <w:r w:rsidR="00C440B8" w:rsidRPr="00F941F8">
        <w:rPr>
          <w:bCs/>
        </w:rPr>
        <w:t xml:space="preserve">year </w:t>
      </w:r>
      <w:r w:rsidRPr="00F941F8">
        <w:rPr>
          <w:bCs/>
        </w:rPr>
        <w:t xml:space="preserve">2021. </w:t>
      </w:r>
      <w:r w:rsidR="00C440B8" w:rsidRPr="00F941F8">
        <w:rPr>
          <w:bCs/>
        </w:rPr>
        <w:t>After</w:t>
      </w:r>
      <w:r w:rsidRPr="00F941F8">
        <w:rPr>
          <w:bCs/>
        </w:rPr>
        <w:t xml:space="preserve"> revise</w:t>
      </w:r>
      <w:r w:rsidR="00C440B8" w:rsidRPr="00F941F8">
        <w:rPr>
          <w:bCs/>
        </w:rPr>
        <w:t>d, t</w:t>
      </w:r>
      <w:r w:rsidRPr="00F941F8">
        <w:rPr>
          <w:bCs/>
        </w:rPr>
        <w:t xml:space="preserve">he value of total retail sales in August 2022 </w:t>
      </w:r>
      <w:r w:rsidR="00C440B8" w:rsidRPr="00F941F8">
        <w:rPr>
          <w:bCs/>
        </w:rPr>
        <w:t xml:space="preserve">decreased </w:t>
      </w:r>
      <w:r w:rsidRPr="00F941F8">
        <w:rPr>
          <w:bCs/>
        </w:rPr>
        <w:t xml:space="preserve">by 0.2% compared with a year earlier. For the first 9 months of 2022 it was estimated that the value of total retail sales </w:t>
      </w:r>
      <w:r w:rsidR="00C440B8" w:rsidRPr="00F941F8">
        <w:rPr>
          <w:bCs/>
        </w:rPr>
        <w:t xml:space="preserve">has been </w:t>
      </w:r>
      <w:r w:rsidR="00DF396C">
        <w:rPr>
          <w:bCs/>
        </w:rPr>
        <w:t>dropped</w:t>
      </w:r>
      <w:r w:rsidR="00C440B8" w:rsidRPr="00F941F8">
        <w:rPr>
          <w:bCs/>
        </w:rPr>
        <w:t xml:space="preserve"> </w:t>
      </w:r>
      <w:r w:rsidRPr="00F941F8">
        <w:rPr>
          <w:bCs/>
        </w:rPr>
        <w:t xml:space="preserve">by 1.3% compared with the same </w:t>
      </w:r>
      <w:r w:rsidR="00C440B8" w:rsidRPr="00F941F8">
        <w:rPr>
          <w:bCs/>
        </w:rPr>
        <w:t xml:space="preserve">month </w:t>
      </w:r>
      <w:r w:rsidRPr="00F941F8">
        <w:rPr>
          <w:bCs/>
        </w:rPr>
        <w:t xml:space="preserve">in </w:t>
      </w:r>
      <w:r w:rsidR="00C440B8" w:rsidRPr="00F941F8">
        <w:rPr>
          <w:bCs/>
        </w:rPr>
        <w:t xml:space="preserve">year </w:t>
      </w:r>
      <w:r w:rsidRPr="00F941F8">
        <w:rPr>
          <w:bCs/>
        </w:rPr>
        <w:t>2021.</w:t>
      </w:r>
      <w:r w:rsidR="00C440B8" w:rsidRPr="00F941F8">
        <w:rPr>
          <w:bCs/>
        </w:rPr>
        <w:t xml:space="preserve"> This signals the Hong Kong economic activities, under supporting by a series of government stimulation scheme such as Consumption Voucher Scheme, could not boost up the Hong Kong economy through stimulating the retail market. Furthermore, as the release of quarantine requirement, may Hong Kong residents has started </w:t>
      </w:r>
      <w:r w:rsidR="00E915AB" w:rsidRPr="00F941F8">
        <w:rPr>
          <w:bCs/>
        </w:rPr>
        <w:t>travel</w:t>
      </w:r>
      <w:r w:rsidR="003C23A7">
        <w:rPr>
          <w:bCs/>
        </w:rPr>
        <w:t>ling</w:t>
      </w:r>
      <w:r w:rsidR="00E915AB" w:rsidRPr="00F941F8">
        <w:rPr>
          <w:bCs/>
        </w:rPr>
        <w:t xml:space="preserve"> around the world. This eventually has affected the economic performance of Hong Kong, not just retail, but also the </w:t>
      </w:r>
      <w:r w:rsidR="00E915AB" w:rsidRPr="00F941F8">
        <w:rPr>
          <w:bCs/>
        </w:rPr>
        <w:lastRenderedPageBreak/>
        <w:t xml:space="preserve">retail related industries. It may consequently affect the performance of Hong Kong Stock market. </w:t>
      </w:r>
    </w:p>
    <w:p w14:paraId="69DDC341" w14:textId="11605203" w:rsidR="00D417A9" w:rsidRPr="00C358E9" w:rsidRDefault="00FA40BD" w:rsidP="00DD79F6">
      <w:pPr>
        <w:adjustRightInd w:val="0"/>
        <w:snapToGrid w:val="0"/>
        <w:spacing w:before="180" w:line="360" w:lineRule="auto"/>
        <w:jc w:val="both"/>
        <w:rPr>
          <w:sz w:val="26"/>
        </w:rPr>
      </w:pPr>
      <w:r w:rsidRPr="00C358E9">
        <w:rPr>
          <w:rFonts w:hint="eastAsia"/>
          <w:sz w:val="26"/>
        </w:rPr>
        <w:t>4</w:t>
      </w:r>
      <w:r w:rsidRPr="00C358E9">
        <w:rPr>
          <w:sz w:val="26"/>
        </w:rPr>
        <w:t>.2.</w:t>
      </w:r>
      <w:r w:rsidR="00073D72">
        <w:rPr>
          <w:sz w:val="26"/>
        </w:rPr>
        <w:t>2</w:t>
      </w:r>
      <w:r w:rsidRPr="00C358E9">
        <w:rPr>
          <w:sz w:val="26"/>
        </w:rPr>
        <w:t xml:space="preserve"> Exchange rate risk</w:t>
      </w:r>
    </w:p>
    <w:p w14:paraId="2469EC75" w14:textId="20206A70" w:rsidR="00FD4140" w:rsidRDefault="00FD4140" w:rsidP="002E37EA">
      <w:pPr>
        <w:spacing w:before="180" w:line="480" w:lineRule="auto"/>
        <w:rPr>
          <w:bCs/>
        </w:rPr>
      </w:pPr>
      <w:r w:rsidRPr="00BA1A8E">
        <w:rPr>
          <w:bCs/>
        </w:rPr>
        <w:t xml:space="preserve">In terms of exchange rates, since 2021, the U.S. economy has been hit by COVID-19 and implemented a larger-scale </w:t>
      </w:r>
      <w:r w:rsidR="009315CB">
        <w:rPr>
          <w:bCs/>
        </w:rPr>
        <w:t>Q</w:t>
      </w:r>
      <w:r w:rsidRPr="00BA1A8E">
        <w:rPr>
          <w:bCs/>
        </w:rPr>
        <w:t xml:space="preserve">uantitative </w:t>
      </w:r>
      <w:r w:rsidR="009315CB">
        <w:rPr>
          <w:bCs/>
        </w:rPr>
        <w:t>E</w:t>
      </w:r>
      <w:r w:rsidRPr="00BA1A8E">
        <w:rPr>
          <w:bCs/>
        </w:rPr>
        <w:t xml:space="preserve">asing </w:t>
      </w:r>
      <w:r w:rsidR="0055576A" w:rsidRPr="00FB6F69">
        <w:rPr>
          <w:bCs/>
        </w:rPr>
        <w:t xml:space="preserve">(Jackson and Curry, 2022) </w:t>
      </w:r>
      <w:r w:rsidRPr="00FB6F69">
        <w:rPr>
          <w:bCs/>
        </w:rPr>
        <w:t>p</w:t>
      </w:r>
      <w:r w:rsidRPr="00BA1A8E">
        <w:rPr>
          <w:bCs/>
        </w:rPr>
        <w:t xml:space="preserve">olicy, which caused the U.S. dollar index to plummet, and the U.S. dollar rose against non-U.S. currencies. In addition, the Australian dollar is a currency with a higher interest rate, and the outside world regards it as a commodity currency, so the exchange rate has risen significantly. However, in </w:t>
      </w:r>
      <w:r w:rsidR="00AC212C">
        <w:rPr>
          <w:bCs/>
        </w:rPr>
        <w:t xml:space="preserve">late </w:t>
      </w:r>
      <w:r w:rsidRPr="00BA1A8E">
        <w:rPr>
          <w:bCs/>
        </w:rPr>
        <w:t>202</w:t>
      </w:r>
      <w:r w:rsidR="00AC212C">
        <w:rPr>
          <w:bCs/>
        </w:rPr>
        <w:t>1</w:t>
      </w:r>
      <w:r w:rsidRPr="00BA1A8E">
        <w:rPr>
          <w:bCs/>
        </w:rPr>
        <w:t xml:space="preserve">, the whole world restart economic activities. The United States </w:t>
      </w:r>
      <w:r w:rsidR="004F47F5">
        <w:rPr>
          <w:bCs/>
        </w:rPr>
        <w:t xml:space="preserve">implemented </w:t>
      </w:r>
      <w:r w:rsidRPr="00BA1A8E">
        <w:rPr>
          <w:bCs/>
        </w:rPr>
        <w:t xml:space="preserve">an intense interest rate hike cycle on the grounds of suppressing inflation. The base point of the interest rate is lower than that of the Federal Reserve, so when the interest rate difference between the two currencies begins and continues to expand, the Australian dollar will further depreciate from AUD/USD 0.73 in November last year to around AUD/USD 0.69 in </w:t>
      </w:r>
      <w:r w:rsidR="00287F0C" w:rsidRPr="00BA1A8E">
        <w:rPr>
          <w:bCs/>
        </w:rPr>
        <w:t>February</w:t>
      </w:r>
      <w:r w:rsidRPr="00BA1A8E">
        <w:rPr>
          <w:bCs/>
        </w:rPr>
        <w:t xml:space="preserve"> 2023</w:t>
      </w:r>
      <w:r w:rsidR="00942A36">
        <w:rPr>
          <w:bCs/>
        </w:rPr>
        <w:t>(</w:t>
      </w:r>
      <w:r w:rsidR="00B84AA6">
        <w:rPr>
          <w:color w:val="222222"/>
          <w:shd w:val="clear" w:color="auto" w:fill="FFFFFF"/>
        </w:rPr>
        <w:t>Google,2023</w:t>
      </w:r>
      <w:r w:rsidR="00942A36">
        <w:rPr>
          <w:bCs/>
        </w:rPr>
        <w:t>)</w:t>
      </w:r>
      <w:r w:rsidRPr="00BA1A8E">
        <w:rPr>
          <w:bCs/>
        </w:rPr>
        <w:t>.</w:t>
      </w:r>
    </w:p>
    <w:p w14:paraId="372E365D" w14:textId="51C60FBA" w:rsidR="00D3381B" w:rsidRPr="00D3381B" w:rsidRDefault="00D3381B" w:rsidP="002E37EA">
      <w:pPr>
        <w:spacing w:before="180" w:line="480" w:lineRule="auto"/>
        <w:rPr>
          <w:bCs/>
        </w:rPr>
      </w:pPr>
      <w:r>
        <w:rPr>
          <w:bCs/>
        </w:rPr>
        <w:tab/>
        <w:t>A</w:t>
      </w:r>
      <w:r w:rsidR="00C326C6">
        <w:rPr>
          <w:bCs/>
        </w:rPr>
        <w:t xml:space="preserve">lthough Hong Kong does not have its monetary policy, </w:t>
      </w:r>
      <w:r>
        <w:rPr>
          <w:bCs/>
          <w:lang w:val="x-none"/>
        </w:rPr>
        <w:t>t</w:t>
      </w:r>
      <w:r>
        <w:rPr>
          <w:bCs/>
        </w:rPr>
        <w:t xml:space="preserve">he exchange rate of Hong Kong dollar </w:t>
      </w:r>
      <w:r w:rsidR="00C326C6">
        <w:rPr>
          <w:bCs/>
        </w:rPr>
        <w:t>remains</w:t>
      </w:r>
      <w:r w:rsidRPr="00D3381B">
        <w:rPr>
          <w:bCs/>
        </w:rPr>
        <w:t xml:space="preserve"> stable </w:t>
      </w:r>
      <w:r w:rsidR="00C326C6">
        <w:rPr>
          <w:bCs/>
        </w:rPr>
        <w:t xml:space="preserve">as </w:t>
      </w:r>
      <w:r w:rsidR="00EC7105">
        <w:rPr>
          <w:bCs/>
        </w:rPr>
        <w:t xml:space="preserve">Link Exchange Rate system </w:t>
      </w:r>
      <w:r w:rsidR="001A59C8">
        <w:rPr>
          <w:bCs/>
        </w:rPr>
        <w:t>(LERS)</w:t>
      </w:r>
      <w:r w:rsidR="00A90CDD">
        <w:rPr>
          <w:bCs/>
        </w:rPr>
        <w:t xml:space="preserve"> </w:t>
      </w:r>
      <w:r w:rsidR="00EC7105">
        <w:rPr>
          <w:bCs/>
        </w:rPr>
        <w:t>(</w:t>
      </w:r>
      <w:r w:rsidR="0030079C">
        <w:rPr>
          <w:bCs/>
        </w:rPr>
        <w:t xml:space="preserve">Hong Kong Monetary, </w:t>
      </w:r>
      <w:r w:rsidR="00EC7105">
        <w:rPr>
          <w:bCs/>
        </w:rPr>
        <w:t xml:space="preserve">2023) </w:t>
      </w:r>
      <w:r w:rsidR="00EC7105">
        <w:rPr>
          <w:bCs/>
        </w:rPr>
        <w:lastRenderedPageBreak/>
        <w:t>has been implemented on 17</w:t>
      </w:r>
      <w:r w:rsidR="00EC7105" w:rsidRPr="00EC7105">
        <w:rPr>
          <w:bCs/>
          <w:vertAlign w:val="superscript"/>
        </w:rPr>
        <w:t>th</w:t>
      </w:r>
      <w:r w:rsidR="00EC7105">
        <w:rPr>
          <w:bCs/>
        </w:rPr>
        <w:t xml:space="preserve"> October, 1983, </w:t>
      </w:r>
      <w:r w:rsidR="00C326C6">
        <w:rPr>
          <w:bCs/>
        </w:rPr>
        <w:t xml:space="preserve">Hong Kong </w:t>
      </w:r>
      <w:r w:rsidR="00C326C6" w:rsidRPr="00EC7105">
        <w:rPr>
          <w:bCs/>
        </w:rPr>
        <w:t xml:space="preserve">dollar </w:t>
      </w:r>
      <w:r w:rsidR="00EC7105" w:rsidRPr="00EC7105">
        <w:rPr>
          <w:bCs/>
        </w:rPr>
        <w:t xml:space="preserve">has linked </w:t>
      </w:r>
      <w:r w:rsidRPr="00EC7105">
        <w:rPr>
          <w:bCs/>
        </w:rPr>
        <w:t>w</w:t>
      </w:r>
      <w:r>
        <w:rPr>
          <w:bCs/>
        </w:rPr>
        <w:t xml:space="preserve">ith the US dollar </w:t>
      </w:r>
      <w:r w:rsidR="00207129">
        <w:rPr>
          <w:bCs/>
        </w:rPr>
        <w:t xml:space="preserve">within a band of exchange rate between HKD7.75 and 7.85 to one US dollar. </w:t>
      </w:r>
      <w:r w:rsidR="001A59C8">
        <w:rPr>
          <w:bCs/>
        </w:rPr>
        <w:t xml:space="preserve">Under LERS, </w:t>
      </w:r>
      <w:r w:rsidR="00F31AE5">
        <w:rPr>
          <w:bCs/>
        </w:rPr>
        <w:t xml:space="preserve">when making use of capital in Hong Kong dollar for investment in Australia, all need to be considered would be the exchange rate of AUD/USD. </w:t>
      </w:r>
      <w:r w:rsidR="00834379">
        <w:rPr>
          <w:bCs/>
        </w:rPr>
        <w:t xml:space="preserve">Considering the comparatively stable exchange rate of AUD/HKD brought up indirectly under LERS, instability of investment return in Australian stock market due </w:t>
      </w:r>
      <w:r w:rsidR="00D50E3D">
        <w:rPr>
          <w:bCs/>
        </w:rPr>
        <w:t>to exchange rate fluctuation can be minimized; only under a circumstance that there is fluctuation</w:t>
      </w:r>
      <w:r w:rsidR="00834379">
        <w:rPr>
          <w:bCs/>
        </w:rPr>
        <w:t xml:space="preserve"> </w:t>
      </w:r>
      <w:r w:rsidR="00D50E3D">
        <w:rPr>
          <w:bCs/>
        </w:rPr>
        <w:t>of AUD/USD, however, as both the US and Australia has got its only monetary policy, they can maintain a relatively stable exchange rate by adjusting their interest rate</w:t>
      </w:r>
      <w:r w:rsidR="006846B9">
        <w:rPr>
          <w:bCs/>
        </w:rPr>
        <w:t xml:space="preserve"> on their own.</w:t>
      </w:r>
    </w:p>
    <w:p w14:paraId="42EE199E" w14:textId="48C9A09C" w:rsidR="00281F6E" w:rsidRPr="00C358E9" w:rsidRDefault="00281F6E" w:rsidP="00DD79F6">
      <w:pPr>
        <w:adjustRightInd w:val="0"/>
        <w:snapToGrid w:val="0"/>
        <w:spacing w:before="180" w:line="360" w:lineRule="auto"/>
        <w:rPr>
          <w:b/>
          <w:bCs/>
          <w:sz w:val="26"/>
        </w:rPr>
      </w:pPr>
    </w:p>
    <w:p w14:paraId="0ECB3703" w14:textId="32EAD2B5" w:rsidR="00806C45" w:rsidRPr="00C358E9" w:rsidRDefault="00FF45EB" w:rsidP="00DD79F6">
      <w:pPr>
        <w:adjustRightInd w:val="0"/>
        <w:snapToGrid w:val="0"/>
        <w:spacing w:before="180" w:line="360" w:lineRule="auto"/>
        <w:jc w:val="both"/>
        <w:rPr>
          <w:b/>
          <w:bCs/>
          <w:sz w:val="26"/>
        </w:rPr>
      </w:pPr>
      <w:proofErr w:type="gramStart"/>
      <w:r w:rsidRPr="00C358E9">
        <w:rPr>
          <w:b/>
          <w:bCs/>
          <w:sz w:val="26"/>
        </w:rPr>
        <w:t>5</w:t>
      </w:r>
      <w:r w:rsidR="00806C45" w:rsidRPr="00C358E9">
        <w:rPr>
          <w:b/>
          <w:bCs/>
          <w:sz w:val="26"/>
        </w:rPr>
        <w:t xml:space="preserve">  Conclusion</w:t>
      </w:r>
      <w:proofErr w:type="gramEnd"/>
      <w:r w:rsidR="00806C45" w:rsidRPr="00C358E9">
        <w:rPr>
          <w:b/>
          <w:bCs/>
          <w:sz w:val="26"/>
        </w:rPr>
        <w:t xml:space="preserve"> and recommendation</w:t>
      </w:r>
      <w:r w:rsidR="00A74548" w:rsidRPr="00C358E9">
        <w:rPr>
          <w:b/>
          <w:bCs/>
          <w:sz w:val="26"/>
        </w:rPr>
        <w:t>s</w:t>
      </w:r>
      <w:r w:rsidR="007D2E62" w:rsidRPr="00C358E9">
        <w:rPr>
          <w:b/>
          <w:bCs/>
          <w:sz w:val="26"/>
        </w:rPr>
        <w:t xml:space="preserve"> </w:t>
      </w:r>
    </w:p>
    <w:p w14:paraId="52C36C25" w14:textId="09B15F05" w:rsidR="00806C45" w:rsidRPr="00C358E9" w:rsidRDefault="00FF45EB" w:rsidP="00DD79F6">
      <w:pPr>
        <w:adjustRightInd w:val="0"/>
        <w:snapToGrid w:val="0"/>
        <w:spacing w:before="180" w:line="360" w:lineRule="auto"/>
        <w:jc w:val="both"/>
        <w:rPr>
          <w:b/>
          <w:bCs/>
        </w:rPr>
      </w:pPr>
      <w:r w:rsidRPr="00C358E9">
        <w:rPr>
          <w:b/>
          <w:bCs/>
        </w:rPr>
        <w:t>5</w:t>
      </w:r>
      <w:r w:rsidR="00806C45" w:rsidRPr="00C358E9">
        <w:rPr>
          <w:b/>
          <w:bCs/>
        </w:rPr>
        <w:t>.1</w:t>
      </w:r>
      <w:r w:rsidR="00806C45" w:rsidRPr="00C358E9">
        <w:rPr>
          <w:b/>
          <w:bCs/>
        </w:rPr>
        <w:tab/>
        <w:t>Conclusion</w:t>
      </w:r>
      <w:r w:rsidR="007D2E62" w:rsidRPr="00C358E9">
        <w:rPr>
          <w:b/>
          <w:bCs/>
        </w:rPr>
        <w:t xml:space="preserve"> </w:t>
      </w:r>
    </w:p>
    <w:p w14:paraId="4E37F791" w14:textId="496FF42D" w:rsidR="00011846" w:rsidRPr="00A90CDD" w:rsidRDefault="00441FB5" w:rsidP="00011846">
      <w:pPr>
        <w:adjustRightInd w:val="0"/>
        <w:snapToGrid w:val="0"/>
        <w:spacing w:before="180" w:line="480" w:lineRule="auto"/>
        <w:jc w:val="both"/>
        <w:rPr>
          <w:bCs/>
          <w:color w:val="000000" w:themeColor="text1"/>
        </w:rPr>
      </w:pPr>
      <w:r w:rsidRPr="00836F7B">
        <w:rPr>
          <w:bCs/>
          <w:color w:val="000000" w:themeColor="text1"/>
        </w:rPr>
        <w:t>This came to the conclusion on whether the Australia stock market (</w:t>
      </w:r>
      <w:proofErr w:type="gramStart"/>
      <w:r w:rsidRPr="00836F7B">
        <w:rPr>
          <w:bCs/>
          <w:color w:val="000000" w:themeColor="text1"/>
        </w:rPr>
        <w:t>i.e.</w:t>
      </w:r>
      <w:proofErr w:type="gramEnd"/>
      <w:r w:rsidRPr="00836F7B">
        <w:rPr>
          <w:bCs/>
          <w:color w:val="000000" w:themeColor="text1"/>
        </w:rPr>
        <w:t xml:space="preserve"> ASX200)</w:t>
      </w:r>
      <w:r w:rsidR="00043011" w:rsidRPr="00836F7B">
        <w:rPr>
          <w:bCs/>
          <w:color w:val="000000" w:themeColor="text1"/>
        </w:rPr>
        <w:t xml:space="preserve"> is a suitable new stock markets for the company to invests in</w:t>
      </w:r>
      <w:r w:rsidR="00836F7B">
        <w:rPr>
          <w:bCs/>
          <w:color w:val="000000" w:themeColor="text1"/>
        </w:rPr>
        <w:t xml:space="preserve"> or not. From computing the total return, price </w:t>
      </w:r>
      <w:r w:rsidR="00B17F8C">
        <w:rPr>
          <w:bCs/>
          <w:color w:val="000000" w:themeColor="text1"/>
        </w:rPr>
        <w:t>return</w:t>
      </w:r>
      <w:r w:rsidR="00836F7B">
        <w:rPr>
          <w:bCs/>
          <w:color w:val="000000" w:themeColor="text1"/>
        </w:rPr>
        <w:t>, income return and expected return and its expected risk. ASX200 has</w:t>
      </w:r>
      <w:r w:rsidR="00D023BD">
        <w:rPr>
          <w:bCs/>
          <w:color w:val="000000" w:themeColor="text1"/>
        </w:rPr>
        <w:t xml:space="preserve"> all these </w:t>
      </w:r>
      <w:r w:rsidR="00357CF4">
        <w:rPr>
          <w:bCs/>
          <w:color w:val="000000" w:themeColor="text1"/>
        </w:rPr>
        <w:t>aspects performed</w:t>
      </w:r>
      <w:r w:rsidR="00D023BD">
        <w:rPr>
          <w:bCs/>
          <w:color w:val="000000" w:themeColor="text1"/>
        </w:rPr>
        <w:t xml:space="preserve"> </w:t>
      </w:r>
      <w:r w:rsidR="00836F7B">
        <w:rPr>
          <w:bCs/>
          <w:color w:val="000000" w:themeColor="text1"/>
        </w:rPr>
        <w:t xml:space="preserve">better than that of HSI, and interesting to found that </w:t>
      </w:r>
      <w:r w:rsidR="00983D52">
        <w:rPr>
          <w:bCs/>
          <w:color w:val="000000" w:themeColor="text1"/>
        </w:rPr>
        <w:t xml:space="preserve">the ASX200 and HSI in the recent year </w:t>
      </w:r>
      <w:r w:rsidR="00307D94">
        <w:rPr>
          <w:bCs/>
          <w:color w:val="000000" w:themeColor="text1"/>
        </w:rPr>
        <w:t xml:space="preserve">since 2019 </w:t>
      </w:r>
      <w:r w:rsidR="00983D52">
        <w:rPr>
          <w:bCs/>
          <w:color w:val="000000" w:themeColor="text1"/>
        </w:rPr>
        <w:t>has got the inverse correlation in terms of correlation coefficient</w:t>
      </w:r>
      <w:r w:rsidR="00307D94">
        <w:rPr>
          <w:bCs/>
          <w:color w:val="000000" w:themeColor="text1"/>
        </w:rPr>
        <w:t xml:space="preserve">, although the past 30 years both of the indices has got the very high correlation, there would be change </w:t>
      </w:r>
      <w:r w:rsidR="000F4BF5">
        <w:rPr>
          <w:bCs/>
          <w:color w:val="000000" w:themeColor="text1"/>
        </w:rPr>
        <w:t xml:space="preserve">and it will create an opportunity for a company which would like to explore to a new </w:t>
      </w:r>
      <w:r w:rsidR="000F4BF5">
        <w:rPr>
          <w:bCs/>
          <w:color w:val="000000" w:themeColor="text1"/>
        </w:rPr>
        <w:lastRenderedPageBreak/>
        <w:t>market.</w:t>
      </w:r>
      <w:r w:rsidR="00D023BD">
        <w:rPr>
          <w:bCs/>
          <w:color w:val="000000" w:themeColor="text1"/>
        </w:rPr>
        <w:t xml:space="preserve"> Moreover, the positive real GDP growth </w:t>
      </w:r>
      <w:r w:rsidR="00357CF4">
        <w:rPr>
          <w:bCs/>
          <w:color w:val="000000" w:themeColor="text1"/>
        </w:rPr>
        <w:t xml:space="preserve">of Australia since year 2020 and in contrast, Hong Kong has been suffering the negative growth of GDP signify that HSI would have a performance weaker that the ASX200. </w:t>
      </w:r>
      <w:r w:rsidR="005830B0">
        <w:rPr>
          <w:bCs/>
          <w:color w:val="000000" w:themeColor="text1"/>
        </w:rPr>
        <w:t>But one point should be taken into account is that the interest rate parity (IRP)</w:t>
      </w:r>
      <w:r w:rsidR="00011846">
        <w:rPr>
          <w:bCs/>
          <w:color w:val="000000" w:themeColor="text1"/>
        </w:rPr>
        <w:t xml:space="preserve"> effect</w:t>
      </w:r>
      <w:r w:rsidR="005830B0">
        <w:rPr>
          <w:bCs/>
          <w:color w:val="000000" w:themeColor="text1"/>
        </w:rPr>
        <w:t xml:space="preserve"> </w:t>
      </w:r>
      <w:r w:rsidR="00011846">
        <w:rPr>
          <w:bCs/>
          <w:color w:val="000000" w:themeColor="text1"/>
        </w:rPr>
        <w:t xml:space="preserve">between the AUD and HKD </w:t>
      </w:r>
      <w:r w:rsidR="00620A7D">
        <w:rPr>
          <w:bCs/>
          <w:color w:val="000000" w:themeColor="text1"/>
        </w:rPr>
        <w:t>would</w:t>
      </w:r>
      <w:r w:rsidR="00011846">
        <w:rPr>
          <w:bCs/>
          <w:color w:val="000000" w:themeColor="text1"/>
        </w:rPr>
        <w:t xml:space="preserve"> positively affect the reward of AUD asset as the Reserve Bank of Australia would follow the US Federal Reserve Bank to</w:t>
      </w:r>
    </w:p>
    <w:p w14:paraId="3BA65DE5" w14:textId="028971B3" w:rsidR="00806C45" w:rsidRDefault="00011846" w:rsidP="00943F73">
      <w:pPr>
        <w:adjustRightInd w:val="0"/>
        <w:snapToGrid w:val="0"/>
        <w:spacing w:before="180" w:line="480" w:lineRule="auto"/>
        <w:jc w:val="both"/>
        <w:rPr>
          <w:bCs/>
          <w:color w:val="000000" w:themeColor="text1"/>
        </w:rPr>
      </w:pPr>
      <w:r>
        <w:rPr>
          <w:bCs/>
          <w:color w:val="000000" w:themeColor="text1"/>
        </w:rPr>
        <w:t xml:space="preserve">raise its </w:t>
      </w:r>
      <w:r w:rsidR="001C1D9B">
        <w:rPr>
          <w:bCs/>
          <w:color w:val="000000" w:themeColor="text1"/>
        </w:rPr>
        <w:t xml:space="preserve">Cash </w:t>
      </w:r>
      <w:r w:rsidR="00D07BC8">
        <w:rPr>
          <w:bCs/>
          <w:color w:val="000000" w:themeColor="text1"/>
        </w:rPr>
        <w:t>R</w:t>
      </w:r>
      <w:r w:rsidR="001C1D9B">
        <w:rPr>
          <w:bCs/>
          <w:color w:val="000000" w:themeColor="text1"/>
        </w:rPr>
        <w:t xml:space="preserve">ate Target (Reserve Bank of Australia, 2023) </w:t>
      </w:r>
      <w:r>
        <w:rPr>
          <w:bCs/>
          <w:color w:val="000000" w:themeColor="text1"/>
        </w:rPr>
        <w:t xml:space="preserve">and </w:t>
      </w:r>
      <w:r w:rsidR="005344BB">
        <w:rPr>
          <w:bCs/>
          <w:color w:val="000000" w:themeColor="text1"/>
        </w:rPr>
        <w:t xml:space="preserve">assuming </w:t>
      </w:r>
      <w:r>
        <w:rPr>
          <w:bCs/>
          <w:color w:val="000000" w:themeColor="text1"/>
        </w:rPr>
        <w:t xml:space="preserve">Hong Kong would not adjust its Base Rate (Hong Kong Monetary </w:t>
      </w:r>
      <w:r w:rsidR="00F7397B">
        <w:rPr>
          <w:bCs/>
          <w:color w:val="000000" w:themeColor="text1"/>
        </w:rPr>
        <w:t>Authority</w:t>
      </w:r>
      <w:r>
        <w:rPr>
          <w:bCs/>
          <w:color w:val="000000" w:themeColor="text1"/>
        </w:rPr>
        <w:t>, 2020)</w:t>
      </w:r>
      <w:r w:rsidR="005344BB">
        <w:rPr>
          <w:bCs/>
          <w:color w:val="000000" w:themeColor="text1"/>
        </w:rPr>
        <w:t>, the interest spread would be widen and more capital would move out of the H</w:t>
      </w:r>
      <w:r w:rsidR="005344BB" w:rsidRPr="005344BB">
        <w:rPr>
          <w:bCs/>
          <w:color w:val="000000" w:themeColor="text1"/>
        </w:rPr>
        <w:t xml:space="preserve">ong </w:t>
      </w:r>
      <w:r w:rsidR="005344BB">
        <w:rPr>
          <w:bCs/>
          <w:color w:val="000000" w:themeColor="text1"/>
        </w:rPr>
        <w:t xml:space="preserve">Kong, consequently </w:t>
      </w:r>
      <w:r w:rsidR="00620A7D">
        <w:rPr>
          <w:bCs/>
          <w:color w:val="000000" w:themeColor="text1"/>
        </w:rPr>
        <w:t>HSI can hardly sustain its current performance</w:t>
      </w:r>
      <w:r w:rsidR="005344BB">
        <w:rPr>
          <w:bCs/>
          <w:color w:val="000000" w:themeColor="text1"/>
        </w:rPr>
        <w:t>.</w:t>
      </w:r>
      <w:r w:rsidR="005344BB" w:rsidRPr="005344BB">
        <w:rPr>
          <w:bCs/>
          <w:color w:val="000000" w:themeColor="text1"/>
        </w:rPr>
        <w:t xml:space="preserve"> </w:t>
      </w:r>
    </w:p>
    <w:p w14:paraId="595E82BB" w14:textId="77777777" w:rsidR="00D31075" w:rsidRPr="005344BB" w:rsidRDefault="00D31075" w:rsidP="00943F73">
      <w:pPr>
        <w:adjustRightInd w:val="0"/>
        <w:snapToGrid w:val="0"/>
        <w:spacing w:before="180" w:line="480" w:lineRule="auto"/>
        <w:jc w:val="both"/>
        <w:rPr>
          <w:bCs/>
          <w:color w:val="000000" w:themeColor="text1"/>
        </w:rPr>
      </w:pPr>
    </w:p>
    <w:p w14:paraId="786CDC80" w14:textId="5939127F" w:rsidR="00806C45" w:rsidRPr="00C358E9" w:rsidRDefault="00FF45EB" w:rsidP="00DD79F6">
      <w:pPr>
        <w:adjustRightInd w:val="0"/>
        <w:snapToGrid w:val="0"/>
        <w:spacing w:before="180" w:line="360" w:lineRule="auto"/>
        <w:jc w:val="both"/>
        <w:rPr>
          <w:b/>
          <w:bCs/>
        </w:rPr>
      </w:pPr>
      <w:r w:rsidRPr="00C358E9">
        <w:rPr>
          <w:b/>
          <w:bCs/>
        </w:rPr>
        <w:t>5</w:t>
      </w:r>
      <w:r w:rsidR="00806C45" w:rsidRPr="00C358E9">
        <w:rPr>
          <w:b/>
          <w:bCs/>
        </w:rPr>
        <w:t>.2</w:t>
      </w:r>
      <w:r w:rsidR="00806C45" w:rsidRPr="00C358E9">
        <w:rPr>
          <w:b/>
          <w:bCs/>
        </w:rPr>
        <w:tab/>
        <w:t>Recommendation</w:t>
      </w:r>
      <w:r w:rsidR="00A74548" w:rsidRPr="00C358E9">
        <w:rPr>
          <w:b/>
          <w:bCs/>
        </w:rPr>
        <w:t>s</w:t>
      </w:r>
      <w:r w:rsidR="007D2E62" w:rsidRPr="00C358E9">
        <w:rPr>
          <w:b/>
          <w:bCs/>
        </w:rPr>
        <w:t xml:space="preserve"> </w:t>
      </w:r>
    </w:p>
    <w:p w14:paraId="45F1E017" w14:textId="65F990D8" w:rsidR="00806C45" w:rsidRPr="00DA77D0" w:rsidRDefault="00E22321" w:rsidP="00DA77D0">
      <w:pPr>
        <w:adjustRightInd w:val="0"/>
        <w:snapToGrid w:val="0"/>
        <w:spacing w:before="180" w:line="480" w:lineRule="auto"/>
        <w:jc w:val="both"/>
        <w:rPr>
          <w:bCs/>
          <w:color w:val="000000" w:themeColor="text1"/>
        </w:rPr>
      </w:pPr>
      <w:r>
        <w:rPr>
          <w:bCs/>
          <w:color w:val="000000" w:themeColor="text1"/>
        </w:rPr>
        <w:t xml:space="preserve">Considering </w:t>
      </w:r>
      <w:r w:rsidR="00CE0098" w:rsidRPr="00F65BB5">
        <w:rPr>
          <w:bCs/>
          <w:color w:val="000000" w:themeColor="text1"/>
        </w:rPr>
        <w:t xml:space="preserve">the </w:t>
      </w:r>
      <w:r w:rsidR="005830B0" w:rsidRPr="00F65BB5">
        <w:rPr>
          <w:bCs/>
          <w:color w:val="000000" w:themeColor="text1"/>
        </w:rPr>
        <w:t xml:space="preserve">moving </w:t>
      </w:r>
      <w:r w:rsidR="00CE0098" w:rsidRPr="00F65BB5">
        <w:rPr>
          <w:bCs/>
          <w:color w:val="000000" w:themeColor="text1"/>
        </w:rPr>
        <w:t>tren</w:t>
      </w:r>
      <w:r w:rsidR="005830B0" w:rsidRPr="00F65BB5">
        <w:rPr>
          <w:bCs/>
          <w:color w:val="000000" w:themeColor="text1"/>
        </w:rPr>
        <w:t xml:space="preserve">d, the expected return and the expected risk of both the ASX200 and HSI, and </w:t>
      </w:r>
      <w:r w:rsidR="001C1D9B" w:rsidRPr="00F65BB5">
        <w:rPr>
          <w:bCs/>
          <w:color w:val="000000" w:themeColor="text1"/>
        </w:rPr>
        <w:t xml:space="preserve">considered the how the </w:t>
      </w:r>
      <w:r w:rsidR="00943F73" w:rsidRPr="00F65BB5">
        <w:rPr>
          <w:bCs/>
          <w:color w:val="000000" w:themeColor="text1"/>
        </w:rPr>
        <w:t xml:space="preserve">direction of </w:t>
      </w:r>
      <w:r w:rsidR="001C1D9B" w:rsidRPr="00F65BB5">
        <w:rPr>
          <w:bCs/>
          <w:color w:val="000000" w:themeColor="text1"/>
        </w:rPr>
        <w:t>interes</w:t>
      </w:r>
      <w:r w:rsidR="00943F73" w:rsidRPr="00F65BB5">
        <w:rPr>
          <w:bCs/>
          <w:color w:val="000000" w:themeColor="text1"/>
        </w:rPr>
        <w:t>t rate of Australia and Hong Kong would move. It is suggest</w:t>
      </w:r>
      <w:r w:rsidR="006F3315" w:rsidRPr="00F65BB5">
        <w:rPr>
          <w:bCs/>
          <w:color w:val="000000" w:themeColor="text1"/>
        </w:rPr>
        <w:t>ed</w:t>
      </w:r>
      <w:r w:rsidR="00943F73" w:rsidRPr="00F65BB5">
        <w:rPr>
          <w:bCs/>
          <w:color w:val="000000" w:themeColor="text1"/>
        </w:rPr>
        <w:t xml:space="preserve"> that currently this moment is the time to invest in Australian Dollars and invest in the ASX200 constituent stocks when the </w:t>
      </w:r>
      <w:r w:rsidR="00BE7C85" w:rsidRPr="00F65BB5">
        <w:rPr>
          <w:bCs/>
          <w:color w:val="000000" w:themeColor="text1"/>
        </w:rPr>
        <w:t>momentum of increase of interest rate of Australia started slowing down which would create the opportunity to purchase the ASX200 constituent stock with a comparatively lower price.</w:t>
      </w:r>
      <w:r w:rsidR="00B478C7" w:rsidRPr="00F65BB5">
        <w:rPr>
          <w:bCs/>
          <w:color w:val="000000" w:themeColor="text1"/>
        </w:rPr>
        <w:t xml:space="preserve"> However, there would be a number of uncertainties that whether of Hong Kong would raise up its Base Rate which would eventually narrow down the interest spread of AUD and HKD., and whether the moment to rate the Base Rate is optimum as Hong Kong is currently facing the negative growth of GDP and increase of Base Rate would make even make the cost of lending higher and aggravate the business </w:t>
      </w:r>
      <w:r w:rsidR="00B478C7" w:rsidRPr="00F65BB5">
        <w:rPr>
          <w:bCs/>
          <w:color w:val="000000" w:themeColor="text1"/>
        </w:rPr>
        <w:lastRenderedPageBreak/>
        <w:t xml:space="preserve">environment and consequently impact the performance of HSI. </w:t>
      </w:r>
      <w:r w:rsidR="00A811AE">
        <w:rPr>
          <w:bCs/>
          <w:color w:val="000000" w:themeColor="text1"/>
        </w:rPr>
        <w:t>For the portion of how much could be invest in the ASX200, it is suggested to maintain 15% of bank deposit as same portion as before the outbreak of Covid-19 pandemic., and the “idle” 15% portion of bank deposit could be invest to the ASX. Such investment plan could be maintained for 3 to 5 years that usually the recovery period usually last for 5 years and strategy would be reviewed again.</w:t>
      </w:r>
    </w:p>
    <w:p w14:paraId="06D319AB" w14:textId="59F3DEEE" w:rsidR="00B715C2" w:rsidRPr="00B715C2" w:rsidRDefault="00501F33" w:rsidP="007A190F">
      <w:pPr>
        <w:adjustRightInd w:val="0"/>
        <w:snapToGrid w:val="0"/>
        <w:spacing w:before="180" w:line="360" w:lineRule="auto"/>
        <w:jc w:val="both"/>
        <w:rPr>
          <w:b/>
          <w:bCs/>
          <w:color w:val="0000CC"/>
          <w:sz w:val="26"/>
        </w:rPr>
      </w:pPr>
      <w:r w:rsidRPr="00C358E9">
        <w:rPr>
          <w:b/>
          <w:bCs/>
          <w:sz w:val="26"/>
        </w:rPr>
        <w:br w:type="page"/>
      </w:r>
      <w:r w:rsidR="00BD439E" w:rsidRPr="00C358E9">
        <w:rPr>
          <w:b/>
          <w:bCs/>
          <w:sz w:val="26"/>
        </w:rPr>
        <w:lastRenderedPageBreak/>
        <w:t>References</w:t>
      </w:r>
      <w:r w:rsidR="001F3715" w:rsidRPr="00C358E9">
        <w:rPr>
          <w:b/>
          <w:bCs/>
          <w:color w:val="0000CC"/>
          <w:sz w:val="26"/>
        </w:rPr>
        <w:t xml:space="preserve"> </w:t>
      </w:r>
      <w:r w:rsidR="007D2E62" w:rsidRPr="00C358E9">
        <w:rPr>
          <w:b/>
          <w:bCs/>
          <w:color w:val="0000CC"/>
          <w:sz w:val="26"/>
        </w:rPr>
        <w:t xml:space="preserve"> </w:t>
      </w:r>
    </w:p>
    <w:p w14:paraId="6FB7F6A0" w14:textId="77777777" w:rsidR="00B715C2" w:rsidRPr="005C38FC" w:rsidRDefault="00B715C2" w:rsidP="00B715C2">
      <w:pPr>
        <w:adjustRightInd w:val="0"/>
        <w:snapToGrid w:val="0"/>
        <w:spacing w:before="180"/>
        <w:ind w:left="480" w:hangingChars="200" w:hanging="480"/>
        <w:jc w:val="both"/>
        <w:rPr>
          <w:color w:val="222222"/>
          <w:shd w:val="clear" w:color="auto" w:fill="FFFFFF"/>
        </w:rPr>
      </w:pPr>
      <w:proofErr w:type="spellStart"/>
      <w:r>
        <w:rPr>
          <w:color w:val="222222"/>
          <w:shd w:val="clear" w:color="auto" w:fill="FFFFFF"/>
        </w:rPr>
        <w:t>A</w:t>
      </w:r>
      <w:r w:rsidRPr="005C38FC">
        <w:rPr>
          <w:color w:val="222222"/>
          <w:shd w:val="clear" w:color="auto" w:fill="FFFFFF"/>
        </w:rPr>
        <w:t>mundi</w:t>
      </w:r>
      <w:proofErr w:type="spellEnd"/>
      <w:r w:rsidRPr="005C38FC">
        <w:rPr>
          <w:color w:val="222222"/>
          <w:shd w:val="clear" w:color="auto" w:fill="FFFFFF"/>
        </w:rPr>
        <w:t xml:space="preserve"> (2022), </w:t>
      </w:r>
      <w:r w:rsidRPr="00647FF6">
        <w:rPr>
          <w:i/>
          <w:iCs/>
          <w:color w:val="222222"/>
          <w:shd w:val="clear" w:color="auto" w:fill="FFFFFF"/>
        </w:rPr>
        <w:t>2021 Integrated Annual report.</w:t>
      </w:r>
    </w:p>
    <w:p w14:paraId="7F7D40A5" w14:textId="77777777" w:rsidR="00B715C2" w:rsidRPr="005C38FC" w:rsidRDefault="00B715C2" w:rsidP="00B715C2">
      <w:pPr>
        <w:adjustRightInd w:val="0"/>
        <w:snapToGrid w:val="0"/>
        <w:spacing w:before="180"/>
        <w:ind w:left="480" w:hangingChars="200" w:hanging="480"/>
        <w:jc w:val="both"/>
        <w:rPr>
          <w:color w:val="222222"/>
          <w:shd w:val="clear" w:color="auto" w:fill="FFFFFF"/>
        </w:rPr>
      </w:pPr>
      <w:r w:rsidRPr="005C38FC">
        <w:rPr>
          <w:color w:val="222222"/>
          <w:shd w:val="clear" w:color="auto" w:fill="FFFFFF"/>
        </w:rPr>
        <w:t xml:space="preserve">Available at </w:t>
      </w:r>
    </w:p>
    <w:p w14:paraId="03260922" w14:textId="77777777" w:rsidR="00B715C2" w:rsidRPr="00F00A2B" w:rsidRDefault="00000000" w:rsidP="00B715C2">
      <w:pPr>
        <w:adjustRightInd w:val="0"/>
        <w:snapToGrid w:val="0"/>
        <w:spacing w:before="180"/>
        <w:ind w:left="480" w:hangingChars="200" w:hanging="480"/>
        <w:jc w:val="both"/>
        <w:rPr>
          <w:rFonts w:ascii="新細明體" w:eastAsia="新細明體" w:hAnsi="新細明體" w:cs="新細明體"/>
          <w:color w:val="000000" w:themeColor="text1"/>
          <w:shd w:val="clear" w:color="auto" w:fill="FFFFFF"/>
        </w:rPr>
      </w:pPr>
      <w:hyperlink r:id="rId18" w:history="1">
        <w:r w:rsidR="00B715C2" w:rsidRPr="00624564">
          <w:rPr>
            <w:color w:val="222222"/>
          </w:rPr>
          <w:t>https://integratedreport.amundi.com/wp-content/uploads/2022/06/AMUNDI_RA_2021_EN_01.pdf</w:t>
        </w:r>
      </w:hyperlink>
    </w:p>
    <w:p w14:paraId="65391552" w14:textId="77777777" w:rsidR="00B715C2" w:rsidRPr="00BA1C28" w:rsidRDefault="00B715C2" w:rsidP="00B715C2">
      <w:pPr>
        <w:adjustRightInd w:val="0"/>
        <w:snapToGrid w:val="0"/>
        <w:spacing w:before="180"/>
        <w:ind w:left="480" w:hangingChars="200" w:hanging="480"/>
        <w:jc w:val="both"/>
        <w:rPr>
          <w:color w:val="222222"/>
          <w:shd w:val="clear" w:color="auto" w:fill="FFFFFF"/>
        </w:rPr>
      </w:pPr>
      <w:r w:rsidRPr="00C358E9">
        <w:rPr>
          <w:color w:val="222222"/>
          <w:shd w:val="clear" w:color="auto" w:fill="FFFFFF"/>
        </w:rPr>
        <w:t xml:space="preserve">[Accessed </w:t>
      </w:r>
      <w:r>
        <w:rPr>
          <w:color w:val="222222"/>
          <w:shd w:val="clear" w:color="auto" w:fill="FFFFFF"/>
        </w:rPr>
        <w:t>25</w:t>
      </w:r>
      <w:r w:rsidRPr="00C358E9">
        <w:rPr>
          <w:color w:val="222222"/>
          <w:shd w:val="clear" w:color="auto" w:fill="FFFFFF"/>
        </w:rPr>
        <w:t xml:space="preserve"> January 202</w:t>
      </w:r>
      <w:r>
        <w:rPr>
          <w:color w:val="222222"/>
          <w:shd w:val="clear" w:color="auto" w:fill="FFFFFF"/>
        </w:rPr>
        <w:t>3</w:t>
      </w:r>
      <w:r w:rsidRPr="00C358E9">
        <w:rPr>
          <w:color w:val="222222"/>
          <w:shd w:val="clear" w:color="auto" w:fill="FFFFFF"/>
        </w:rPr>
        <w:t>]</w:t>
      </w:r>
    </w:p>
    <w:p w14:paraId="79132D26" w14:textId="77777777" w:rsidR="00B715C2" w:rsidRDefault="00B715C2" w:rsidP="007A190F">
      <w:pPr>
        <w:adjustRightInd w:val="0"/>
        <w:snapToGrid w:val="0"/>
        <w:spacing w:before="180" w:line="360" w:lineRule="auto"/>
        <w:jc w:val="both"/>
        <w:rPr>
          <w:bCs/>
        </w:rPr>
      </w:pPr>
    </w:p>
    <w:p w14:paraId="29A417EC" w14:textId="6B8C73FC" w:rsidR="00775D8D" w:rsidRPr="00067138" w:rsidRDefault="00775D8D" w:rsidP="007A190F">
      <w:pPr>
        <w:adjustRightInd w:val="0"/>
        <w:snapToGrid w:val="0"/>
        <w:spacing w:before="180" w:line="360" w:lineRule="auto"/>
        <w:jc w:val="both"/>
        <w:rPr>
          <w:b/>
          <w:bCs/>
          <w:color w:val="0000CC"/>
          <w:sz w:val="26"/>
        </w:rPr>
      </w:pPr>
      <w:proofErr w:type="spellStart"/>
      <w:r w:rsidRPr="00860495">
        <w:rPr>
          <w:bCs/>
        </w:rPr>
        <w:t>Autorité</w:t>
      </w:r>
      <w:proofErr w:type="spellEnd"/>
      <w:r w:rsidRPr="00860495">
        <w:rPr>
          <w:bCs/>
        </w:rPr>
        <w:t xml:space="preserve"> des </w:t>
      </w:r>
      <w:proofErr w:type="spellStart"/>
      <w:r w:rsidRPr="00860495">
        <w:rPr>
          <w:bCs/>
        </w:rPr>
        <w:t>Marchés</w:t>
      </w:r>
      <w:proofErr w:type="spellEnd"/>
      <w:r w:rsidRPr="00860495">
        <w:rPr>
          <w:bCs/>
        </w:rPr>
        <w:t xml:space="preserve"> Financiers</w:t>
      </w:r>
      <w:r w:rsidR="00067138">
        <w:rPr>
          <w:bCs/>
        </w:rPr>
        <w:t xml:space="preserve">, 2022, </w:t>
      </w:r>
      <w:r w:rsidR="00067138" w:rsidRPr="00067138">
        <w:rPr>
          <w:bCs/>
          <w:i/>
          <w:iCs/>
        </w:rPr>
        <w:t xml:space="preserve">Management companies </w:t>
      </w:r>
    </w:p>
    <w:p w14:paraId="230989EE" w14:textId="1D3E8DB2" w:rsidR="00775D8D" w:rsidRPr="00CD73BC" w:rsidRDefault="00CD73BC" w:rsidP="007A190F">
      <w:pPr>
        <w:adjustRightInd w:val="0"/>
        <w:snapToGrid w:val="0"/>
        <w:spacing w:before="180" w:line="360" w:lineRule="auto"/>
        <w:jc w:val="both"/>
        <w:rPr>
          <w:color w:val="000000" w:themeColor="text1"/>
        </w:rPr>
      </w:pPr>
      <w:r>
        <w:rPr>
          <w:color w:val="000000" w:themeColor="text1"/>
        </w:rPr>
        <w:t xml:space="preserve">Available at </w:t>
      </w:r>
      <w:hyperlink r:id="rId19" w:history="1">
        <w:r w:rsidR="00E73A2E" w:rsidRPr="00E73A2E">
          <w:rPr>
            <w:rStyle w:val="af3"/>
            <w:bCs/>
            <w:color w:val="000000" w:themeColor="text1"/>
          </w:rPr>
          <w:t>https://www.amf-france.org/en/professionals/management-companies/my-management-companies-space</w:t>
        </w:r>
      </w:hyperlink>
    </w:p>
    <w:p w14:paraId="15A8368B" w14:textId="77777777" w:rsidR="00067138" w:rsidRPr="00F00A2B" w:rsidRDefault="00067138" w:rsidP="00067138">
      <w:pPr>
        <w:adjustRightInd w:val="0"/>
        <w:snapToGrid w:val="0"/>
        <w:spacing w:before="180"/>
        <w:ind w:left="480" w:hangingChars="200" w:hanging="480"/>
        <w:jc w:val="both"/>
        <w:rPr>
          <w:color w:val="000000" w:themeColor="text1"/>
          <w:shd w:val="clear" w:color="auto" w:fill="FFFFFF"/>
        </w:rPr>
      </w:pPr>
      <w:r w:rsidRPr="00F00A2B">
        <w:rPr>
          <w:color w:val="000000" w:themeColor="text1"/>
          <w:shd w:val="clear" w:color="auto" w:fill="FFFFFF"/>
        </w:rPr>
        <w:t xml:space="preserve">[Accessed </w:t>
      </w:r>
      <w:r>
        <w:rPr>
          <w:color w:val="000000" w:themeColor="text1"/>
          <w:shd w:val="clear" w:color="auto" w:fill="FFFFFF"/>
        </w:rPr>
        <w:t>18</w:t>
      </w:r>
      <w:r w:rsidRPr="00F00A2B">
        <w:rPr>
          <w:color w:val="000000" w:themeColor="text1"/>
          <w:shd w:val="clear" w:color="auto" w:fill="FFFFFF"/>
        </w:rPr>
        <w:t xml:space="preserve"> </w:t>
      </w:r>
      <w:r>
        <w:rPr>
          <w:color w:val="000000" w:themeColor="text1"/>
          <w:shd w:val="clear" w:color="auto" w:fill="FFFFFF"/>
        </w:rPr>
        <w:t>December</w:t>
      </w:r>
      <w:r w:rsidRPr="00F00A2B">
        <w:rPr>
          <w:color w:val="000000" w:themeColor="text1"/>
          <w:shd w:val="clear" w:color="auto" w:fill="FFFFFF"/>
        </w:rPr>
        <w:t xml:space="preserve"> 202</w:t>
      </w:r>
      <w:r>
        <w:rPr>
          <w:color w:val="000000" w:themeColor="text1"/>
          <w:shd w:val="clear" w:color="auto" w:fill="FFFFFF"/>
        </w:rPr>
        <w:t>2</w:t>
      </w:r>
      <w:r w:rsidRPr="00F00A2B">
        <w:rPr>
          <w:color w:val="000000" w:themeColor="text1"/>
          <w:shd w:val="clear" w:color="auto" w:fill="FFFFFF"/>
        </w:rPr>
        <w:t>]</w:t>
      </w:r>
    </w:p>
    <w:p w14:paraId="69D959B1" w14:textId="2C9C0E0A" w:rsidR="00775D8D" w:rsidRDefault="00775D8D" w:rsidP="007A190F">
      <w:pPr>
        <w:adjustRightInd w:val="0"/>
        <w:snapToGrid w:val="0"/>
        <w:spacing w:before="180" w:line="360" w:lineRule="auto"/>
        <w:jc w:val="both"/>
        <w:rPr>
          <w:b/>
          <w:bCs/>
          <w:color w:val="0000CC"/>
          <w:sz w:val="26"/>
        </w:rPr>
      </w:pPr>
    </w:p>
    <w:p w14:paraId="3FC7225D" w14:textId="77777777" w:rsidR="008C2478" w:rsidRPr="00BA1C28" w:rsidRDefault="008C2478" w:rsidP="008C2478">
      <w:pPr>
        <w:adjustRightInd w:val="0"/>
        <w:snapToGrid w:val="0"/>
        <w:spacing w:before="180"/>
        <w:ind w:left="480" w:hangingChars="200" w:hanging="480"/>
        <w:jc w:val="both"/>
        <w:rPr>
          <w:i/>
          <w:iCs/>
          <w:color w:val="222222"/>
          <w:shd w:val="clear" w:color="auto" w:fill="FFFFFF"/>
        </w:rPr>
      </w:pPr>
      <w:r w:rsidRPr="00BA1C28">
        <w:rPr>
          <w:color w:val="222222"/>
          <w:shd w:val="clear" w:color="auto" w:fill="FFFFFF"/>
        </w:rPr>
        <w:t>Australian Bureau of Statistics (2023),</w:t>
      </w:r>
      <w:r w:rsidRPr="00BA1C28">
        <w:rPr>
          <w:i/>
          <w:iCs/>
          <w:color w:val="222222"/>
          <w:shd w:val="clear" w:color="auto" w:fill="FFFFFF"/>
        </w:rPr>
        <w:t xml:space="preserve"> Consumer Price Index, Australia</w:t>
      </w:r>
      <w:r>
        <w:rPr>
          <w:rFonts w:hint="eastAsia"/>
          <w:i/>
          <w:iCs/>
          <w:color w:val="222222"/>
          <w:shd w:val="clear" w:color="auto" w:fill="FFFFFF"/>
        </w:rPr>
        <w:t>.</w:t>
      </w:r>
      <w:r>
        <w:rPr>
          <w:i/>
          <w:iCs/>
          <w:color w:val="222222"/>
          <w:shd w:val="clear" w:color="auto" w:fill="FFFFFF"/>
        </w:rPr>
        <w:t xml:space="preserve"> </w:t>
      </w:r>
      <w:r>
        <w:rPr>
          <w:color w:val="222222"/>
          <w:shd w:val="clear" w:color="auto" w:fill="FFFFFF"/>
        </w:rPr>
        <w:t xml:space="preserve">Available at: </w:t>
      </w:r>
    </w:p>
    <w:p w14:paraId="557E0E58" w14:textId="77777777" w:rsidR="008C2478" w:rsidRDefault="00000000" w:rsidP="008C2478">
      <w:pPr>
        <w:adjustRightInd w:val="0"/>
        <w:snapToGrid w:val="0"/>
        <w:spacing w:before="180"/>
        <w:ind w:left="480" w:hangingChars="200" w:hanging="480"/>
        <w:jc w:val="both"/>
        <w:rPr>
          <w:color w:val="000000" w:themeColor="text1"/>
          <w:shd w:val="clear" w:color="auto" w:fill="FFFFFF"/>
        </w:rPr>
      </w:pPr>
      <w:hyperlink r:id="rId20" w:history="1">
        <w:r w:rsidR="008C2478" w:rsidRPr="00F00A2B">
          <w:rPr>
            <w:rStyle w:val="af3"/>
            <w:color w:val="000000" w:themeColor="text1"/>
            <w:shd w:val="clear" w:color="auto" w:fill="FFFFFF"/>
          </w:rPr>
          <w:t>https://www.abs.gov.au/statistics/economy/price-indexes-and-inflation/consumer-price-index-australia/latest-release</w:t>
        </w:r>
      </w:hyperlink>
      <w:r w:rsidR="008C2478" w:rsidRPr="00F00A2B">
        <w:rPr>
          <w:color w:val="000000" w:themeColor="text1"/>
          <w:shd w:val="clear" w:color="auto" w:fill="FFFFFF"/>
        </w:rPr>
        <w:t xml:space="preserve"> </w:t>
      </w:r>
    </w:p>
    <w:p w14:paraId="5FF92786" w14:textId="77777777" w:rsidR="008C2478" w:rsidRPr="00BA1C28" w:rsidRDefault="008C2478" w:rsidP="008C2478">
      <w:pPr>
        <w:adjustRightInd w:val="0"/>
        <w:snapToGrid w:val="0"/>
        <w:spacing w:before="180"/>
        <w:ind w:left="480" w:hangingChars="200" w:hanging="480"/>
        <w:jc w:val="both"/>
        <w:rPr>
          <w:color w:val="222222"/>
          <w:shd w:val="clear" w:color="auto" w:fill="FFFFFF"/>
        </w:rPr>
      </w:pPr>
      <w:r w:rsidRPr="00C358E9">
        <w:rPr>
          <w:color w:val="222222"/>
          <w:shd w:val="clear" w:color="auto" w:fill="FFFFFF"/>
        </w:rPr>
        <w:t xml:space="preserve">[Accessed </w:t>
      </w:r>
      <w:r>
        <w:rPr>
          <w:color w:val="222222"/>
          <w:shd w:val="clear" w:color="auto" w:fill="FFFFFF"/>
        </w:rPr>
        <w:t>25</w:t>
      </w:r>
      <w:r w:rsidRPr="00C358E9">
        <w:rPr>
          <w:color w:val="222222"/>
          <w:shd w:val="clear" w:color="auto" w:fill="FFFFFF"/>
        </w:rPr>
        <w:t xml:space="preserve"> January 202</w:t>
      </w:r>
      <w:r>
        <w:rPr>
          <w:color w:val="222222"/>
          <w:shd w:val="clear" w:color="auto" w:fill="FFFFFF"/>
        </w:rPr>
        <w:t>3</w:t>
      </w:r>
      <w:r w:rsidRPr="00C358E9">
        <w:rPr>
          <w:color w:val="222222"/>
          <w:shd w:val="clear" w:color="auto" w:fill="FFFFFF"/>
        </w:rPr>
        <w:t>]</w:t>
      </w:r>
    </w:p>
    <w:p w14:paraId="746E2C8C" w14:textId="77777777" w:rsidR="008C2478" w:rsidRDefault="008C2478" w:rsidP="008C2478">
      <w:pPr>
        <w:adjustRightInd w:val="0"/>
        <w:snapToGrid w:val="0"/>
        <w:spacing w:before="180"/>
        <w:jc w:val="both"/>
        <w:rPr>
          <w:color w:val="222222"/>
          <w:shd w:val="clear" w:color="auto" w:fill="FFFFFF"/>
        </w:rPr>
      </w:pPr>
    </w:p>
    <w:p w14:paraId="41AFF424" w14:textId="77777777" w:rsidR="008C2478" w:rsidRDefault="008C2478" w:rsidP="008C2478">
      <w:pPr>
        <w:adjustRightInd w:val="0"/>
        <w:snapToGrid w:val="0"/>
        <w:spacing w:before="180"/>
        <w:jc w:val="both"/>
      </w:pPr>
      <w:r>
        <w:t xml:space="preserve">Australian Bureau of Statistics (2022), </w:t>
      </w:r>
      <w:r>
        <w:rPr>
          <w:rStyle w:val="afb"/>
        </w:rPr>
        <w:t>International Trade in Goods and Services, Australia</w:t>
      </w:r>
      <w:r>
        <w:t xml:space="preserve">, ABS, Available at </w:t>
      </w:r>
    </w:p>
    <w:p w14:paraId="1635D788" w14:textId="77777777" w:rsidR="008C2478" w:rsidRPr="00D349C7" w:rsidRDefault="00000000" w:rsidP="008C2478">
      <w:pPr>
        <w:adjustRightInd w:val="0"/>
        <w:snapToGrid w:val="0"/>
        <w:spacing w:before="180"/>
        <w:jc w:val="both"/>
        <w:rPr>
          <w:color w:val="000000" w:themeColor="text1"/>
        </w:rPr>
      </w:pPr>
      <w:hyperlink r:id="rId21" w:history="1">
        <w:r w:rsidR="008C2478" w:rsidRPr="00D349C7">
          <w:rPr>
            <w:rStyle w:val="af3"/>
            <w:color w:val="000000" w:themeColor="text1"/>
          </w:rPr>
          <w:t>https://www.abs.gov.au/statistics/economy/international-trade/international-trade-goods-and-services-australia/dec-2022</w:t>
        </w:r>
      </w:hyperlink>
      <w:r w:rsidR="008C2478" w:rsidRPr="00D349C7">
        <w:rPr>
          <w:color w:val="000000" w:themeColor="text1"/>
        </w:rPr>
        <w:t>.</w:t>
      </w:r>
    </w:p>
    <w:p w14:paraId="2A9A36B4" w14:textId="77777777" w:rsidR="008C2478" w:rsidRDefault="008C2478" w:rsidP="008C2478">
      <w:pPr>
        <w:adjustRightInd w:val="0"/>
        <w:snapToGrid w:val="0"/>
        <w:spacing w:before="180"/>
        <w:jc w:val="both"/>
        <w:rPr>
          <w:color w:val="222222"/>
          <w:shd w:val="clear" w:color="auto" w:fill="FFFFFF"/>
        </w:rPr>
      </w:pPr>
      <w:r>
        <w:t>[Accessed 16 February 2023]</w:t>
      </w:r>
    </w:p>
    <w:p w14:paraId="79D371F1" w14:textId="69E5E2DB" w:rsidR="008C2478" w:rsidRDefault="008C2478" w:rsidP="007A190F">
      <w:pPr>
        <w:adjustRightInd w:val="0"/>
        <w:snapToGrid w:val="0"/>
        <w:spacing w:before="180" w:line="360" w:lineRule="auto"/>
        <w:jc w:val="both"/>
        <w:rPr>
          <w:b/>
          <w:bCs/>
          <w:color w:val="0000CC"/>
          <w:sz w:val="26"/>
        </w:rPr>
      </w:pPr>
    </w:p>
    <w:p w14:paraId="42DA0D43" w14:textId="77777777" w:rsidR="008C2478" w:rsidRDefault="008C2478" w:rsidP="008C2478">
      <w:pPr>
        <w:adjustRightInd w:val="0"/>
        <w:snapToGrid w:val="0"/>
        <w:spacing w:before="180"/>
        <w:jc w:val="both"/>
        <w:rPr>
          <w:bCs/>
        </w:rPr>
      </w:pPr>
      <w:r>
        <w:rPr>
          <w:bCs/>
        </w:rPr>
        <w:t xml:space="preserve">Census and Statistic Department, Hong Kong (2023), </w:t>
      </w:r>
      <w:r w:rsidRPr="000E503E">
        <w:rPr>
          <w:bCs/>
          <w:i/>
          <w:iCs/>
        </w:rPr>
        <w:t>Merchandise trade</w:t>
      </w:r>
    </w:p>
    <w:p w14:paraId="423BA126" w14:textId="77777777" w:rsidR="008C2478" w:rsidRPr="00F00A2B" w:rsidRDefault="008C2478" w:rsidP="008C2478">
      <w:pPr>
        <w:adjustRightInd w:val="0"/>
        <w:snapToGrid w:val="0"/>
        <w:spacing w:before="180"/>
        <w:jc w:val="both"/>
        <w:rPr>
          <w:bCs/>
          <w:color w:val="000000" w:themeColor="text1"/>
        </w:rPr>
      </w:pPr>
      <w:r>
        <w:rPr>
          <w:bCs/>
        </w:rPr>
        <w:t>Available at</w:t>
      </w:r>
      <w:r w:rsidRPr="00F00A2B">
        <w:rPr>
          <w:bCs/>
          <w:color w:val="000000" w:themeColor="text1"/>
        </w:rPr>
        <w:t xml:space="preserve"> </w:t>
      </w:r>
      <w:hyperlink r:id="rId22" w:history="1">
        <w:r w:rsidRPr="00F00A2B">
          <w:rPr>
            <w:rStyle w:val="af3"/>
            <w:bCs/>
            <w:color w:val="000000" w:themeColor="text1"/>
          </w:rPr>
          <w:t>https://www.censtatd.gov.hk/en/scode230.html</w:t>
        </w:r>
      </w:hyperlink>
      <w:r w:rsidRPr="00F00A2B">
        <w:rPr>
          <w:bCs/>
          <w:color w:val="000000" w:themeColor="text1"/>
        </w:rPr>
        <w:t xml:space="preserve"> </w:t>
      </w:r>
    </w:p>
    <w:p w14:paraId="04A21888" w14:textId="06CC3328" w:rsidR="008C2478" w:rsidRDefault="008C2478" w:rsidP="008C2478">
      <w:pPr>
        <w:adjustRightInd w:val="0"/>
        <w:snapToGrid w:val="0"/>
        <w:spacing w:before="180"/>
        <w:ind w:left="480" w:hangingChars="200" w:hanging="480"/>
        <w:jc w:val="both"/>
        <w:rPr>
          <w:color w:val="000000" w:themeColor="text1"/>
          <w:shd w:val="clear" w:color="auto" w:fill="FFFFFF"/>
        </w:rPr>
      </w:pPr>
      <w:r w:rsidRPr="00F00A2B">
        <w:rPr>
          <w:color w:val="000000" w:themeColor="text1"/>
          <w:shd w:val="clear" w:color="auto" w:fill="FFFFFF"/>
        </w:rPr>
        <w:t>[Accessed 8 January 2023]</w:t>
      </w:r>
    </w:p>
    <w:p w14:paraId="5A1CABF8" w14:textId="77777777" w:rsidR="008C2478" w:rsidRPr="003D7CB7" w:rsidRDefault="008C2478" w:rsidP="008C2478">
      <w:pPr>
        <w:adjustRightInd w:val="0"/>
        <w:snapToGrid w:val="0"/>
        <w:spacing w:before="180"/>
        <w:jc w:val="both"/>
        <w:rPr>
          <w:color w:val="222222"/>
          <w:shd w:val="clear" w:color="auto" w:fill="FFFFFF"/>
        </w:rPr>
      </w:pPr>
      <w:r>
        <w:rPr>
          <w:color w:val="222222"/>
          <w:shd w:val="clear" w:color="auto" w:fill="FFFFFF"/>
        </w:rPr>
        <w:lastRenderedPageBreak/>
        <w:t xml:space="preserve">Google .com (2023) </w:t>
      </w:r>
      <w:r w:rsidRPr="0062328F">
        <w:rPr>
          <w:i/>
          <w:iCs/>
          <w:color w:val="222222"/>
          <w:shd w:val="clear" w:color="auto" w:fill="FFFFFF"/>
        </w:rPr>
        <w:t>Exchange rate calculator,</w:t>
      </w:r>
      <w:r>
        <w:rPr>
          <w:color w:val="222222"/>
          <w:shd w:val="clear" w:color="auto" w:fill="FFFFFF"/>
        </w:rPr>
        <w:t xml:space="preserve"> </w:t>
      </w:r>
    </w:p>
    <w:p w14:paraId="18FE3239" w14:textId="77777777" w:rsidR="008C2478" w:rsidRDefault="008C2478" w:rsidP="008C2478">
      <w:pPr>
        <w:adjustRightInd w:val="0"/>
        <w:snapToGrid w:val="0"/>
        <w:spacing w:before="180"/>
        <w:jc w:val="both"/>
      </w:pPr>
      <w:r>
        <w:t xml:space="preserve">Available </w:t>
      </w:r>
      <w:proofErr w:type="gramStart"/>
      <w:r>
        <w:t>at :</w:t>
      </w:r>
      <w:proofErr w:type="gramEnd"/>
      <w:r>
        <w:t xml:space="preserve"> </w:t>
      </w:r>
    </w:p>
    <w:p w14:paraId="6AD9621C" w14:textId="77777777" w:rsidR="008C2478" w:rsidRPr="00F06015" w:rsidRDefault="00000000" w:rsidP="008C2478">
      <w:pPr>
        <w:adjustRightInd w:val="0"/>
        <w:snapToGrid w:val="0"/>
        <w:spacing w:before="180"/>
        <w:jc w:val="both"/>
        <w:rPr>
          <w:color w:val="000000" w:themeColor="text1"/>
        </w:rPr>
      </w:pPr>
      <w:hyperlink r:id="rId23" w:history="1">
        <w:r w:rsidR="008C2478" w:rsidRPr="00F06015">
          <w:rPr>
            <w:rStyle w:val="af3"/>
            <w:color w:val="000000" w:themeColor="text1"/>
          </w:rPr>
          <w:t>https://www.google.com/search?q=aud%2Fusd&amp;rlz=1C5CHFA_enHK995HK995&amp;oq=aud%2Fusd&amp;aqs=chrome..69i57j0i512l6j69i58.5242j1j15&amp;sourceid=chrome&amp;ie=UTF-8</w:t>
        </w:r>
      </w:hyperlink>
      <w:r w:rsidR="008C2478" w:rsidRPr="00F06015">
        <w:rPr>
          <w:color w:val="000000" w:themeColor="text1"/>
        </w:rPr>
        <w:t xml:space="preserve"> </w:t>
      </w:r>
    </w:p>
    <w:p w14:paraId="3095CF39" w14:textId="77777777" w:rsidR="008C2478" w:rsidRPr="00F06015" w:rsidRDefault="008C2478" w:rsidP="008C2478">
      <w:pPr>
        <w:adjustRightInd w:val="0"/>
        <w:snapToGrid w:val="0"/>
        <w:spacing w:before="180"/>
        <w:jc w:val="both"/>
        <w:rPr>
          <w:color w:val="000000" w:themeColor="text1"/>
          <w:shd w:val="clear" w:color="auto" w:fill="FFFFFF"/>
        </w:rPr>
      </w:pPr>
      <w:r w:rsidRPr="00F06015">
        <w:rPr>
          <w:color w:val="000000" w:themeColor="text1"/>
          <w:shd w:val="clear" w:color="auto" w:fill="FFFFFF"/>
        </w:rPr>
        <w:t>[Assessed at 22 February, 2023]</w:t>
      </w:r>
    </w:p>
    <w:p w14:paraId="62D32AC5" w14:textId="2C79954E" w:rsidR="008C2478" w:rsidRDefault="008C2478" w:rsidP="008C2478">
      <w:pPr>
        <w:adjustRightInd w:val="0"/>
        <w:snapToGrid w:val="0"/>
        <w:spacing w:before="180"/>
        <w:ind w:left="480" w:hangingChars="200" w:hanging="480"/>
        <w:jc w:val="both"/>
        <w:rPr>
          <w:color w:val="000000" w:themeColor="text1"/>
          <w:shd w:val="clear" w:color="auto" w:fill="FFFFFF"/>
        </w:rPr>
      </w:pPr>
    </w:p>
    <w:p w14:paraId="4F61A208" w14:textId="1DA33C83" w:rsidR="001F0B52" w:rsidRDefault="001F0B52" w:rsidP="008C2478">
      <w:pPr>
        <w:adjustRightInd w:val="0"/>
        <w:snapToGrid w:val="0"/>
        <w:spacing w:before="180"/>
        <w:ind w:left="480" w:hangingChars="200" w:hanging="480"/>
        <w:jc w:val="both"/>
        <w:rPr>
          <w:bCs/>
        </w:rPr>
      </w:pPr>
      <w:r>
        <w:rPr>
          <w:bCs/>
        </w:rPr>
        <w:t xml:space="preserve">Government of Hong Kong Special Administration Region (2022) </w:t>
      </w:r>
      <w:r w:rsidRPr="00602F59">
        <w:rPr>
          <w:bCs/>
        </w:rPr>
        <w:t>2</w:t>
      </w:r>
      <w:r w:rsidRPr="001F0B52">
        <w:rPr>
          <w:bCs/>
          <w:i/>
          <w:iCs/>
        </w:rPr>
        <w:t>021 Economic Background and 2022 Prospects,2022</w:t>
      </w:r>
      <w:r>
        <w:rPr>
          <w:bCs/>
          <w:i/>
          <w:iCs/>
        </w:rPr>
        <w:t xml:space="preserve"> </w:t>
      </w:r>
    </w:p>
    <w:p w14:paraId="1A553BE4" w14:textId="1FBF3A30" w:rsidR="001F0B52" w:rsidRDefault="001F0B52" w:rsidP="008C2478">
      <w:pPr>
        <w:adjustRightInd w:val="0"/>
        <w:snapToGrid w:val="0"/>
        <w:spacing w:before="180"/>
        <w:ind w:left="480" w:hangingChars="200" w:hanging="480"/>
        <w:jc w:val="both"/>
        <w:rPr>
          <w:bCs/>
        </w:rPr>
      </w:pPr>
      <w:r>
        <w:rPr>
          <w:bCs/>
        </w:rPr>
        <w:t xml:space="preserve">Available at </w:t>
      </w:r>
      <w:hyperlink r:id="rId24" w:history="1">
        <w:r w:rsidRPr="00EE3496">
          <w:rPr>
            <w:rStyle w:val="af3"/>
            <w:bCs/>
          </w:rPr>
          <w:t>https://www.hkeconomy.gov.hk/en/pdf/er_21q4.pdf</w:t>
        </w:r>
      </w:hyperlink>
      <w:r>
        <w:rPr>
          <w:bCs/>
        </w:rPr>
        <w:t xml:space="preserve"> </w:t>
      </w:r>
    </w:p>
    <w:p w14:paraId="06281171" w14:textId="5E98FB42" w:rsidR="001F0B52" w:rsidRPr="003842F8" w:rsidRDefault="001F0B52" w:rsidP="003842F8">
      <w:pPr>
        <w:adjustRightInd w:val="0"/>
        <w:snapToGrid w:val="0"/>
        <w:spacing w:before="180"/>
        <w:ind w:left="480" w:hangingChars="200" w:hanging="480"/>
        <w:jc w:val="both"/>
        <w:rPr>
          <w:color w:val="222222"/>
          <w:shd w:val="clear" w:color="auto" w:fill="FFFFFF"/>
        </w:rPr>
      </w:pPr>
      <w:r>
        <w:rPr>
          <w:color w:val="222222"/>
          <w:shd w:val="clear" w:color="auto" w:fill="FFFFFF"/>
        </w:rPr>
        <w:t xml:space="preserve">[Assessed at 31 </w:t>
      </w:r>
      <w:proofErr w:type="spellStart"/>
      <w:r>
        <w:rPr>
          <w:color w:val="222222"/>
          <w:shd w:val="clear" w:color="auto" w:fill="FFFFFF"/>
        </w:rPr>
        <w:t>Dccember</w:t>
      </w:r>
      <w:proofErr w:type="spellEnd"/>
      <w:r>
        <w:rPr>
          <w:color w:val="222222"/>
          <w:shd w:val="clear" w:color="auto" w:fill="FFFFFF"/>
        </w:rPr>
        <w:t xml:space="preserve"> 2022]</w:t>
      </w:r>
    </w:p>
    <w:p w14:paraId="747499E4" w14:textId="77777777" w:rsidR="001F0B52" w:rsidRPr="001F0B52" w:rsidRDefault="001F0B52" w:rsidP="008C2478">
      <w:pPr>
        <w:adjustRightInd w:val="0"/>
        <w:snapToGrid w:val="0"/>
        <w:spacing w:before="180"/>
        <w:ind w:left="480" w:hangingChars="200" w:hanging="480"/>
        <w:jc w:val="both"/>
        <w:rPr>
          <w:color w:val="000000" w:themeColor="text1"/>
          <w:shd w:val="clear" w:color="auto" w:fill="FFFFFF"/>
        </w:rPr>
      </w:pPr>
    </w:p>
    <w:p w14:paraId="766A1AA1" w14:textId="77777777" w:rsidR="008C2478" w:rsidRDefault="008C2478" w:rsidP="008C2478">
      <w:pPr>
        <w:adjustRightInd w:val="0"/>
        <w:snapToGrid w:val="0"/>
        <w:spacing w:before="180"/>
        <w:ind w:left="480" w:hangingChars="200" w:hanging="480"/>
        <w:jc w:val="both"/>
      </w:pPr>
      <w:r>
        <w:rPr>
          <w:rFonts w:hint="eastAsia"/>
        </w:rPr>
        <w:t>H</w:t>
      </w:r>
      <w:r>
        <w:t xml:space="preserve">ang Seng </w:t>
      </w:r>
      <w:proofErr w:type="spellStart"/>
      <w:r>
        <w:t>Indexes</w:t>
      </w:r>
      <w:proofErr w:type="spellEnd"/>
      <w:r>
        <w:t xml:space="preserve"> C</w:t>
      </w:r>
      <w:r w:rsidRPr="00C87813">
        <w:t xml:space="preserve">ompany Limited </w:t>
      </w:r>
      <w:r>
        <w:t xml:space="preserve">(2023), </w:t>
      </w:r>
      <w:r w:rsidRPr="00C87813">
        <w:rPr>
          <w:i/>
          <w:iCs/>
        </w:rPr>
        <w:t>Hang Seng Index</w:t>
      </w:r>
    </w:p>
    <w:p w14:paraId="5F8C89EC" w14:textId="77777777" w:rsidR="008C2478" w:rsidRDefault="008C2478" w:rsidP="008C2478">
      <w:pPr>
        <w:adjustRightInd w:val="0"/>
        <w:snapToGrid w:val="0"/>
        <w:spacing w:before="180"/>
        <w:ind w:left="480" w:hangingChars="200" w:hanging="480"/>
        <w:jc w:val="both"/>
      </w:pPr>
      <w:r w:rsidRPr="00C358E9">
        <w:rPr>
          <w:color w:val="222222"/>
          <w:shd w:val="clear" w:color="auto" w:fill="FFFFFF"/>
        </w:rPr>
        <w:t>Available at</w:t>
      </w:r>
      <w:r>
        <w:t xml:space="preserve"> </w:t>
      </w:r>
      <w:hyperlink r:id="rId25" w:history="1">
        <w:r w:rsidRPr="00F00A2B">
          <w:rPr>
            <w:rStyle w:val="af3"/>
            <w:color w:val="000000" w:themeColor="text1"/>
          </w:rPr>
          <w:t>https://www.hsi.com.hk/static/uploads/contents/en/dl_centre/factsheets/hsie.pdf</w:t>
        </w:r>
      </w:hyperlink>
    </w:p>
    <w:p w14:paraId="2D941141" w14:textId="77777777" w:rsidR="008C2478" w:rsidRDefault="008C2478" w:rsidP="008C2478">
      <w:pPr>
        <w:adjustRightInd w:val="0"/>
        <w:snapToGrid w:val="0"/>
        <w:spacing w:before="180"/>
        <w:ind w:left="480" w:hangingChars="200" w:hanging="480"/>
        <w:jc w:val="both"/>
        <w:rPr>
          <w:color w:val="222222"/>
          <w:shd w:val="clear" w:color="auto" w:fill="FFFFFF"/>
        </w:rPr>
      </w:pPr>
      <w:r>
        <w:rPr>
          <w:color w:val="222222"/>
          <w:shd w:val="clear" w:color="auto" w:fill="FFFFFF"/>
        </w:rPr>
        <w:t>[Assessed at 31 January, 2023]</w:t>
      </w:r>
    </w:p>
    <w:p w14:paraId="2AD0D04B" w14:textId="27D3A0A5" w:rsidR="00C42313" w:rsidRDefault="00C42313" w:rsidP="007A190F">
      <w:pPr>
        <w:adjustRightInd w:val="0"/>
        <w:snapToGrid w:val="0"/>
        <w:spacing w:before="180" w:line="360" w:lineRule="auto"/>
        <w:jc w:val="both"/>
        <w:rPr>
          <w:b/>
          <w:bCs/>
          <w:color w:val="0000CC"/>
          <w:sz w:val="26"/>
        </w:rPr>
      </w:pPr>
    </w:p>
    <w:p w14:paraId="7CC693C8" w14:textId="707C08DC" w:rsidR="00C42313" w:rsidRDefault="00C42313" w:rsidP="007A190F">
      <w:pPr>
        <w:adjustRightInd w:val="0"/>
        <w:snapToGrid w:val="0"/>
        <w:spacing w:before="180" w:line="360" w:lineRule="auto"/>
        <w:jc w:val="both"/>
        <w:rPr>
          <w:bCs/>
        </w:rPr>
      </w:pPr>
      <w:r>
        <w:rPr>
          <w:bCs/>
        </w:rPr>
        <w:t>Hong Kong Monetary Authority</w:t>
      </w:r>
      <w:r w:rsidR="00F50FEC">
        <w:rPr>
          <w:bCs/>
        </w:rPr>
        <w:t xml:space="preserve"> (</w:t>
      </w:r>
      <w:r>
        <w:rPr>
          <w:bCs/>
        </w:rPr>
        <w:t>2023</w:t>
      </w:r>
      <w:r w:rsidR="00F50FEC">
        <w:rPr>
          <w:bCs/>
        </w:rPr>
        <w:t>)</w:t>
      </w:r>
      <w:r>
        <w:rPr>
          <w:bCs/>
        </w:rPr>
        <w:t xml:space="preserve">, </w:t>
      </w:r>
      <w:r w:rsidRPr="00F50FEC">
        <w:rPr>
          <w:bCs/>
          <w:i/>
          <w:iCs/>
        </w:rPr>
        <w:t>Press release, Adjustment of the Base Rate</w:t>
      </w:r>
    </w:p>
    <w:p w14:paraId="3E8BC79A" w14:textId="77777777" w:rsidR="00C42313" w:rsidRDefault="00C42313" w:rsidP="007A190F">
      <w:pPr>
        <w:adjustRightInd w:val="0"/>
        <w:snapToGrid w:val="0"/>
        <w:spacing w:before="180" w:line="360" w:lineRule="auto"/>
        <w:jc w:val="both"/>
        <w:rPr>
          <w:bCs/>
        </w:rPr>
      </w:pPr>
      <w:r>
        <w:rPr>
          <w:rFonts w:hint="eastAsia"/>
          <w:bCs/>
        </w:rPr>
        <w:t>A</w:t>
      </w:r>
      <w:r>
        <w:rPr>
          <w:bCs/>
        </w:rPr>
        <w:t xml:space="preserve">vailable at </w:t>
      </w:r>
    </w:p>
    <w:p w14:paraId="1ED1B6E2" w14:textId="1F0B0D21" w:rsidR="00C42313" w:rsidRDefault="00000000" w:rsidP="007A190F">
      <w:pPr>
        <w:adjustRightInd w:val="0"/>
        <w:snapToGrid w:val="0"/>
        <w:spacing w:before="180" w:line="360" w:lineRule="auto"/>
        <w:jc w:val="both"/>
        <w:rPr>
          <w:bCs/>
        </w:rPr>
      </w:pPr>
      <w:hyperlink r:id="rId26" w:history="1">
        <w:r w:rsidR="00C42313" w:rsidRPr="00EE3496">
          <w:rPr>
            <w:rStyle w:val="af3"/>
            <w:bCs/>
          </w:rPr>
          <w:t>https://www.hkma.gov.hk/eng/news-and-media/press-releases/2023/02/20230202-3/</w:t>
        </w:r>
      </w:hyperlink>
      <w:r w:rsidR="00C42313">
        <w:rPr>
          <w:bCs/>
        </w:rPr>
        <w:t xml:space="preserve"> </w:t>
      </w:r>
    </w:p>
    <w:p w14:paraId="15FD6508" w14:textId="5E90E0FE" w:rsidR="00C42313" w:rsidRDefault="00C42313" w:rsidP="00C42313">
      <w:pPr>
        <w:adjustRightInd w:val="0"/>
        <w:snapToGrid w:val="0"/>
        <w:spacing w:before="180"/>
        <w:ind w:left="480" w:hangingChars="200" w:hanging="480"/>
        <w:jc w:val="both"/>
        <w:rPr>
          <w:color w:val="222222"/>
          <w:shd w:val="clear" w:color="auto" w:fill="FFFFFF"/>
        </w:rPr>
      </w:pPr>
      <w:r>
        <w:rPr>
          <w:color w:val="222222"/>
          <w:shd w:val="clear" w:color="auto" w:fill="FFFFFF"/>
        </w:rPr>
        <w:t>[Assessed at 10 February 2023]</w:t>
      </w:r>
    </w:p>
    <w:p w14:paraId="06035BEC" w14:textId="77777777" w:rsidR="00C42313" w:rsidRDefault="00C42313" w:rsidP="007A190F">
      <w:pPr>
        <w:adjustRightInd w:val="0"/>
        <w:snapToGrid w:val="0"/>
        <w:spacing w:before="180" w:line="360" w:lineRule="auto"/>
        <w:jc w:val="both"/>
        <w:rPr>
          <w:b/>
          <w:bCs/>
          <w:color w:val="0000CC"/>
          <w:sz w:val="26"/>
        </w:rPr>
      </w:pPr>
    </w:p>
    <w:p w14:paraId="71B21B21" w14:textId="77777777" w:rsidR="008C2478" w:rsidRDefault="008C2478" w:rsidP="008C2478">
      <w:pPr>
        <w:adjustRightInd w:val="0"/>
        <w:snapToGrid w:val="0"/>
        <w:spacing w:before="180"/>
        <w:jc w:val="both"/>
        <w:rPr>
          <w:color w:val="222222"/>
          <w:shd w:val="clear" w:color="auto" w:fill="FFFFFF"/>
        </w:rPr>
      </w:pPr>
      <w:r>
        <w:rPr>
          <w:rFonts w:hint="eastAsia"/>
          <w:color w:val="222222"/>
          <w:shd w:val="clear" w:color="auto" w:fill="FFFFFF"/>
        </w:rPr>
        <w:t>H</w:t>
      </w:r>
      <w:r>
        <w:rPr>
          <w:color w:val="222222"/>
          <w:shd w:val="clear" w:color="auto" w:fill="FFFFFF"/>
        </w:rPr>
        <w:t xml:space="preserve">ong Kong Monetary Authority (2020) </w:t>
      </w:r>
      <w:r w:rsidRPr="00011846">
        <w:rPr>
          <w:i/>
          <w:iCs/>
          <w:color w:val="222222"/>
          <w:shd w:val="clear" w:color="auto" w:fill="FFFFFF"/>
        </w:rPr>
        <w:t>Base Rate</w:t>
      </w:r>
    </w:p>
    <w:p w14:paraId="58C7B55A" w14:textId="77777777" w:rsidR="008C2478" w:rsidRDefault="008C2478" w:rsidP="008C2478">
      <w:pPr>
        <w:adjustRightInd w:val="0"/>
        <w:snapToGrid w:val="0"/>
        <w:spacing w:before="180"/>
        <w:jc w:val="both"/>
        <w:rPr>
          <w:color w:val="222222"/>
          <w:shd w:val="clear" w:color="auto" w:fill="FFFFFF"/>
        </w:rPr>
      </w:pPr>
      <w:r>
        <w:rPr>
          <w:color w:val="222222"/>
          <w:shd w:val="clear" w:color="auto" w:fill="FFFFFF"/>
        </w:rPr>
        <w:t xml:space="preserve">Available at: </w:t>
      </w:r>
    </w:p>
    <w:p w14:paraId="00851AFC" w14:textId="77777777" w:rsidR="008C2478" w:rsidRPr="00F00A2B" w:rsidRDefault="00000000" w:rsidP="008C2478">
      <w:pPr>
        <w:adjustRightInd w:val="0"/>
        <w:snapToGrid w:val="0"/>
        <w:spacing w:before="180"/>
        <w:jc w:val="both"/>
        <w:rPr>
          <w:color w:val="000000" w:themeColor="text1"/>
        </w:rPr>
      </w:pPr>
      <w:hyperlink r:id="rId27" w:history="1">
        <w:r w:rsidR="008C2478" w:rsidRPr="00F00A2B">
          <w:rPr>
            <w:rStyle w:val="af3"/>
            <w:color w:val="000000" w:themeColor="text1"/>
          </w:rPr>
          <w:t>https://www.hkma.gov.hk/eng/key-functions/money/liquidity-facility-framework/base-rate/</w:t>
        </w:r>
      </w:hyperlink>
      <w:r w:rsidR="008C2478" w:rsidRPr="00F00A2B">
        <w:rPr>
          <w:color w:val="000000" w:themeColor="text1"/>
        </w:rPr>
        <w:t xml:space="preserve"> </w:t>
      </w:r>
    </w:p>
    <w:p w14:paraId="0D68EE7F" w14:textId="7F25FD82" w:rsidR="008C2478" w:rsidRDefault="008C2478" w:rsidP="008C2478">
      <w:pPr>
        <w:adjustRightInd w:val="0"/>
        <w:snapToGrid w:val="0"/>
        <w:spacing w:before="180"/>
        <w:ind w:left="480" w:hangingChars="200" w:hanging="480"/>
        <w:jc w:val="both"/>
        <w:rPr>
          <w:color w:val="222222"/>
          <w:shd w:val="clear" w:color="auto" w:fill="FFFFFF"/>
        </w:rPr>
      </w:pPr>
      <w:r>
        <w:rPr>
          <w:color w:val="222222"/>
          <w:shd w:val="clear" w:color="auto" w:fill="FFFFFF"/>
        </w:rPr>
        <w:t>[Assessed at 31 January, 2023]</w:t>
      </w:r>
    </w:p>
    <w:p w14:paraId="6F7B68C6" w14:textId="77777777" w:rsidR="00122D91" w:rsidRDefault="00122D91" w:rsidP="008C2478">
      <w:pPr>
        <w:adjustRightInd w:val="0"/>
        <w:snapToGrid w:val="0"/>
        <w:spacing w:before="180"/>
        <w:ind w:left="480" w:hangingChars="200" w:hanging="480"/>
        <w:jc w:val="both"/>
        <w:rPr>
          <w:color w:val="222222"/>
          <w:shd w:val="clear" w:color="auto" w:fill="FFFFFF"/>
        </w:rPr>
      </w:pPr>
    </w:p>
    <w:p w14:paraId="6C6F5A34" w14:textId="77777777" w:rsidR="00122D91" w:rsidRDefault="00122D91" w:rsidP="00122D91">
      <w:pPr>
        <w:adjustRightInd w:val="0"/>
        <w:snapToGrid w:val="0"/>
        <w:spacing w:before="180"/>
        <w:jc w:val="both"/>
      </w:pPr>
      <w:r>
        <w:t xml:space="preserve">Hong Kong Monetary Authority (2023), </w:t>
      </w:r>
      <w:r w:rsidRPr="00AF0045">
        <w:rPr>
          <w:rFonts w:hint="eastAsia"/>
          <w:i/>
          <w:iCs/>
        </w:rPr>
        <w:t>L</w:t>
      </w:r>
      <w:r w:rsidRPr="00AF0045">
        <w:rPr>
          <w:i/>
          <w:iCs/>
        </w:rPr>
        <w:t xml:space="preserve">ink Exchange system </w:t>
      </w:r>
    </w:p>
    <w:p w14:paraId="06E47AD9" w14:textId="77777777" w:rsidR="00122D91" w:rsidRPr="00F00A2B" w:rsidRDefault="00122D91" w:rsidP="00122D91">
      <w:pPr>
        <w:adjustRightInd w:val="0"/>
        <w:snapToGrid w:val="0"/>
        <w:spacing w:before="180"/>
        <w:jc w:val="both"/>
        <w:rPr>
          <w:color w:val="000000" w:themeColor="text1"/>
        </w:rPr>
      </w:pPr>
      <w:r>
        <w:lastRenderedPageBreak/>
        <w:t xml:space="preserve">Available at </w:t>
      </w:r>
      <w:hyperlink r:id="rId28" w:history="1">
        <w:r w:rsidRPr="00F00A2B">
          <w:rPr>
            <w:rStyle w:val="af3"/>
            <w:color w:val="000000" w:themeColor="text1"/>
          </w:rPr>
          <w:t>https://www.hkma.gov.hk/eng/key-functions/money/linked-exchange-rate-system/</w:t>
        </w:r>
      </w:hyperlink>
      <w:r w:rsidRPr="00F00A2B">
        <w:rPr>
          <w:color w:val="000000" w:themeColor="text1"/>
        </w:rPr>
        <w:t xml:space="preserve"> </w:t>
      </w:r>
    </w:p>
    <w:p w14:paraId="06499759" w14:textId="77777777" w:rsidR="00122D91" w:rsidRDefault="00122D91" w:rsidP="00122D91">
      <w:pPr>
        <w:adjustRightInd w:val="0"/>
        <w:snapToGrid w:val="0"/>
        <w:spacing w:before="180"/>
        <w:ind w:left="480" w:hangingChars="200" w:hanging="480"/>
        <w:jc w:val="both"/>
        <w:rPr>
          <w:color w:val="222222"/>
          <w:shd w:val="clear" w:color="auto" w:fill="FFFFFF"/>
        </w:rPr>
      </w:pPr>
      <w:r w:rsidRPr="00F00A2B">
        <w:rPr>
          <w:color w:val="000000" w:themeColor="text1"/>
          <w:shd w:val="clear" w:color="auto" w:fill="FFFFFF"/>
        </w:rPr>
        <w:t xml:space="preserve">[Assessed at 21 </w:t>
      </w:r>
      <w:r>
        <w:rPr>
          <w:color w:val="222222"/>
          <w:shd w:val="clear" w:color="auto" w:fill="FFFFFF"/>
        </w:rPr>
        <w:t>February, 2023]</w:t>
      </w:r>
    </w:p>
    <w:p w14:paraId="6B3F2D19" w14:textId="1A1CB2CB" w:rsidR="008C2478" w:rsidRDefault="008C2478" w:rsidP="007A190F">
      <w:pPr>
        <w:adjustRightInd w:val="0"/>
        <w:snapToGrid w:val="0"/>
        <w:spacing w:before="180" w:line="360" w:lineRule="auto"/>
        <w:jc w:val="both"/>
        <w:rPr>
          <w:b/>
          <w:bCs/>
          <w:color w:val="0000CC"/>
          <w:sz w:val="26"/>
        </w:rPr>
      </w:pPr>
    </w:p>
    <w:p w14:paraId="5EE69A65" w14:textId="77777777" w:rsidR="008C2478" w:rsidRPr="00B20392" w:rsidRDefault="008C2478" w:rsidP="008C2478">
      <w:pPr>
        <w:adjustRightInd w:val="0"/>
        <w:snapToGrid w:val="0"/>
        <w:spacing w:before="180"/>
        <w:ind w:left="480" w:hangingChars="200" w:hanging="480"/>
        <w:jc w:val="both"/>
        <w:rPr>
          <w:i/>
          <w:iCs/>
          <w:color w:val="222222"/>
          <w:shd w:val="clear" w:color="auto" w:fill="FFFFFF"/>
        </w:rPr>
      </w:pPr>
      <w:r w:rsidRPr="007D5B9B">
        <w:rPr>
          <w:color w:val="222222"/>
          <w:shd w:val="clear" w:color="auto" w:fill="FFFFFF"/>
        </w:rPr>
        <w:t>Hong Kong Securities and Futures Commission</w:t>
      </w:r>
      <w:r>
        <w:rPr>
          <w:color w:val="222222"/>
          <w:shd w:val="clear" w:color="auto" w:fill="FFFFFF"/>
        </w:rPr>
        <w:t xml:space="preserve"> (2023), </w:t>
      </w:r>
      <w:r w:rsidRPr="00B20392">
        <w:rPr>
          <w:i/>
          <w:iCs/>
          <w:color w:val="222222"/>
          <w:shd w:val="clear" w:color="auto" w:fill="FFFFFF"/>
        </w:rPr>
        <w:t xml:space="preserve">Public Register of Licensed Persons </w:t>
      </w:r>
    </w:p>
    <w:p w14:paraId="4FBDF5B9" w14:textId="77777777" w:rsidR="008C2478" w:rsidRDefault="008C2478" w:rsidP="008C2478">
      <w:pPr>
        <w:adjustRightInd w:val="0"/>
        <w:snapToGrid w:val="0"/>
        <w:spacing w:before="180"/>
        <w:ind w:left="480" w:hangingChars="200" w:hanging="480"/>
        <w:jc w:val="both"/>
        <w:rPr>
          <w:color w:val="222222"/>
          <w:shd w:val="clear" w:color="auto" w:fill="FFFFFF"/>
        </w:rPr>
      </w:pPr>
      <w:r w:rsidRPr="00B20392">
        <w:rPr>
          <w:i/>
          <w:iCs/>
          <w:color w:val="222222"/>
          <w:shd w:val="clear" w:color="auto" w:fill="FFFFFF"/>
        </w:rPr>
        <w:t>and Registered Institutions</w:t>
      </w:r>
      <w:r>
        <w:rPr>
          <w:color w:val="222222"/>
          <w:shd w:val="clear" w:color="auto" w:fill="FFFFFF"/>
        </w:rPr>
        <w:t xml:space="preserve">, Available at </w:t>
      </w:r>
    </w:p>
    <w:p w14:paraId="45889CAA" w14:textId="77777777" w:rsidR="008C2478" w:rsidRPr="00F00A2B" w:rsidRDefault="00000000" w:rsidP="008C2478">
      <w:pPr>
        <w:adjustRightInd w:val="0"/>
        <w:snapToGrid w:val="0"/>
        <w:spacing w:before="180"/>
        <w:ind w:left="480" w:hangingChars="200" w:hanging="480"/>
        <w:jc w:val="both"/>
        <w:rPr>
          <w:color w:val="000000" w:themeColor="text1"/>
          <w:shd w:val="clear" w:color="auto" w:fill="FFFFFF"/>
        </w:rPr>
      </w:pPr>
      <w:hyperlink r:id="rId29" w:history="1">
        <w:r w:rsidR="008C2478" w:rsidRPr="00F00A2B">
          <w:rPr>
            <w:rStyle w:val="af3"/>
            <w:color w:val="000000" w:themeColor="text1"/>
            <w:shd w:val="clear" w:color="auto" w:fill="FFFFFF"/>
          </w:rPr>
          <w:t>https://apps.sfc.hk/publicregWeb/corp/AAB444/details</w:t>
        </w:r>
      </w:hyperlink>
    </w:p>
    <w:p w14:paraId="24EEF329" w14:textId="77777777" w:rsidR="008C2478" w:rsidRDefault="008C2478" w:rsidP="008C2478">
      <w:pPr>
        <w:adjustRightInd w:val="0"/>
        <w:snapToGrid w:val="0"/>
        <w:spacing w:before="180"/>
        <w:ind w:left="480" w:hangingChars="200" w:hanging="480"/>
        <w:jc w:val="both"/>
        <w:rPr>
          <w:color w:val="222222"/>
          <w:shd w:val="clear" w:color="auto" w:fill="FFFFFF"/>
        </w:rPr>
      </w:pPr>
      <w:r w:rsidRPr="00C358E9">
        <w:rPr>
          <w:color w:val="222222"/>
          <w:shd w:val="clear" w:color="auto" w:fill="FFFFFF"/>
        </w:rPr>
        <w:t>[Accessed 8 January 202</w:t>
      </w:r>
      <w:r>
        <w:rPr>
          <w:color w:val="222222"/>
          <w:shd w:val="clear" w:color="auto" w:fill="FFFFFF"/>
        </w:rPr>
        <w:t>3</w:t>
      </w:r>
      <w:r w:rsidRPr="00C358E9">
        <w:rPr>
          <w:color w:val="222222"/>
          <w:shd w:val="clear" w:color="auto" w:fill="FFFFFF"/>
        </w:rPr>
        <w:t>]</w:t>
      </w:r>
    </w:p>
    <w:p w14:paraId="5A03CD44" w14:textId="77777777" w:rsidR="008C2478" w:rsidRPr="00775D8D" w:rsidRDefault="008C2478" w:rsidP="007A190F">
      <w:pPr>
        <w:adjustRightInd w:val="0"/>
        <w:snapToGrid w:val="0"/>
        <w:spacing w:before="180" w:line="360" w:lineRule="auto"/>
        <w:jc w:val="both"/>
        <w:rPr>
          <w:b/>
          <w:bCs/>
          <w:color w:val="0000CC"/>
          <w:sz w:val="26"/>
        </w:rPr>
      </w:pPr>
    </w:p>
    <w:p w14:paraId="40BFEEA1" w14:textId="0A49D787" w:rsidR="000E503E" w:rsidRDefault="000E503E" w:rsidP="007A190F">
      <w:pPr>
        <w:adjustRightInd w:val="0"/>
        <w:snapToGrid w:val="0"/>
        <w:spacing w:before="180" w:line="360" w:lineRule="auto"/>
        <w:jc w:val="both"/>
        <w:rPr>
          <w:bCs/>
          <w:color w:val="000000" w:themeColor="text1"/>
        </w:rPr>
      </w:pPr>
      <w:r>
        <w:rPr>
          <w:bCs/>
        </w:rPr>
        <w:t>Hong Kong Special Administration Region, Press release (2022)</w:t>
      </w:r>
      <w:r w:rsidRPr="000E503E">
        <w:rPr>
          <w:rFonts w:ascii="Verdana" w:hAnsi="Verdana"/>
          <w:color w:val="000000"/>
          <w:sz w:val="18"/>
          <w:szCs w:val="18"/>
          <w:shd w:val="clear" w:color="auto" w:fill="FFFFFF"/>
        </w:rPr>
        <w:t xml:space="preserve"> </w:t>
      </w:r>
      <w:r w:rsidRPr="000E503E">
        <w:rPr>
          <w:bCs/>
          <w:i/>
          <w:iCs/>
        </w:rPr>
        <w:t>Provisional Statistics of Retail Sales for September 2022</w:t>
      </w:r>
      <w:r w:rsidR="00775D8D">
        <w:rPr>
          <w:bCs/>
        </w:rPr>
        <w:t xml:space="preserve"> Available at </w:t>
      </w:r>
      <w:hyperlink r:id="rId30" w:history="1">
        <w:r w:rsidR="00775D8D" w:rsidRPr="00775D8D">
          <w:rPr>
            <w:rStyle w:val="af3"/>
            <w:bCs/>
            <w:color w:val="000000" w:themeColor="text1"/>
          </w:rPr>
          <w:t>https://www.censtatd.gov.hk/en/scode230.html</w:t>
        </w:r>
      </w:hyperlink>
      <w:r w:rsidR="00775D8D" w:rsidRPr="00775D8D">
        <w:rPr>
          <w:bCs/>
          <w:color w:val="000000" w:themeColor="text1"/>
        </w:rPr>
        <w:t xml:space="preserve"> </w:t>
      </w:r>
    </w:p>
    <w:p w14:paraId="3A3160EE" w14:textId="518AB5CF" w:rsidR="00775D8D" w:rsidRPr="00F00A2B" w:rsidRDefault="00775D8D" w:rsidP="00775D8D">
      <w:pPr>
        <w:adjustRightInd w:val="0"/>
        <w:snapToGrid w:val="0"/>
        <w:spacing w:before="180"/>
        <w:ind w:left="480" w:hangingChars="200" w:hanging="480"/>
        <w:jc w:val="both"/>
        <w:rPr>
          <w:color w:val="000000" w:themeColor="text1"/>
          <w:shd w:val="clear" w:color="auto" w:fill="FFFFFF"/>
        </w:rPr>
      </w:pPr>
      <w:r w:rsidRPr="00F00A2B">
        <w:rPr>
          <w:color w:val="000000" w:themeColor="text1"/>
          <w:shd w:val="clear" w:color="auto" w:fill="FFFFFF"/>
        </w:rPr>
        <w:t xml:space="preserve">[Accessed </w:t>
      </w:r>
      <w:r>
        <w:rPr>
          <w:color w:val="000000" w:themeColor="text1"/>
          <w:shd w:val="clear" w:color="auto" w:fill="FFFFFF"/>
        </w:rPr>
        <w:t>18</w:t>
      </w:r>
      <w:r w:rsidRPr="00F00A2B">
        <w:rPr>
          <w:color w:val="000000" w:themeColor="text1"/>
          <w:shd w:val="clear" w:color="auto" w:fill="FFFFFF"/>
        </w:rPr>
        <w:t xml:space="preserve"> </w:t>
      </w:r>
      <w:r>
        <w:rPr>
          <w:color w:val="000000" w:themeColor="text1"/>
          <w:shd w:val="clear" w:color="auto" w:fill="FFFFFF"/>
        </w:rPr>
        <w:t>December</w:t>
      </w:r>
      <w:r w:rsidRPr="00F00A2B">
        <w:rPr>
          <w:color w:val="000000" w:themeColor="text1"/>
          <w:shd w:val="clear" w:color="auto" w:fill="FFFFFF"/>
        </w:rPr>
        <w:t xml:space="preserve"> 202</w:t>
      </w:r>
      <w:r>
        <w:rPr>
          <w:color w:val="000000" w:themeColor="text1"/>
          <w:shd w:val="clear" w:color="auto" w:fill="FFFFFF"/>
        </w:rPr>
        <w:t>2</w:t>
      </w:r>
      <w:r w:rsidRPr="00F00A2B">
        <w:rPr>
          <w:color w:val="000000" w:themeColor="text1"/>
          <w:shd w:val="clear" w:color="auto" w:fill="FFFFFF"/>
        </w:rPr>
        <w:t>]</w:t>
      </w:r>
    </w:p>
    <w:p w14:paraId="345E2034" w14:textId="1E084009" w:rsidR="00AE68D3" w:rsidRPr="00D054FC" w:rsidRDefault="00AE68D3" w:rsidP="00122D91">
      <w:pPr>
        <w:adjustRightInd w:val="0"/>
        <w:snapToGrid w:val="0"/>
        <w:spacing w:before="180"/>
        <w:jc w:val="both"/>
        <w:rPr>
          <w:color w:val="222222"/>
          <w:shd w:val="clear" w:color="auto" w:fill="FFFFFF"/>
        </w:rPr>
      </w:pPr>
    </w:p>
    <w:p w14:paraId="41E3FC3F" w14:textId="77777777" w:rsidR="00D054FC" w:rsidRDefault="004E6307" w:rsidP="004E6307">
      <w:pPr>
        <w:adjustRightInd w:val="0"/>
        <w:snapToGrid w:val="0"/>
        <w:spacing w:before="180"/>
        <w:ind w:left="480" w:hangingChars="200" w:hanging="480"/>
        <w:jc w:val="both"/>
        <w:rPr>
          <w:color w:val="222222"/>
          <w:shd w:val="clear" w:color="auto" w:fill="FFFFFF"/>
        </w:rPr>
      </w:pPr>
      <w:r w:rsidRPr="00C358E9">
        <w:rPr>
          <w:color w:val="222222"/>
          <w:shd w:val="clear" w:color="auto" w:fill="FFFFFF"/>
        </w:rPr>
        <w:t xml:space="preserve">International Monetary Fund. (2020). </w:t>
      </w:r>
      <w:r w:rsidRPr="00AF0045">
        <w:rPr>
          <w:i/>
          <w:iCs/>
          <w:color w:val="222222"/>
          <w:shd w:val="clear" w:color="auto" w:fill="FFFFFF"/>
        </w:rPr>
        <w:t xml:space="preserve">The IMF Data </w:t>
      </w:r>
      <w:r w:rsidRPr="00C358E9">
        <w:rPr>
          <w:color w:val="222222"/>
          <w:shd w:val="clear" w:color="auto" w:fill="FFFFFF"/>
        </w:rPr>
        <w:t xml:space="preserve"> </w:t>
      </w:r>
    </w:p>
    <w:p w14:paraId="4FDAAB4E" w14:textId="77777777" w:rsidR="00D054FC" w:rsidRDefault="004E6307" w:rsidP="004E6307">
      <w:pPr>
        <w:adjustRightInd w:val="0"/>
        <w:snapToGrid w:val="0"/>
        <w:spacing w:before="180"/>
        <w:ind w:left="480" w:hangingChars="200" w:hanging="480"/>
        <w:jc w:val="both"/>
        <w:rPr>
          <w:color w:val="222222"/>
          <w:shd w:val="clear" w:color="auto" w:fill="FFFFFF"/>
        </w:rPr>
      </w:pPr>
      <w:r w:rsidRPr="00C358E9">
        <w:rPr>
          <w:color w:val="222222"/>
          <w:shd w:val="clear" w:color="auto" w:fill="FFFFFF"/>
        </w:rPr>
        <w:t>Available at</w:t>
      </w:r>
    </w:p>
    <w:p w14:paraId="5120C13B" w14:textId="77777777" w:rsidR="00D054FC" w:rsidRDefault="004E6307" w:rsidP="004E6307">
      <w:pPr>
        <w:adjustRightInd w:val="0"/>
        <w:snapToGrid w:val="0"/>
        <w:spacing w:before="180"/>
        <w:ind w:left="480" w:hangingChars="200" w:hanging="480"/>
        <w:jc w:val="both"/>
        <w:rPr>
          <w:color w:val="222222"/>
          <w:shd w:val="clear" w:color="auto" w:fill="FFFFFF"/>
        </w:rPr>
      </w:pPr>
      <w:r w:rsidRPr="00C358E9">
        <w:rPr>
          <w:color w:val="222222"/>
          <w:shd w:val="clear" w:color="auto" w:fill="FFFFFF"/>
        </w:rPr>
        <w:t xml:space="preserve"> </w:t>
      </w:r>
      <w:hyperlink r:id="rId31" w:history="1">
        <w:r w:rsidRPr="00D054FC">
          <w:rPr>
            <w:color w:val="222222"/>
          </w:rPr>
          <w:t>https://www.imf.org/en/About/FAQ/imf-response-to-covid-19</w:t>
        </w:r>
      </w:hyperlink>
      <w:r>
        <w:rPr>
          <w:color w:val="222222"/>
          <w:shd w:val="clear" w:color="auto" w:fill="FFFFFF"/>
        </w:rPr>
        <w:t xml:space="preserve"> </w:t>
      </w:r>
      <w:r w:rsidRPr="00C358E9">
        <w:rPr>
          <w:color w:val="222222"/>
          <w:shd w:val="clear" w:color="auto" w:fill="FFFFFF"/>
        </w:rPr>
        <w:t xml:space="preserve"> </w:t>
      </w:r>
    </w:p>
    <w:p w14:paraId="4A2BD98A" w14:textId="12EAB4A4" w:rsidR="004E6307" w:rsidRPr="00C358E9" w:rsidRDefault="004E6307" w:rsidP="004E6307">
      <w:pPr>
        <w:adjustRightInd w:val="0"/>
        <w:snapToGrid w:val="0"/>
        <w:spacing w:before="180"/>
        <w:ind w:left="480" w:hangingChars="200" w:hanging="480"/>
        <w:jc w:val="both"/>
        <w:rPr>
          <w:color w:val="222222"/>
          <w:shd w:val="clear" w:color="auto" w:fill="FFFFFF"/>
        </w:rPr>
      </w:pPr>
      <w:r w:rsidRPr="00C358E9">
        <w:rPr>
          <w:color w:val="222222"/>
          <w:shd w:val="clear" w:color="auto" w:fill="FFFFFF"/>
        </w:rPr>
        <w:t>[Accessed 17 December 202</w:t>
      </w:r>
      <w:r>
        <w:rPr>
          <w:color w:val="222222"/>
          <w:shd w:val="clear" w:color="auto" w:fill="FFFFFF"/>
        </w:rPr>
        <w:t>3</w:t>
      </w:r>
      <w:r w:rsidRPr="00C358E9">
        <w:rPr>
          <w:color w:val="222222"/>
          <w:shd w:val="clear" w:color="auto" w:fill="FFFFFF"/>
        </w:rPr>
        <w:t>].</w:t>
      </w:r>
    </w:p>
    <w:p w14:paraId="7EE3DE0E" w14:textId="06CAC80F" w:rsidR="00061806" w:rsidRDefault="00061806" w:rsidP="0002018B">
      <w:pPr>
        <w:adjustRightInd w:val="0"/>
        <w:snapToGrid w:val="0"/>
        <w:spacing w:before="180"/>
        <w:jc w:val="both"/>
      </w:pPr>
    </w:p>
    <w:p w14:paraId="2C699C6D" w14:textId="13B09E21" w:rsidR="00061806" w:rsidRPr="0002018B" w:rsidRDefault="00061806" w:rsidP="0002018B">
      <w:pPr>
        <w:adjustRightInd w:val="0"/>
        <w:snapToGrid w:val="0"/>
        <w:spacing w:before="180"/>
        <w:jc w:val="both"/>
      </w:pPr>
      <w:r w:rsidRPr="00FB7FE7">
        <w:t xml:space="preserve">Investor.gov U.S. Securities and Exchange Commission (2023), </w:t>
      </w:r>
      <w:r w:rsidRPr="00061806">
        <w:rPr>
          <w:i/>
          <w:iCs/>
        </w:rPr>
        <w:t>Stock Market Circuit Breakers</w:t>
      </w:r>
    </w:p>
    <w:p w14:paraId="2C06F3B1" w14:textId="4CB13313" w:rsidR="0002018B" w:rsidRDefault="00061806" w:rsidP="00942A36">
      <w:pPr>
        <w:adjustRightInd w:val="0"/>
        <w:snapToGrid w:val="0"/>
        <w:spacing w:before="180"/>
        <w:jc w:val="both"/>
      </w:pPr>
      <w:r>
        <w:t xml:space="preserve">Available at: </w:t>
      </w:r>
      <w:hyperlink r:id="rId32" w:history="1">
        <w:r w:rsidRPr="00F06015">
          <w:rPr>
            <w:rStyle w:val="af3"/>
            <w:color w:val="000000" w:themeColor="text1"/>
          </w:rPr>
          <w:t>https://www.investor.gov/introduction-investing/investing-basics/glossary/stock-market-circuit-breakers</w:t>
        </w:r>
      </w:hyperlink>
      <w:r w:rsidRPr="00F06015">
        <w:rPr>
          <w:color w:val="000000" w:themeColor="text1"/>
        </w:rPr>
        <w:t xml:space="preserve"> </w:t>
      </w:r>
    </w:p>
    <w:p w14:paraId="3B65CCF8" w14:textId="3358CDEC" w:rsidR="00872FDD" w:rsidRDefault="00061806" w:rsidP="00942A36">
      <w:pPr>
        <w:adjustRightInd w:val="0"/>
        <w:snapToGrid w:val="0"/>
        <w:spacing w:before="180"/>
        <w:jc w:val="both"/>
        <w:rPr>
          <w:color w:val="222222"/>
          <w:shd w:val="clear" w:color="auto" w:fill="FFFFFF"/>
        </w:rPr>
      </w:pPr>
      <w:r>
        <w:rPr>
          <w:color w:val="222222"/>
          <w:shd w:val="clear" w:color="auto" w:fill="FFFFFF"/>
        </w:rPr>
        <w:t>[Assessed at 25 February, 2023]</w:t>
      </w:r>
    </w:p>
    <w:p w14:paraId="70E0A9C1" w14:textId="4F1EA443" w:rsidR="00B715C2" w:rsidRDefault="00B715C2" w:rsidP="00942A36">
      <w:pPr>
        <w:adjustRightInd w:val="0"/>
        <w:snapToGrid w:val="0"/>
        <w:spacing w:before="180"/>
        <w:jc w:val="both"/>
        <w:rPr>
          <w:color w:val="222222"/>
          <w:shd w:val="clear" w:color="auto" w:fill="FFFFFF"/>
        </w:rPr>
      </w:pPr>
    </w:p>
    <w:p w14:paraId="485C1E36" w14:textId="77777777" w:rsidR="0055576A" w:rsidRPr="00C013AF" w:rsidRDefault="0055576A" w:rsidP="00942A36">
      <w:pPr>
        <w:adjustRightInd w:val="0"/>
        <w:snapToGrid w:val="0"/>
        <w:spacing w:before="180"/>
        <w:jc w:val="both"/>
      </w:pPr>
      <w:r w:rsidRPr="00C013AF">
        <w:t xml:space="preserve">Jackson and Curry (2022) Quantitative easing explained </w:t>
      </w:r>
    </w:p>
    <w:p w14:paraId="21B62ABC" w14:textId="7F93E5C5" w:rsidR="0055576A" w:rsidRPr="00C013AF" w:rsidRDefault="0055576A" w:rsidP="00942A36">
      <w:pPr>
        <w:adjustRightInd w:val="0"/>
        <w:snapToGrid w:val="0"/>
        <w:spacing w:before="180"/>
        <w:jc w:val="both"/>
      </w:pPr>
      <w:r w:rsidRPr="00C013AF">
        <w:t xml:space="preserve">Available at </w:t>
      </w:r>
      <w:hyperlink r:id="rId33" w:history="1">
        <w:r w:rsidRPr="00C013AF">
          <w:t>https://www.forbes.com/advisor/investing/quantitative-easing-qe/</w:t>
        </w:r>
      </w:hyperlink>
      <w:r w:rsidRPr="00C013AF">
        <w:t xml:space="preserve"> </w:t>
      </w:r>
    </w:p>
    <w:p w14:paraId="6590722F" w14:textId="2714B580" w:rsidR="0055576A" w:rsidRPr="00C013AF" w:rsidRDefault="0055576A" w:rsidP="00942A36">
      <w:pPr>
        <w:adjustRightInd w:val="0"/>
        <w:snapToGrid w:val="0"/>
        <w:spacing w:before="180"/>
        <w:jc w:val="both"/>
      </w:pPr>
      <w:r w:rsidRPr="00C013AF">
        <w:t xml:space="preserve">Accessed [16 January 2023] </w:t>
      </w:r>
    </w:p>
    <w:p w14:paraId="574DC7BD" w14:textId="77777777" w:rsidR="0055576A" w:rsidRDefault="0055576A" w:rsidP="00942A36">
      <w:pPr>
        <w:adjustRightInd w:val="0"/>
        <w:snapToGrid w:val="0"/>
        <w:spacing w:before="180"/>
        <w:jc w:val="both"/>
        <w:rPr>
          <w:color w:val="222222"/>
          <w:shd w:val="clear" w:color="auto" w:fill="FFFFFF"/>
        </w:rPr>
      </w:pPr>
    </w:p>
    <w:p w14:paraId="3ED20E13" w14:textId="7D881543" w:rsidR="005A28C0" w:rsidRDefault="005A28C0" w:rsidP="00942A36">
      <w:pPr>
        <w:adjustRightInd w:val="0"/>
        <w:snapToGrid w:val="0"/>
        <w:spacing w:before="180"/>
        <w:jc w:val="both"/>
        <w:rPr>
          <w:bCs/>
        </w:rPr>
      </w:pPr>
      <w:r>
        <w:rPr>
          <w:bCs/>
        </w:rPr>
        <w:t xml:space="preserve">Reserve Bank of Australia, </w:t>
      </w:r>
      <w:r w:rsidR="00964231">
        <w:rPr>
          <w:bCs/>
        </w:rPr>
        <w:t>(</w:t>
      </w:r>
      <w:r>
        <w:rPr>
          <w:bCs/>
        </w:rPr>
        <w:t>2023</w:t>
      </w:r>
      <w:r w:rsidR="00964231">
        <w:rPr>
          <w:bCs/>
        </w:rPr>
        <w:t>)</w:t>
      </w:r>
      <w:r>
        <w:rPr>
          <w:bCs/>
        </w:rPr>
        <w:t xml:space="preserve">, </w:t>
      </w:r>
      <w:r w:rsidRPr="000F3630">
        <w:rPr>
          <w:bCs/>
          <w:i/>
          <w:iCs/>
        </w:rPr>
        <w:t>5-Economic Outlook</w:t>
      </w:r>
    </w:p>
    <w:p w14:paraId="03B318FB" w14:textId="5EBEC7B9" w:rsidR="005A28C0" w:rsidRDefault="005A28C0" w:rsidP="00942A36">
      <w:pPr>
        <w:adjustRightInd w:val="0"/>
        <w:snapToGrid w:val="0"/>
        <w:spacing w:before="180"/>
        <w:jc w:val="both"/>
        <w:rPr>
          <w:bCs/>
        </w:rPr>
      </w:pPr>
      <w:r>
        <w:rPr>
          <w:rFonts w:hint="eastAsia"/>
          <w:bCs/>
        </w:rPr>
        <w:t>A</w:t>
      </w:r>
      <w:r>
        <w:rPr>
          <w:bCs/>
        </w:rPr>
        <w:t xml:space="preserve">vailable at </w:t>
      </w:r>
      <w:hyperlink r:id="rId34" w:history="1">
        <w:r w:rsidRPr="005A28C0">
          <w:rPr>
            <w:rStyle w:val="af3"/>
            <w:bCs/>
            <w:color w:val="000000" w:themeColor="text1"/>
          </w:rPr>
          <w:t>https://www.rba.gov.au/publications/smp/2023/feb/economic-outlook.html</w:t>
        </w:r>
      </w:hyperlink>
      <w:r w:rsidRPr="005A28C0">
        <w:rPr>
          <w:bCs/>
          <w:color w:val="000000" w:themeColor="text1"/>
        </w:rPr>
        <w:t xml:space="preserve"> </w:t>
      </w:r>
    </w:p>
    <w:p w14:paraId="5800E16B" w14:textId="6083C2D2" w:rsidR="005A28C0" w:rsidRDefault="005A28C0" w:rsidP="00942A36">
      <w:pPr>
        <w:adjustRightInd w:val="0"/>
        <w:snapToGrid w:val="0"/>
        <w:spacing w:before="180"/>
        <w:jc w:val="both"/>
        <w:rPr>
          <w:color w:val="222222"/>
          <w:shd w:val="clear" w:color="auto" w:fill="FFFFFF"/>
        </w:rPr>
      </w:pPr>
      <w:r>
        <w:rPr>
          <w:bCs/>
        </w:rPr>
        <w:t>[</w:t>
      </w:r>
      <w:r>
        <w:rPr>
          <w:rFonts w:hint="eastAsia"/>
          <w:bCs/>
        </w:rPr>
        <w:t>A</w:t>
      </w:r>
      <w:r>
        <w:rPr>
          <w:bCs/>
        </w:rPr>
        <w:t>ccessed 16 January 2023]</w:t>
      </w:r>
    </w:p>
    <w:p w14:paraId="4A0D3927" w14:textId="77777777" w:rsidR="005A28C0" w:rsidRDefault="005A28C0" w:rsidP="00122D91">
      <w:pPr>
        <w:adjustRightInd w:val="0"/>
        <w:snapToGrid w:val="0"/>
        <w:spacing w:before="180"/>
        <w:ind w:left="480" w:hangingChars="200" w:hanging="480"/>
        <w:jc w:val="both"/>
        <w:rPr>
          <w:color w:val="222222"/>
          <w:shd w:val="clear" w:color="auto" w:fill="FFFFFF"/>
        </w:rPr>
      </w:pPr>
    </w:p>
    <w:p w14:paraId="008754D7" w14:textId="5C9E9028" w:rsidR="00122D91" w:rsidRPr="00D054FC" w:rsidRDefault="00122D91" w:rsidP="00122D91">
      <w:pPr>
        <w:adjustRightInd w:val="0"/>
        <w:snapToGrid w:val="0"/>
        <w:spacing w:before="180"/>
        <w:ind w:left="480" w:hangingChars="200" w:hanging="480"/>
        <w:jc w:val="both"/>
        <w:rPr>
          <w:color w:val="222222"/>
          <w:shd w:val="clear" w:color="auto" w:fill="FFFFFF"/>
        </w:rPr>
      </w:pPr>
      <w:r w:rsidRPr="00D054FC">
        <w:rPr>
          <w:rFonts w:hint="eastAsia"/>
          <w:color w:val="222222"/>
          <w:shd w:val="clear" w:color="auto" w:fill="FFFFFF"/>
        </w:rPr>
        <w:t>R</w:t>
      </w:r>
      <w:r>
        <w:rPr>
          <w:color w:val="222222"/>
          <w:shd w:val="clear" w:color="auto" w:fill="FFFFFF"/>
        </w:rPr>
        <w:t xml:space="preserve">eserve </w:t>
      </w:r>
      <w:r w:rsidRPr="00D054FC">
        <w:rPr>
          <w:color w:val="222222"/>
          <w:shd w:val="clear" w:color="auto" w:fill="FFFFFF"/>
        </w:rPr>
        <w:t>B</w:t>
      </w:r>
      <w:r>
        <w:rPr>
          <w:color w:val="222222"/>
          <w:shd w:val="clear" w:color="auto" w:fill="FFFFFF"/>
        </w:rPr>
        <w:t xml:space="preserve">ank of </w:t>
      </w:r>
      <w:r w:rsidRPr="00D054FC">
        <w:rPr>
          <w:color w:val="222222"/>
          <w:shd w:val="clear" w:color="auto" w:fill="FFFFFF"/>
        </w:rPr>
        <w:t>A</w:t>
      </w:r>
      <w:r>
        <w:rPr>
          <w:color w:val="222222"/>
          <w:shd w:val="clear" w:color="auto" w:fill="FFFFFF"/>
        </w:rPr>
        <w:t>ustralia (2023),</w:t>
      </w:r>
      <w:r w:rsidRPr="00065842">
        <w:rPr>
          <w:i/>
          <w:iCs/>
          <w:color w:val="222222"/>
          <w:shd w:val="clear" w:color="auto" w:fill="FFFFFF"/>
        </w:rPr>
        <w:t xml:space="preserve"> Cash Rate Target</w:t>
      </w:r>
    </w:p>
    <w:p w14:paraId="62CE6F94" w14:textId="2D0C6AF4" w:rsidR="00122D91" w:rsidRPr="00D054FC" w:rsidRDefault="00122D91" w:rsidP="00122D91">
      <w:pPr>
        <w:adjustRightInd w:val="0"/>
        <w:snapToGrid w:val="0"/>
        <w:spacing w:before="180"/>
        <w:ind w:left="480" w:hangingChars="200" w:hanging="480"/>
        <w:jc w:val="both"/>
        <w:rPr>
          <w:color w:val="222222"/>
          <w:shd w:val="clear" w:color="auto" w:fill="FFFFFF"/>
        </w:rPr>
      </w:pPr>
      <w:r w:rsidRPr="00D054FC">
        <w:rPr>
          <w:rFonts w:hint="eastAsia"/>
          <w:color w:val="222222"/>
          <w:shd w:val="clear" w:color="auto" w:fill="FFFFFF"/>
        </w:rPr>
        <w:t>A</w:t>
      </w:r>
      <w:r w:rsidRPr="00D054FC">
        <w:rPr>
          <w:color w:val="222222"/>
          <w:shd w:val="clear" w:color="auto" w:fill="FFFFFF"/>
        </w:rPr>
        <w:t xml:space="preserve">vailable at </w:t>
      </w:r>
      <w:hyperlink r:id="rId35" w:history="1">
        <w:r w:rsidRPr="00D054FC">
          <w:rPr>
            <w:color w:val="222222"/>
            <w:shd w:val="clear" w:color="auto" w:fill="FFFFFF"/>
          </w:rPr>
          <w:t>https://www.rba.gov.au/statistics/cash-rate/</w:t>
        </w:r>
      </w:hyperlink>
      <w:r w:rsidR="005A28C0">
        <w:rPr>
          <w:color w:val="222222"/>
          <w:shd w:val="clear" w:color="auto" w:fill="FFFFFF"/>
        </w:rPr>
        <w:t xml:space="preserve"> </w:t>
      </w:r>
      <w:r w:rsidRPr="00D054FC">
        <w:rPr>
          <w:color w:val="222222"/>
          <w:shd w:val="clear" w:color="auto" w:fill="FFFFFF"/>
        </w:rPr>
        <w:t xml:space="preserve"> </w:t>
      </w:r>
    </w:p>
    <w:p w14:paraId="249B78CE" w14:textId="77777777" w:rsidR="00122D91" w:rsidRDefault="00122D91" w:rsidP="00122D91">
      <w:pPr>
        <w:adjustRightInd w:val="0"/>
        <w:snapToGrid w:val="0"/>
        <w:spacing w:before="180"/>
        <w:ind w:left="480" w:hangingChars="200" w:hanging="480"/>
        <w:jc w:val="both"/>
        <w:rPr>
          <w:color w:val="222222"/>
          <w:shd w:val="clear" w:color="auto" w:fill="FFFFFF"/>
        </w:rPr>
      </w:pPr>
      <w:r>
        <w:rPr>
          <w:color w:val="222222"/>
          <w:shd w:val="clear" w:color="auto" w:fill="FFFFFF"/>
        </w:rPr>
        <w:t>[Assessed at 31 January, 2023]</w:t>
      </w:r>
    </w:p>
    <w:p w14:paraId="77367DDC" w14:textId="77777777" w:rsidR="00122D91" w:rsidRDefault="00122D91" w:rsidP="00942A36">
      <w:pPr>
        <w:adjustRightInd w:val="0"/>
        <w:snapToGrid w:val="0"/>
        <w:spacing w:before="180"/>
        <w:jc w:val="both"/>
        <w:rPr>
          <w:color w:val="222222"/>
          <w:shd w:val="clear" w:color="auto" w:fill="FFFFFF"/>
        </w:rPr>
      </w:pPr>
    </w:p>
    <w:p w14:paraId="6B2E52B3" w14:textId="77777777" w:rsidR="00B715C2" w:rsidRDefault="00B715C2" w:rsidP="00B715C2">
      <w:pPr>
        <w:adjustRightInd w:val="0"/>
        <w:snapToGrid w:val="0"/>
        <w:spacing w:before="180"/>
        <w:ind w:left="480" w:hangingChars="200" w:hanging="480"/>
        <w:jc w:val="both"/>
        <w:rPr>
          <w:color w:val="222222"/>
          <w:shd w:val="clear" w:color="auto" w:fill="FFFFFF"/>
        </w:rPr>
      </w:pPr>
      <w:r>
        <w:rPr>
          <w:color w:val="222222"/>
          <w:shd w:val="clear" w:color="auto" w:fill="FFFFFF"/>
        </w:rPr>
        <w:t xml:space="preserve">S&amp;P Global, (2022), </w:t>
      </w:r>
      <w:r w:rsidRPr="00C87813">
        <w:rPr>
          <w:i/>
          <w:iCs/>
          <w:color w:val="222222"/>
          <w:shd w:val="clear" w:color="auto" w:fill="FFFFFF"/>
        </w:rPr>
        <w:t>S&amp;P/ASX Australian Indices Methodology</w:t>
      </w:r>
      <w:r>
        <w:rPr>
          <w:i/>
          <w:iCs/>
          <w:color w:val="222222"/>
          <w:shd w:val="clear" w:color="auto" w:fill="FFFFFF"/>
        </w:rPr>
        <w:t>,</w:t>
      </w:r>
      <w:r w:rsidRPr="00C87813">
        <w:rPr>
          <w:i/>
          <w:iCs/>
          <w:color w:val="222222"/>
          <w:shd w:val="clear" w:color="auto" w:fill="FFFFFF"/>
        </w:rPr>
        <w:t xml:space="preserve"> </w:t>
      </w:r>
      <w:r>
        <w:rPr>
          <w:color w:val="222222"/>
          <w:shd w:val="clear" w:color="auto" w:fill="FFFFFF"/>
        </w:rPr>
        <w:t>p.3 (2022)</w:t>
      </w:r>
    </w:p>
    <w:p w14:paraId="6B27901D" w14:textId="77777777" w:rsidR="00B715C2" w:rsidRDefault="00B715C2" w:rsidP="00B715C2">
      <w:pPr>
        <w:adjustRightInd w:val="0"/>
        <w:snapToGrid w:val="0"/>
        <w:spacing w:before="180"/>
        <w:ind w:left="480" w:hangingChars="200" w:hanging="480"/>
        <w:jc w:val="both"/>
      </w:pPr>
      <w:r w:rsidRPr="00C358E9">
        <w:rPr>
          <w:color w:val="222222"/>
          <w:shd w:val="clear" w:color="auto" w:fill="FFFFFF"/>
        </w:rPr>
        <w:t>Available at</w:t>
      </w:r>
      <w:r>
        <w:t xml:space="preserve"> </w:t>
      </w:r>
      <w:hyperlink r:id="rId36" w:history="1">
        <w:r w:rsidRPr="00884583">
          <w:rPr>
            <w:rStyle w:val="af3"/>
            <w:color w:val="000000" w:themeColor="text1"/>
          </w:rPr>
          <w:t>https://www.spglobal.com/spdji/en/documents/methodologies/methodology-sp-asx-australian-indices.pdf</w:t>
        </w:r>
      </w:hyperlink>
      <w:r w:rsidRPr="00884583">
        <w:rPr>
          <w:color w:val="000000" w:themeColor="text1"/>
        </w:rPr>
        <w:t xml:space="preserve"> </w:t>
      </w:r>
      <w:r w:rsidRPr="00884583">
        <w:rPr>
          <w:color w:val="000000" w:themeColor="text1"/>
          <w:shd w:val="clear" w:color="auto" w:fill="FFFFFF"/>
        </w:rPr>
        <w:t>[Assessed at 31 January, 2023]</w:t>
      </w:r>
    </w:p>
    <w:p w14:paraId="37B1D1FE" w14:textId="77777777" w:rsidR="001F0EA0" w:rsidRDefault="001F0EA0" w:rsidP="00B715C2">
      <w:pPr>
        <w:adjustRightInd w:val="0"/>
        <w:snapToGrid w:val="0"/>
        <w:spacing w:before="180"/>
        <w:jc w:val="both"/>
        <w:rPr>
          <w:color w:val="222222"/>
          <w:shd w:val="clear" w:color="auto" w:fill="FFFFFF"/>
        </w:rPr>
      </w:pPr>
    </w:p>
    <w:p w14:paraId="4AE62C68" w14:textId="77777777" w:rsidR="00B715C2" w:rsidRPr="00D933D9" w:rsidRDefault="00B715C2" w:rsidP="00B715C2">
      <w:pPr>
        <w:adjustRightInd w:val="0"/>
        <w:snapToGrid w:val="0"/>
        <w:spacing w:before="180"/>
        <w:ind w:left="480" w:hangingChars="200" w:hanging="480"/>
        <w:jc w:val="both"/>
        <w:rPr>
          <w:color w:val="222222"/>
          <w:shd w:val="clear" w:color="auto" w:fill="FFFFFF"/>
        </w:rPr>
      </w:pPr>
      <w:r>
        <w:rPr>
          <w:color w:val="222222"/>
          <w:shd w:val="clear" w:color="auto" w:fill="FFFFFF"/>
        </w:rPr>
        <w:t xml:space="preserve">S&amp;P Global, (2023), </w:t>
      </w:r>
      <w:r w:rsidRPr="00051353">
        <w:rPr>
          <w:i/>
          <w:iCs/>
          <w:color w:val="222222"/>
          <w:shd w:val="clear" w:color="auto" w:fill="FFFFFF"/>
        </w:rPr>
        <w:t>S&amp;P Dow Jones Indices</w:t>
      </w:r>
      <w:r>
        <w:rPr>
          <w:i/>
          <w:iCs/>
          <w:color w:val="222222"/>
          <w:shd w:val="clear" w:color="auto" w:fill="FFFFFF"/>
        </w:rPr>
        <w:t xml:space="preserve">. </w:t>
      </w:r>
    </w:p>
    <w:p w14:paraId="7B427223" w14:textId="77777777" w:rsidR="00B715C2" w:rsidRDefault="00B715C2" w:rsidP="00B715C2">
      <w:pPr>
        <w:adjustRightInd w:val="0"/>
        <w:snapToGrid w:val="0"/>
        <w:spacing w:before="180"/>
        <w:jc w:val="both"/>
        <w:rPr>
          <w:color w:val="000000" w:themeColor="text1"/>
        </w:rPr>
      </w:pPr>
      <w:r w:rsidRPr="00C358E9">
        <w:rPr>
          <w:color w:val="222222"/>
          <w:shd w:val="clear" w:color="auto" w:fill="FFFFFF"/>
        </w:rPr>
        <w:t>Available at</w:t>
      </w:r>
      <w:r>
        <w:t xml:space="preserve">  </w:t>
      </w:r>
      <w:hyperlink r:id="rId37" w:anchor="data" w:history="1">
        <w:r w:rsidRPr="00E21427">
          <w:rPr>
            <w:rStyle w:val="af3"/>
            <w:color w:val="000000" w:themeColor="text1"/>
          </w:rPr>
          <w:t>https://www.spglobal.com/spdji/en/indices/equity/sp-asx-200/#data</w:t>
        </w:r>
      </w:hyperlink>
      <w:r w:rsidRPr="00E21427">
        <w:rPr>
          <w:color w:val="000000" w:themeColor="text1"/>
        </w:rPr>
        <w:t xml:space="preserve"> </w:t>
      </w:r>
    </w:p>
    <w:p w14:paraId="3F21992F" w14:textId="77777777" w:rsidR="00B715C2" w:rsidRDefault="00B715C2" w:rsidP="00B715C2">
      <w:pPr>
        <w:adjustRightInd w:val="0"/>
        <w:snapToGrid w:val="0"/>
        <w:spacing w:before="180"/>
        <w:ind w:left="480" w:hangingChars="200" w:hanging="480"/>
        <w:jc w:val="both"/>
      </w:pPr>
      <w:r>
        <w:rPr>
          <w:color w:val="222222"/>
          <w:shd w:val="clear" w:color="auto" w:fill="FFFFFF"/>
        </w:rPr>
        <w:t>[Assessed at 31 January, 2023]</w:t>
      </w:r>
    </w:p>
    <w:p w14:paraId="00E89DBA" w14:textId="77777777" w:rsidR="00122D91" w:rsidRPr="00B715C2" w:rsidRDefault="00122D91" w:rsidP="00942A36">
      <w:pPr>
        <w:adjustRightInd w:val="0"/>
        <w:snapToGrid w:val="0"/>
        <w:spacing w:before="180"/>
        <w:jc w:val="both"/>
        <w:rPr>
          <w:color w:val="222222"/>
          <w:shd w:val="clear" w:color="auto" w:fill="FFFFFF"/>
        </w:rPr>
      </w:pPr>
    </w:p>
    <w:p w14:paraId="1108B447" w14:textId="77777777" w:rsidR="00B715C2" w:rsidRPr="003424A2" w:rsidRDefault="00B715C2" w:rsidP="00B715C2">
      <w:pPr>
        <w:adjustRightInd w:val="0"/>
        <w:snapToGrid w:val="0"/>
        <w:spacing w:before="180"/>
        <w:jc w:val="both"/>
        <w:rPr>
          <w:i/>
          <w:iCs/>
        </w:rPr>
      </w:pPr>
      <w:r>
        <w:t xml:space="preserve">Standard &amp; </w:t>
      </w:r>
      <w:proofErr w:type="spellStart"/>
      <w:r>
        <w:t>Poors</w:t>
      </w:r>
      <w:proofErr w:type="spellEnd"/>
      <w:r>
        <w:t xml:space="preserve"> Rating Direct (2023), </w:t>
      </w:r>
      <w:r w:rsidRPr="003424A2">
        <w:rPr>
          <w:i/>
          <w:iCs/>
        </w:rPr>
        <w:t>Research Update:</w:t>
      </w:r>
      <w:r w:rsidRPr="003424A2">
        <w:rPr>
          <w:rFonts w:hint="eastAsia"/>
          <w:i/>
          <w:iCs/>
        </w:rPr>
        <w:t xml:space="preserve"> </w:t>
      </w:r>
      <w:r w:rsidRPr="003424A2">
        <w:rPr>
          <w:i/>
          <w:iCs/>
        </w:rPr>
        <w:t xml:space="preserve">Australia 'AAA/A-1+' Ratings Affirmed; Outlook Stable, </w:t>
      </w:r>
    </w:p>
    <w:p w14:paraId="15F8B8B9" w14:textId="77777777" w:rsidR="00B715C2" w:rsidRPr="00A6160A" w:rsidRDefault="00B715C2" w:rsidP="00B715C2">
      <w:pPr>
        <w:adjustRightInd w:val="0"/>
        <w:snapToGrid w:val="0"/>
        <w:spacing w:before="180"/>
        <w:jc w:val="both"/>
      </w:pPr>
      <w:r>
        <w:t xml:space="preserve">Available at </w:t>
      </w:r>
    </w:p>
    <w:p w14:paraId="01D35C24" w14:textId="77777777" w:rsidR="00B715C2" w:rsidRDefault="00000000" w:rsidP="00B715C2">
      <w:pPr>
        <w:adjustRightInd w:val="0"/>
        <w:snapToGrid w:val="0"/>
        <w:spacing w:before="180"/>
        <w:jc w:val="both"/>
      </w:pPr>
      <w:hyperlink r:id="rId38" w:history="1">
        <w:r w:rsidR="00B715C2" w:rsidRPr="00A6160A">
          <w:t>https://www.capitaliq.com/CIQDotNet/CreditResearch/SPResearch.aspx?DocumentId=53896987&amp;From=SNP_RES</w:t>
        </w:r>
      </w:hyperlink>
      <w:r w:rsidR="00B715C2">
        <w:t xml:space="preserve">  </w:t>
      </w:r>
    </w:p>
    <w:p w14:paraId="248276C5" w14:textId="77777777" w:rsidR="00B715C2" w:rsidRPr="00A6160A" w:rsidRDefault="00B715C2" w:rsidP="00B715C2">
      <w:pPr>
        <w:adjustRightInd w:val="0"/>
        <w:snapToGrid w:val="0"/>
        <w:spacing w:before="180"/>
        <w:jc w:val="both"/>
      </w:pPr>
      <w:r w:rsidRPr="00A6160A">
        <w:t>[Assessed at 22 February, 2023]</w:t>
      </w:r>
    </w:p>
    <w:p w14:paraId="7848844F" w14:textId="77777777" w:rsidR="00B715C2" w:rsidRDefault="00B715C2" w:rsidP="00942A36">
      <w:pPr>
        <w:adjustRightInd w:val="0"/>
        <w:snapToGrid w:val="0"/>
        <w:spacing w:before="180"/>
        <w:jc w:val="both"/>
      </w:pPr>
    </w:p>
    <w:p w14:paraId="7C3A6AB3" w14:textId="77777777" w:rsidR="00B715C2" w:rsidRPr="00737A34" w:rsidRDefault="00B715C2" w:rsidP="00B715C2">
      <w:pPr>
        <w:adjustRightInd w:val="0"/>
        <w:snapToGrid w:val="0"/>
        <w:spacing w:before="180"/>
        <w:jc w:val="both"/>
      </w:pPr>
      <w:r>
        <w:t xml:space="preserve">Turney (2022), </w:t>
      </w:r>
      <w:r w:rsidRPr="00142656">
        <w:rPr>
          <w:i/>
          <w:iCs/>
        </w:rPr>
        <w:t>Pearson Correlation Coefficient (r) | Guide &amp; Examples</w:t>
      </w:r>
    </w:p>
    <w:p w14:paraId="681C3EC0" w14:textId="77777777" w:rsidR="00B715C2" w:rsidRDefault="00B715C2" w:rsidP="00B715C2">
      <w:pPr>
        <w:adjustRightInd w:val="0"/>
        <w:snapToGrid w:val="0"/>
        <w:spacing w:before="180"/>
        <w:jc w:val="both"/>
      </w:pPr>
      <w:r>
        <w:t xml:space="preserve">Available at </w:t>
      </w:r>
      <w:hyperlink r:id="rId39" w:history="1">
        <w:r w:rsidRPr="002D77CB">
          <w:rPr>
            <w:rStyle w:val="af3"/>
            <w:color w:val="000000" w:themeColor="text1"/>
          </w:rPr>
          <w:t>https://www.scribbr.com/statistics/pearson-correlation-coefficient/</w:t>
        </w:r>
      </w:hyperlink>
      <w:r w:rsidRPr="002D77CB">
        <w:rPr>
          <w:color w:val="000000" w:themeColor="text1"/>
        </w:rPr>
        <w:t xml:space="preserve"> </w:t>
      </w:r>
    </w:p>
    <w:p w14:paraId="1EA030FB" w14:textId="77777777" w:rsidR="00B715C2" w:rsidRDefault="00B715C2" w:rsidP="00B715C2">
      <w:pPr>
        <w:adjustRightInd w:val="0"/>
        <w:snapToGrid w:val="0"/>
        <w:spacing w:before="180"/>
        <w:ind w:left="480" w:hangingChars="200" w:hanging="480"/>
        <w:jc w:val="both"/>
        <w:rPr>
          <w:color w:val="222222"/>
          <w:shd w:val="clear" w:color="auto" w:fill="FFFFFF"/>
        </w:rPr>
      </w:pPr>
      <w:r>
        <w:rPr>
          <w:color w:val="222222"/>
          <w:shd w:val="clear" w:color="auto" w:fill="FFFFFF"/>
        </w:rPr>
        <w:t>[Assessed at 22</w:t>
      </w:r>
      <w:r>
        <w:rPr>
          <w:color w:val="222222"/>
          <w:shd w:val="clear" w:color="auto" w:fill="FFFFFF"/>
          <w:vertAlign w:val="superscript"/>
        </w:rPr>
        <w:t xml:space="preserve"> </w:t>
      </w:r>
      <w:r>
        <w:rPr>
          <w:color w:val="222222"/>
          <w:shd w:val="clear" w:color="auto" w:fill="FFFFFF"/>
        </w:rPr>
        <w:t>February, 2023]</w:t>
      </w:r>
    </w:p>
    <w:p w14:paraId="7072B944" w14:textId="77777777" w:rsidR="00B715C2" w:rsidRDefault="00B715C2" w:rsidP="00942A36">
      <w:pPr>
        <w:adjustRightInd w:val="0"/>
        <w:snapToGrid w:val="0"/>
        <w:spacing w:before="180"/>
        <w:jc w:val="both"/>
      </w:pPr>
    </w:p>
    <w:p w14:paraId="66235355" w14:textId="4E50B958" w:rsidR="00872FDD" w:rsidRDefault="00872FDD" w:rsidP="00942A36">
      <w:pPr>
        <w:adjustRightInd w:val="0"/>
        <w:snapToGrid w:val="0"/>
        <w:spacing w:before="180"/>
        <w:jc w:val="both"/>
        <w:rPr>
          <w:i/>
          <w:iCs/>
        </w:rPr>
      </w:pPr>
      <w:r>
        <w:lastRenderedPageBreak/>
        <w:t xml:space="preserve">Walker (2022), S&amp;P Global ratings, </w:t>
      </w:r>
      <w:r w:rsidRPr="00872FDD">
        <w:rPr>
          <w:i/>
          <w:iCs/>
        </w:rPr>
        <w:t xml:space="preserve">Commodities Boom Bolsters Australia's Budget </w:t>
      </w:r>
    </w:p>
    <w:p w14:paraId="100A1FAA" w14:textId="77777777" w:rsidR="00872FDD" w:rsidRDefault="00872FDD" w:rsidP="00942A36">
      <w:pPr>
        <w:adjustRightInd w:val="0"/>
        <w:snapToGrid w:val="0"/>
        <w:spacing w:before="180"/>
        <w:jc w:val="both"/>
      </w:pPr>
      <w:r>
        <w:rPr>
          <w:rFonts w:hint="eastAsia"/>
        </w:rPr>
        <w:t>A</w:t>
      </w:r>
      <w:r>
        <w:t xml:space="preserve">vailable at </w:t>
      </w:r>
    </w:p>
    <w:p w14:paraId="09E33106" w14:textId="4F25E0A0" w:rsidR="00872FDD" w:rsidRPr="002D77CB" w:rsidRDefault="00000000" w:rsidP="00942A36">
      <w:pPr>
        <w:adjustRightInd w:val="0"/>
        <w:snapToGrid w:val="0"/>
        <w:spacing w:before="180"/>
        <w:jc w:val="both"/>
        <w:rPr>
          <w:color w:val="000000" w:themeColor="text1"/>
        </w:rPr>
      </w:pPr>
      <w:hyperlink r:id="rId40" w:history="1">
        <w:r w:rsidR="00872FDD" w:rsidRPr="002D77CB">
          <w:rPr>
            <w:rStyle w:val="af3"/>
            <w:color w:val="000000" w:themeColor="text1"/>
          </w:rPr>
          <w:t>https://www.capitaliq.com/CIQDotNet/RatingsDirect/PageOne.aspx?favorite=true</w:t>
        </w:r>
      </w:hyperlink>
      <w:r w:rsidR="00872FDD" w:rsidRPr="002D77CB">
        <w:rPr>
          <w:color w:val="000000" w:themeColor="text1"/>
        </w:rPr>
        <w:t xml:space="preserve"> </w:t>
      </w:r>
    </w:p>
    <w:p w14:paraId="7B2742B9" w14:textId="50DBCF3D" w:rsidR="00872FDD" w:rsidRPr="00872FDD" w:rsidRDefault="00872FDD" w:rsidP="00942A36">
      <w:pPr>
        <w:adjustRightInd w:val="0"/>
        <w:snapToGrid w:val="0"/>
        <w:spacing w:before="180"/>
        <w:jc w:val="both"/>
      </w:pPr>
      <w:r>
        <w:rPr>
          <w:color w:val="222222"/>
          <w:shd w:val="clear" w:color="auto" w:fill="FFFFFF"/>
        </w:rPr>
        <w:t>[Assessed at 2 January, 2023]</w:t>
      </w:r>
    </w:p>
    <w:p w14:paraId="6DB6012F" w14:textId="77777777" w:rsidR="00872FDD" w:rsidRDefault="00872FDD" w:rsidP="00942A36">
      <w:pPr>
        <w:adjustRightInd w:val="0"/>
        <w:snapToGrid w:val="0"/>
        <w:spacing w:before="180"/>
        <w:jc w:val="both"/>
      </w:pPr>
    </w:p>
    <w:p w14:paraId="7A6209EC" w14:textId="1BAA4216" w:rsidR="00011846" w:rsidRDefault="00F64DE7" w:rsidP="00942A36">
      <w:pPr>
        <w:adjustRightInd w:val="0"/>
        <w:snapToGrid w:val="0"/>
        <w:spacing w:before="180"/>
        <w:jc w:val="both"/>
      </w:pPr>
      <w:r>
        <w:rPr>
          <w:rFonts w:hint="eastAsia"/>
        </w:rPr>
        <w:t>Y</w:t>
      </w:r>
      <w:r>
        <w:t>ahoo.com (2022)</w:t>
      </w:r>
      <w:r w:rsidR="00F06015">
        <w:t>,</w:t>
      </w:r>
      <w:r>
        <w:t xml:space="preserve"> </w:t>
      </w:r>
      <w:r w:rsidRPr="00F06015">
        <w:rPr>
          <w:i/>
          <w:iCs/>
        </w:rPr>
        <w:t>Yahoo finance</w:t>
      </w:r>
    </w:p>
    <w:p w14:paraId="549EA0AF" w14:textId="2248F15B" w:rsidR="00F64DE7" w:rsidRDefault="00F64DE7" w:rsidP="00942A36">
      <w:pPr>
        <w:adjustRightInd w:val="0"/>
        <w:snapToGrid w:val="0"/>
        <w:spacing w:before="180"/>
        <w:jc w:val="both"/>
      </w:pPr>
      <w:r>
        <w:t xml:space="preserve">Available at </w:t>
      </w:r>
      <w:hyperlink r:id="rId41" w:history="1">
        <w:r w:rsidRPr="002D77CB">
          <w:rPr>
            <w:rStyle w:val="af3"/>
            <w:color w:val="000000" w:themeColor="text1"/>
          </w:rPr>
          <w:t>https://finance.yahoo.com/world-indices</w:t>
        </w:r>
      </w:hyperlink>
      <w:r w:rsidRPr="002D77CB">
        <w:rPr>
          <w:color w:val="000000" w:themeColor="text1"/>
        </w:rPr>
        <w:t xml:space="preserve"> </w:t>
      </w:r>
    </w:p>
    <w:p w14:paraId="27FB252B" w14:textId="397A0E7F" w:rsidR="00F64DE7" w:rsidRDefault="00F64DE7" w:rsidP="00F64DE7">
      <w:pPr>
        <w:adjustRightInd w:val="0"/>
        <w:snapToGrid w:val="0"/>
        <w:spacing w:before="180"/>
        <w:jc w:val="both"/>
        <w:rPr>
          <w:color w:val="222222"/>
          <w:shd w:val="clear" w:color="auto" w:fill="FFFFFF"/>
        </w:rPr>
      </w:pPr>
      <w:r>
        <w:rPr>
          <w:color w:val="222222"/>
          <w:shd w:val="clear" w:color="auto" w:fill="FFFFFF"/>
        </w:rPr>
        <w:t>[Assessed at 2 January, 2023]</w:t>
      </w:r>
    </w:p>
    <w:p w14:paraId="635FE960" w14:textId="465C9FB7" w:rsidR="00F64DE7" w:rsidRDefault="00F64DE7" w:rsidP="00942A36">
      <w:pPr>
        <w:adjustRightInd w:val="0"/>
        <w:snapToGrid w:val="0"/>
        <w:spacing w:before="180"/>
        <w:jc w:val="both"/>
      </w:pPr>
    </w:p>
    <w:p w14:paraId="34543F4C" w14:textId="77777777" w:rsidR="00B715C2" w:rsidRDefault="00B715C2" w:rsidP="00B715C2">
      <w:pPr>
        <w:adjustRightInd w:val="0"/>
        <w:snapToGrid w:val="0"/>
        <w:spacing w:before="180"/>
        <w:jc w:val="both"/>
      </w:pPr>
      <w:r w:rsidRPr="0002018B">
        <w:t>Zhang,</w:t>
      </w:r>
      <w:r>
        <w:t xml:space="preserve"> </w:t>
      </w:r>
      <w:r w:rsidRPr="0002018B">
        <w:t xml:space="preserve">M.H. and Ji (2020) </w:t>
      </w:r>
      <w:r w:rsidRPr="0002018B">
        <w:rPr>
          <w:i/>
          <w:iCs/>
        </w:rPr>
        <w:t>Financial markets under the global pandemic of COVID-19</w:t>
      </w:r>
      <w:r>
        <w:rPr>
          <w:i/>
          <w:iCs/>
        </w:rPr>
        <w:t xml:space="preserve"> </w:t>
      </w:r>
      <w:r>
        <w:t xml:space="preserve">p.1 </w:t>
      </w:r>
    </w:p>
    <w:p w14:paraId="1F0D2146" w14:textId="77777777" w:rsidR="00B715C2" w:rsidRDefault="00B715C2" w:rsidP="00B715C2">
      <w:pPr>
        <w:adjustRightInd w:val="0"/>
        <w:snapToGrid w:val="0"/>
        <w:spacing w:before="180"/>
        <w:jc w:val="both"/>
      </w:pPr>
      <w:r>
        <w:t>Avai</w:t>
      </w:r>
      <w:r w:rsidRPr="00F06015">
        <w:rPr>
          <w:color w:val="000000" w:themeColor="text1"/>
        </w:rPr>
        <w:t xml:space="preserve">lable at: </w:t>
      </w:r>
      <w:hyperlink r:id="rId42" w:history="1">
        <w:r w:rsidRPr="00F06015">
          <w:rPr>
            <w:rStyle w:val="af3"/>
            <w:color w:val="000000" w:themeColor="text1"/>
          </w:rPr>
          <w:t>https://www.sciencedirect.com/science/article/pii/S1544612320304050</w:t>
        </w:r>
      </w:hyperlink>
    </w:p>
    <w:p w14:paraId="55C24C07" w14:textId="77777777" w:rsidR="00B715C2" w:rsidRDefault="00B715C2" w:rsidP="00B715C2">
      <w:pPr>
        <w:adjustRightInd w:val="0"/>
        <w:snapToGrid w:val="0"/>
        <w:spacing w:before="180"/>
        <w:jc w:val="both"/>
        <w:rPr>
          <w:color w:val="222222"/>
          <w:shd w:val="clear" w:color="auto" w:fill="FFFFFF"/>
        </w:rPr>
      </w:pPr>
      <w:r>
        <w:rPr>
          <w:color w:val="222222"/>
          <w:shd w:val="clear" w:color="auto" w:fill="FFFFFF"/>
        </w:rPr>
        <w:t>[Assessed at 25 February, 2023]</w:t>
      </w:r>
    </w:p>
    <w:p w14:paraId="6A6809FE" w14:textId="77777777" w:rsidR="00B715C2" w:rsidRPr="0002018B" w:rsidRDefault="00B715C2" w:rsidP="00942A36">
      <w:pPr>
        <w:adjustRightInd w:val="0"/>
        <w:snapToGrid w:val="0"/>
        <w:spacing w:before="180"/>
        <w:jc w:val="both"/>
      </w:pPr>
    </w:p>
    <w:sectPr w:rsidR="00B715C2" w:rsidRPr="0002018B">
      <w:pgSz w:w="11906" w:h="16838"/>
      <w:pgMar w:top="1134" w:right="1418" w:bottom="1134" w:left="1418"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30CF2" w14:textId="77777777" w:rsidR="001E5845" w:rsidRDefault="001E5845">
      <w:pPr>
        <w:spacing w:before="120"/>
      </w:pPr>
      <w:r>
        <w:separator/>
      </w:r>
    </w:p>
  </w:endnote>
  <w:endnote w:type="continuationSeparator" w:id="0">
    <w:p w14:paraId="3AA0BC19" w14:textId="77777777" w:rsidR="001E5845" w:rsidRDefault="001E5845">
      <w:pPr>
        <w:spacing w:before="12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NewRoman,Bold">
    <w:altName w:val="Times New Roman"/>
    <w:panose1 w:val="020B0604020202020204"/>
    <w:charset w:val="00"/>
    <w:family w:val="roman"/>
    <w:notTrueType/>
    <w:pitch w:val="default"/>
    <w:sig w:usb0="00000003" w:usb1="00000000" w:usb2="00000000" w:usb3="00000000" w:csb0="00000001" w:csb1="00000000"/>
  </w:font>
  <w:font w:name="標楷體">
    <w:altName w:val="微軟正黑體"/>
    <w:panose1 w:val="02010601000101010101"/>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77777777" w:rsidR="00767A43" w:rsidRDefault="00767A43">
    <w:pPr>
      <w:pStyle w:val="a7"/>
      <w:framePr w:wrap="around" w:vAnchor="text" w:hAnchor="margin" w:xAlign="center" w:y="1"/>
      <w:rPr>
        <w:rStyle w:val="ac"/>
      </w:rPr>
    </w:pPr>
    <w:r>
      <w:rPr>
        <w:rStyle w:val="ac"/>
      </w:rPr>
      <w:fldChar w:fldCharType="begin"/>
    </w:r>
    <w:r>
      <w:rPr>
        <w:rStyle w:val="ac"/>
      </w:rPr>
      <w:instrText xml:space="preserve">PAGE  </w:instrText>
    </w:r>
    <w:r>
      <w:rPr>
        <w:rStyle w:val="ac"/>
      </w:rPr>
      <w:fldChar w:fldCharType="end"/>
    </w:r>
  </w:p>
  <w:p w14:paraId="436EE74F" w14:textId="77777777" w:rsidR="00767A43" w:rsidRDefault="00767A43">
    <w:pPr>
      <w:pStyle w:val="a7"/>
      <w:spacing w:before="1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38433" w14:textId="77777777" w:rsidR="00767A43" w:rsidRDefault="00767A43">
    <w:pPr>
      <w:pStyle w:val="a7"/>
      <w:framePr w:wrap="around" w:vAnchor="text" w:hAnchor="margin" w:xAlign="center" w:y="1"/>
      <w:spacing w:before="120"/>
      <w:rPr>
        <w:rStyle w:val="ac"/>
      </w:rPr>
    </w:pPr>
  </w:p>
  <w:p w14:paraId="6CB37942" w14:textId="77777777" w:rsidR="00767A43" w:rsidRDefault="00767A43">
    <w:pPr>
      <w:pStyle w:val="a7"/>
      <w:framePr w:wrap="around" w:vAnchor="text" w:hAnchor="margin" w:xAlign="center" w:y="1"/>
      <w:spacing w:before="120"/>
      <w:rPr>
        <w:rStyle w:val="ac"/>
      </w:rPr>
    </w:pPr>
  </w:p>
  <w:p w14:paraId="3C3FC5EC" w14:textId="77777777" w:rsidR="00767A43" w:rsidRDefault="00767A43">
    <w:pPr>
      <w:pStyle w:val="a7"/>
      <w:framePr w:wrap="around" w:vAnchor="text" w:hAnchor="margin" w:xAlign="center" w:y="1"/>
      <w:spacing w:before="120"/>
      <w:rPr>
        <w:rStyle w:val="ac"/>
      </w:rPr>
    </w:pPr>
  </w:p>
  <w:p w14:paraId="7598CCC4" w14:textId="77777777" w:rsidR="00767A43" w:rsidRDefault="00767A43">
    <w:pPr>
      <w:pStyle w:val="a7"/>
      <w:framePr w:wrap="around" w:vAnchor="text" w:hAnchor="margin" w:xAlign="center" w:y="1"/>
      <w:spacing w:before="120"/>
      <w:rPr>
        <w:rStyle w:val="ac"/>
      </w:rPr>
    </w:pPr>
  </w:p>
  <w:p w14:paraId="01F479D6" w14:textId="77777777" w:rsidR="00767A43" w:rsidRDefault="00767A43">
    <w:pPr>
      <w:pStyle w:val="a7"/>
      <w:framePr w:wrap="around" w:vAnchor="text" w:hAnchor="margin" w:xAlign="center" w:y="1"/>
      <w:spacing w:before="120"/>
      <w:rPr>
        <w:rStyle w:val="ac"/>
      </w:rPr>
    </w:pPr>
  </w:p>
  <w:p w14:paraId="1AF2B952" w14:textId="77777777" w:rsidR="00767A43" w:rsidRDefault="00767A43">
    <w:pPr>
      <w:pStyle w:val="a7"/>
      <w:spacing w:before="120"/>
      <w:jc w:val="center"/>
    </w:pPr>
    <w:r>
      <w:rPr>
        <w:rStyle w:val="ac"/>
      </w:rPr>
      <w:fldChar w:fldCharType="begin"/>
    </w:r>
    <w:r>
      <w:rPr>
        <w:rStyle w:val="ac"/>
      </w:rPr>
      <w:instrText xml:space="preserve"> PAGE </w:instrText>
    </w:r>
    <w:r>
      <w:rPr>
        <w:rStyle w:val="ac"/>
      </w:rPr>
      <w:fldChar w:fldCharType="separate"/>
    </w:r>
    <w:r w:rsidR="0024164F">
      <w:rPr>
        <w:rStyle w:val="ac"/>
        <w:noProof/>
      </w:rPr>
      <w:t>5</w:t>
    </w:r>
    <w:r>
      <w:rPr>
        <w:rStyle w:val="ac"/>
      </w:rPr>
      <w:fldChar w:fldCharType="end"/>
    </w:r>
  </w:p>
  <w:p w14:paraId="6CBC4991" w14:textId="77777777" w:rsidR="00767A43" w:rsidRDefault="00767A43">
    <w:pPr>
      <w:pStyle w:val="a7"/>
      <w:spacing w:before="120"/>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A947B" w14:textId="77777777" w:rsidR="001E5845" w:rsidRDefault="001E5845">
      <w:pPr>
        <w:spacing w:before="120"/>
      </w:pPr>
      <w:r>
        <w:separator/>
      </w:r>
    </w:p>
  </w:footnote>
  <w:footnote w:type="continuationSeparator" w:id="0">
    <w:p w14:paraId="1F05FDD8" w14:textId="77777777" w:rsidR="001E5845" w:rsidRDefault="001E5845">
      <w:pPr>
        <w:spacing w:before="12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1477836930">
    <w:abstractNumId w:val="0"/>
  </w:num>
  <w:num w:numId="2" w16cid:durableId="1563560084">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ocumentProtection w:edit="trackedChanges" w:enforcement="0"/>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002E"/>
    <w:rsid w:val="000023DF"/>
    <w:rsid w:val="00011846"/>
    <w:rsid w:val="000122C2"/>
    <w:rsid w:val="00015359"/>
    <w:rsid w:val="0002018B"/>
    <w:rsid w:val="00025259"/>
    <w:rsid w:val="00025DBC"/>
    <w:rsid w:val="00031703"/>
    <w:rsid w:val="00033C9A"/>
    <w:rsid w:val="00041FFC"/>
    <w:rsid w:val="00043011"/>
    <w:rsid w:val="0004334A"/>
    <w:rsid w:val="00046AC0"/>
    <w:rsid w:val="00051353"/>
    <w:rsid w:val="00051EE9"/>
    <w:rsid w:val="0005421C"/>
    <w:rsid w:val="00056569"/>
    <w:rsid w:val="00061806"/>
    <w:rsid w:val="0006213B"/>
    <w:rsid w:val="00065842"/>
    <w:rsid w:val="000669F2"/>
    <w:rsid w:val="00067138"/>
    <w:rsid w:val="00067507"/>
    <w:rsid w:val="000700D6"/>
    <w:rsid w:val="00071196"/>
    <w:rsid w:val="00072630"/>
    <w:rsid w:val="000734C8"/>
    <w:rsid w:val="00073632"/>
    <w:rsid w:val="00073C3C"/>
    <w:rsid w:val="00073D72"/>
    <w:rsid w:val="00074310"/>
    <w:rsid w:val="00074B88"/>
    <w:rsid w:val="00077BCA"/>
    <w:rsid w:val="0009298F"/>
    <w:rsid w:val="00093362"/>
    <w:rsid w:val="00095921"/>
    <w:rsid w:val="000A1B70"/>
    <w:rsid w:val="000A443D"/>
    <w:rsid w:val="000A4704"/>
    <w:rsid w:val="000A4AFC"/>
    <w:rsid w:val="000A65C6"/>
    <w:rsid w:val="000A7BDB"/>
    <w:rsid w:val="000B2E38"/>
    <w:rsid w:val="000B3E47"/>
    <w:rsid w:val="000B3FC3"/>
    <w:rsid w:val="000B4DA5"/>
    <w:rsid w:val="000C247E"/>
    <w:rsid w:val="000C26F3"/>
    <w:rsid w:val="000C61E4"/>
    <w:rsid w:val="000C7AF4"/>
    <w:rsid w:val="000D21B6"/>
    <w:rsid w:val="000D2D3C"/>
    <w:rsid w:val="000D3340"/>
    <w:rsid w:val="000E0394"/>
    <w:rsid w:val="000E4E98"/>
    <w:rsid w:val="000E503E"/>
    <w:rsid w:val="000E62A0"/>
    <w:rsid w:val="000E694D"/>
    <w:rsid w:val="000F0C30"/>
    <w:rsid w:val="000F3630"/>
    <w:rsid w:val="000F4BF5"/>
    <w:rsid w:val="000F5063"/>
    <w:rsid w:val="00100278"/>
    <w:rsid w:val="00102688"/>
    <w:rsid w:val="00104ACF"/>
    <w:rsid w:val="0010747A"/>
    <w:rsid w:val="00110CBA"/>
    <w:rsid w:val="001125F7"/>
    <w:rsid w:val="00115FF2"/>
    <w:rsid w:val="00120C18"/>
    <w:rsid w:val="001222BD"/>
    <w:rsid w:val="00122D91"/>
    <w:rsid w:val="001265A1"/>
    <w:rsid w:val="00130167"/>
    <w:rsid w:val="001305C5"/>
    <w:rsid w:val="001320BA"/>
    <w:rsid w:val="001330D1"/>
    <w:rsid w:val="00133300"/>
    <w:rsid w:val="00133640"/>
    <w:rsid w:val="0014089C"/>
    <w:rsid w:val="00142656"/>
    <w:rsid w:val="00144063"/>
    <w:rsid w:val="0014442A"/>
    <w:rsid w:val="00147247"/>
    <w:rsid w:val="00150B2A"/>
    <w:rsid w:val="001527E6"/>
    <w:rsid w:val="00153DE0"/>
    <w:rsid w:val="00155454"/>
    <w:rsid w:val="001614DA"/>
    <w:rsid w:val="0016250C"/>
    <w:rsid w:val="00171093"/>
    <w:rsid w:val="00171878"/>
    <w:rsid w:val="00171D57"/>
    <w:rsid w:val="0017322E"/>
    <w:rsid w:val="001812FB"/>
    <w:rsid w:val="001817CC"/>
    <w:rsid w:val="00185007"/>
    <w:rsid w:val="00186EAD"/>
    <w:rsid w:val="001870C1"/>
    <w:rsid w:val="001906C0"/>
    <w:rsid w:val="001918DC"/>
    <w:rsid w:val="00192A2F"/>
    <w:rsid w:val="00193611"/>
    <w:rsid w:val="0019463A"/>
    <w:rsid w:val="0019609F"/>
    <w:rsid w:val="001A33DB"/>
    <w:rsid w:val="001A59C8"/>
    <w:rsid w:val="001A5C97"/>
    <w:rsid w:val="001A6A62"/>
    <w:rsid w:val="001A7324"/>
    <w:rsid w:val="001A787B"/>
    <w:rsid w:val="001B0195"/>
    <w:rsid w:val="001B1CA9"/>
    <w:rsid w:val="001B1DF5"/>
    <w:rsid w:val="001B32B5"/>
    <w:rsid w:val="001B57A2"/>
    <w:rsid w:val="001B6E9D"/>
    <w:rsid w:val="001C1894"/>
    <w:rsid w:val="001C1A29"/>
    <w:rsid w:val="001C1D9B"/>
    <w:rsid w:val="001C2DED"/>
    <w:rsid w:val="001C3493"/>
    <w:rsid w:val="001C526F"/>
    <w:rsid w:val="001C7278"/>
    <w:rsid w:val="001D2158"/>
    <w:rsid w:val="001D4213"/>
    <w:rsid w:val="001D6BB9"/>
    <w:rsid w:val="001D74DF"/>
    <w:rsid w:val="001D7665"/>
    <w:rsid w:val="001E39AE"/>
    <w:rsid w:val="001E5097"/>
    <w:rsid w:val="001E55FC"/>
    <w:rsid w:val="001E5845"/>
    <w:rsid w:val="001E5E34"/>
    <w:rsid w:val="001E6BC3"/>
    <w:rsid w:val="001E73A8"/>
    <w:rsid w:val="001E74AF"/>
    <w:rsid w:val="001F0B52"/>
    <w:rsid w:val="001F0EA0"/>
    <w:rsid w:val="001F10C8"/>
    <w:rsid w:val="001F2722"/>
    <w:rsid w:val="001F3715"/>
    <w:rsid w:val="001F4DE1"/>
    <w:rsid w:val="0020154A"/>
    <w:rsid w:val="002027BC"/>
    <w:rsid w:val="00202E67"/>
    <w:rsid w:val="0020641F"/>
    <w:rsid w:val="00207129"/>
    <w:rsid w:val="00207B89"/>
    <w:rsid w:val="002133E1"/>
    <w:rsid w:val="00216941"/>
    <w:rsid w:val="00221F54"/>
    <w:rsid w:val="00222688"/>
    <w:rsid w:val="00222830"/>
    <w:rsid w:val="002272CE"/>
    <w:rsid w:val="00236A1B"/>
    <w:rsid w:val="0024164F"/>
    <w:rsid w:val="002433E4"/>
    <w:rsid w:val="00246DD2"/>
    <w:rsid w:val="00247A64"/>
    <w:rsid w:val="002537D4"/>
    <w:rsid w:val="00257DBB"/>
    <w:rsid w:val="002616C0"/>
    <w:rsid w:val="00262154"/>
    <w:rsid w:val="00262F01"/>
    <w:rsid w:val="002656CC"/>
    <w:rsid w:val="00271DC6"/>
    <w:rsid w:val="00271EAD"/>
    <w:rsid w:val="0027453D"/>
    <w:rsid w:val="00280CE8"/>
    <w:rsid w:val="00281432"/>
    <w:rsid w:val="00281F6E"/>
    <w:rsid w:val="002840C0"/>
    <w:rsid w:val="00286ACB"/>
    <w:rsid w:val="00287F0C"/>
    <w:rsid w:val="002904D7"/>
    <w:rsid w:val="0029091A"/>
    <w:rsid w:val="00294774"/>
    <w:rsid w:val="002A0C6E"/>
    <w:rsid w:val="002A3DCC"/>
    <w:rsid w:val="002A64DA"/>
    <w:rsid w:val="002B223D"/>
    <w:rsid w:val="002B4298"/>
    <w:rsid w:val="002B470A"/>
    <w:rsid w:val="002B69A7"/>
    <w:rsid w:val="002B6B7D"/>
    <w:rsid w:val="002C00FA"/>
    <w:rsid w:val="002C5008"/>
    <w:rsid w:val="002C6D36"/>
    <w:rsid w:val="002D0543"/>
    <w:rsid w:val="002D24F5"/>
    <w:rsid w:val="002D31DF"/>
    <w:rsid w:val="002D33B3"/>
    <w:rsid w:val="002D4C3A"/>
    <w:rsid w:val="002D77CB"/>
    <w:rsid w:val="002E13EB"/>
    <w:rsid w:val="002E37EA"/>
    <w:rsid w:val="002E3C12"/>
    <w:rsid w:val="002E44B4"/>
    <w:rsid w:val="002E68FC"/>
    <w:rsid w:val="002E6B61"/>
    <w:rsid w:val="002E6FFE"/>
    <w:rsid w:val="002F0356"/>
    <w:rsid w:val="002F0D20"/>
    <w:rsid w:val="002F10F8"/>
    <w:rsid w:val="002F5A28"/>
    <w:rsid w:val="0030079C"/>
    <w:rsid w:val="00301D5E"/>
    <w:rsid w:val="0030470A"/>
    <w:rsid w:val="003047B3"/>
    <w:rsid w:val="00306563"/>
    <w:rsid w:val="00307782"/>
    <w:rsid w:val="00307D94"/>
    <w:rsid w:val="00311ADA"/>
    <w:rsid w:val="00312786"/>
    <w:rsid w:val="00313CFB"/>
    <w:rsid w:val="00316792"/>
    <w:rsid w:val="003227CB"/>
    <w:rsid w:val="0032410B"/>
    <w:rsid w:val="0033084E"/>
    <w:rsid w:val="00340A26"/>
    <w:rsid w:val="003420A0"/>
    <w:rsid w:val="003424A2"/>
    <w:rsid w:val="0034350A"/>
    <w:rsid w:val="00343BC4"/>
    <w:rsid w:val="0034466F"/>
    <w:rsid w:val="003531DD"/>
    <w:rsid w:val="00353909"/>
    <w:rsid w:val="00353F8C"/>
    <w:rsid w:val="00357CF4"/>
    <w:rsid w:val="00361D20"/>
    <w:rsid w:val="00362C4F"/>
    <w:rsid w:val="003632B8"/>
    <w:rsid w:val="00363B39"/>
    <w:rsid w:val="00364BF4"/>
    <w:rsid w:val="00365337"/>
    <w:rsid w:val="003668C1"/>
    <w:rsid w:val="00372343"/>
    <w:rsid w:val="0037238F"/>
    <w:rsid w:val="00374E46"/>
    <w:rsid w:val="00375245"/>
    <w:rsid w:val="00377EB2"/>
    <w:rsid w:val="00381AEC"/>
    <w:rsid w:val="0038248C"/>
    <w:rsid w:val="003842F8"/>
    <w:rsid w:val="003847DB"/>
    <w:rsid w:val="00385AE9"/>
    <w:rsid w:val="003920A7"/>
    <w:rsid w:val="00392184"/>
    <w:rsid w:val="00392EB9"/>
    <w:rsid w:val="0039381A"/>
    <w:rsid w:val="00394ACD"/>
    <w:rsid w:val="00396AF3"/>
    <w:rsid w:val="00396BAD"/>
    <w:rsid w:val="003A0719"/>
    <w:rsid w:val="003A312D"/>
    <w:rsid w:val="003A3E71"/>
    <w:rsid w:val="003A745A"/>
    <w:rsid w:val="003B1AA3"/>
    <w:rsid w:val="003B343D"/>
    <w:rsid w:val="003B3DC2"/>
    <w:rsid w:val="003B6ED1"/>
    <w:rsid w:val="003B71F5"/>
    <w:rsid w:val="003C0062"/>
    <w:rsid w:val="003C1399"/>
    <w:rsid w:val="003C23A7"/>
    <w:rsid w:val="003C55EA"/>
    <w:rsid w:val="003C7CDB"/>
    <w:rsid w:val="003D222B"/>
    <w:rsid w:val="003D31CD"/>
    <w:rsid w:val="003D5704"/>
    <w:rsid w:val="003D607E"/>
    <w:rsid w:val="003D6246"/>
    <w:rsid w:val="003D627C"/>
    <w:rsid w:val="003D7CB7"/>
    <w:rsid w:val="003E277D"/>
    <w:rsid w:val="003F04F9"/>
    <w:rsid w:val="003F1D6C"/>
    <w:rsid w:val="003F6164"/>
    <w:rsid w:val="003F7FC0"/>
    <w:rsid w:val="00400416"/>
    <w:rsid w:val="00400AF9"/>
    <w:rsid w:val="004012C4"/>
    <w:rsid w:val="00402D3A"/>
    <w:rsid w:val="00405158"/>
    <w:rsid w:val="00406C77"/>
    <w:rsid w:val="00407DD6"/>
    <w:rsid w:val="004109AB"/>
    <w:rsid w:val="00411E20"/>
    <w:rsid w:val="00414B1E"/>
    <w:rsid w:val="004227B2"/>
    <w:rsid w:val="00422BC2"/>
    <w:rsid w:val="004232B5"/>
    <w:rsid w:val="004238D8"/>
    <w:rsid w:val="0042661C"/>
    <w:rsid w:val="0042701B"/>
    <w:rsid w:val="00433146"/>
    <w:rsid w:val="00434A12"/>
    <w:rsid w:val="004411A7"/>
    <w:rsid w:val="00441FB5"/>
    <w:rsid w:val="00443122"/>
    <w:rsid w:val="004447D3"/>
    <w:rsid w:val="004464F4"/>
    <w:rsid w:val="004503C0"/>
    <w:rsid w:val="00450C04"/>
    <w:rsid w:val="00455FDF"/>
    <w:rsid w:val="004571DA"/>
    <w:rsid w:val="004634E2"/>
    <w:rsid w:val="004678C6"/>
    <w:rsid w:val="004702E9"/>
    <w:rsid w:val="00475425"/>
    <w:rsid w:val="00476518"/>
    <w:rsid w:val="00477A9D"/>
    <w:rsid w:val="00486184"/>
    <w:rsid w:val="00490413"/>
    <w:rsid w:val="00492397"/>
    <w:rsid w:val="00494377"/>
    <w:rsid w:val="00497B31"/>
    <w:rsid w:val="004A04F2"/>
    <w:rsid w:val="004A0BE0"/>
    <w:rsid w:val="004A2B65"/>
    <w:rsid w:val="004A5476"/>
    <w:rsid w:val="004A63E8"/>
    <w:rsid w:val="004B1D19"/>
    <w:rsid w:val="004B2FD3"/>
    <w:rsid w:val="004B47FB"/>
    <w:rsid w:val="004B7F46"/>
    <w:rsid w:val="004C1B52"/>
    <w:rsid w:val="004C75C4"/>
    <w:rsid w:val="004D0020"/>
    <w:rsid w:val="004D24AB"/>
    <w:rsid w:val="004D2C03"/>
    <w:rsid w:val="004D6E44"/>
    <w:rsid w:val="004E4BA2"/>
    <w:rsid w:val="004E5F5E"/>
    <w:rsid w:val="004E6307"/>
    <w:rsid w:val="004F2917"/>
    <w:rsid w:val="004F2C98"/>
    <w:rsid w:val="004F47F5"/>
    <w:rsid w:val="004F654D"/>
    <w:rsid w:val="004F6AD5"/>
    <w:rsid w:val="004F6EC9"/>
    <w:rsid w:val="004F75CD"/>
    <w:rsid w:val="00500AA3"/>
    <w:rsid w:val="00501F33"/>
    <w:rsid w:val="005029B4"/>
    <w:rsid w:val="00507D1A"/>
    <w:rsid w:val="005140A6"/>
    <w:rsid w:val="00516B58"/>
    <w:rsid w:val="00517C02"/>
    <w:rsid w:val="0052173A"/>
    <w:rsid w:val="0052260F"/>
    <w:rsid w:val="00522DCB"/>
    <w:rsid w:val="00523C97"/>
    <w:rsid w:val="00525697"/>
    <w:rsid w:val="00525BB2"/>
    <w:rsid w:val="005267E5"/>
    <w:rsid w:val="0052784E"/>
    <w:rsid w:val="005304D6"/>
    <w:rsid w:val="00530B7C"/>
    <w:rsid w:val="00534128"/>
    <w:rsid w:val="005344BB"/>
    <w:rsid w:val="00534580"/>
    <w:rsid w:val="0053587B"/>
    <w:rsid w:val="00537D94"/>
    <w:rsid w:val="00537FEE"/>
    <w:rsid w:val="005425E0"/>
    <w:rsid w:val="00543551"/>
    <w:rsid w:val="005435E4"/>
    <w:rsid w:val="00544B7F"/>
    <w:rsid w:val="0054548B"/>
    <w:rsid w:val="0054591F"/>
    <w:rsid w:val="0054639B"/>
    <w:rsid w:val="00552061"/>
    <w:rsid w:val="00553A41"/>
    <w:rsid w:val="005542DA"/>
    <w:rsid w:val="0055576A"/>
    <w:rsid w:val="00555CF6"/>
    <w:rsid w:val="00565FC6"/>
    <w:rsid w:val="005661BD"/>
    <w:rsid w:val="0056787F"/>
    <w:rsid w:val="005725BC"/>
    <w:rsid w:val="00572874"/>
    <w:rsid w:val="00572C3F"/>
    <w:rsid w:val="00572CB4"/>
    <w:rsid w:val="00575D99"/>
    <w:rsid w:val="00580021"/>
    <w:rsid w:val="00581964"/>
    <w:rsid w:val="005827E1"/>
    <w:rsid w:val="00582BF0"/>
    <w:rsid w:val="005830B0"/>
    <w:rsid w:val="0058562C"/>
    <w:rsid w:val="0059423F"/>
    <w:rsid w:val="00596892"/>
    <w:rsid w:val="005A0D1A"/>
    <w:rsid w:val="005A28C0"/>
    <w:rsid w:val="005A7CE6"/>
    <w:rsid w:val="005B1231"/>
    <w:rsid w:val="005B1967"/>
    <w:rsid w:val="005B40FD"/>
    <w:rsid w:val="005C04B1"/>
    <w:rsid w:val="005C121D"/>
    <w:rsid w:val="005C1951"/>
    <w:rsid w:val="005C38FC"/>
    <w:rsid w:val="005C4ED3"/>
    <w:rsid w:val="005C595A"/>
    <w:rsid w:val="005C6226"/>
    <w:rsid w:val="005D12B4"/>
    <w:rsid w:val="005D15AF"/>
    <w:rsid w:val="005D2A07"/>
    <w:rsid w:val="005D390D"/>
    <w:rsid w:val="005E2C59"/>
    <w:rsid w:val="005E3A50"/>
    <w:rsid w:val="005E40D7"/>
    <w:rsid w:val="005E4AA8"/>
    <w:rsid w:val="005E56F8"/>
    <w:rsid w:val="005E7C34"/>
    <w:rsid w:val="005F23F0"/>
    <w:rsid w:val="005F42DA"/>
    <w:rsid w:val="005F4FBD"/>
    <w:rsid w:val="005F5BA8"/>
    <w:rsid w:val="005F6E6F"/>
    <w:rsid w:val="005F7B15"/>
    <w:rsid w:val="0060104D"/>
    <w:rsid w:val="0060182C"/>
    <w:rsid w:val="00601845"/>
    <w:rsid w:val="00602A77"/>
    <w:rsid w:val="00602F59"/>
    <w:rsid w:val="00603E07"/>
    <w:rsid w:val="006067C2"/>
    <w:rsid w:val="00607CFA"/>
    <w:rsid w:val="006139C1"/>
    <w:rsid w:val="006160C3"/>
    <w:rsid w:val="00620A7D"/>
    <w:rsid w:val="0062280C"/>
    <w:rsid w:val="0062328F"/>
    <w:rsid w:val="00624564"/>
    <w:rsid w:val="00627B86"/>
    <w:rsid w:val="00631303"/>
    <w:rsid w:val="00631EB1"/>
    <w:rsid w:val="00634356"/>
    <w:rsid w:val="00634788"/>
    <w:rsid w:val="00635560"/>
    <w:rsid w:val="00635D3C"/>
    <w:rsid w:val="0063697D"/>
    <w:rsid w:val="00640797"/>
    <w:rsid w:val="00641B63"/>
    <w:rsid w:val="00647FF6"/>
    <w:rsid w:val="006503C4"/>
    <w:rsid w:val="006508F5"/>
    <w:rsid w:val="00650936"/>
    <w:rsid w:val="00651B8D"/>
    <w:rsid w:val="006525BF"/>
    <w:rsid w:val="00660AEA"/>
    <w:rsid w:val="00663C51"/>
    <w:rsid w:val="006657B3"/>
    <w:rsid w:val="006709A1"/>
    <w:rsid w:val="00671916"/>
    <w:rsid w:val="00672944"/>
    <w:rsid w:val="006768F7"/>
    <w:rsid w:val="00677582"/>
    <w:rsid w:val="00680643"/>
    <w:rsid w:val="00680D5C"/>
    <w:rsid w:val="00682A1C"/>
    <w:rsid w:val="00683206"/>
    <w:rsid w:val="006841F6"/>
    <w:rsid w:val="00684616"/>
    <w:rsid w:val="006846B9"/>
    <w:rsid w:val="00690C02"/>
    <w:rsid w:val="006A0855"/>
    <w:rsid w:val="006A0AE4"/>
    <w:rsid w:val="006A0BDA"/>
    <w:rsid w:val="006A0E65"/>
    <w:rsid w:val="006A22B7"/>
    <w:rsid w:val="006A3E24"/>
    <w:rsid w:val="006B1636"/>
    <w:rsid w:val="006B1D79"/>
    <w:rsid w:val="006B7878"/>
    <w:rsid w:val="006C0C19"/>
    <w:rsid w:val="006C3494"/>
    <w:rsid w:val="006C6282"/>
    <w:rsid w:val="006C6CC9"/>
    <w:rsid w:val="006D1D96"/>
    <w:rsid w:val="006D5BFB"/>
    <w:rsid w:val="006D735E"/>
    <w:rsid w:val="006E2EE7"/>
    <w:rsid w:val="006E3453"/>
    <w:rsid w:val="006E508D"/>
    <w:rsid w:val="006E67D4"/>
    <w:rsid w:val="006E6814"/>
    <w:rsid w:val="006E73DD"/>
    <w:rsid w:val="006F0D52"/>
    <w:rsid w:val="006F1CCF"/>
    <w:rsid w:val="006F3315"/>
    <w:rsid w:val="006F346A"/>
    <w:rsid w:val="006F5A45"/>
    <w:rsid w:val="00700850"/>
    <w:rsid w:val="00706959"/>
    <w:rsid w:val="00706A22"/>
    <w:rsid w:val="007211BF"/>
    <w:rsid w:val="00724B0D"/>
    <w:rsid w:val="0073201D"/>
    <w:rsid w:val="0073313F"/>
    <w:rsid w:val="00733A00"/>
    <w:rsid w:val="007346EB"/>
    <w:rsid w:val="00737A34"/>
    <w:rsid w:val="00741A28"/>
    <w:rsid w:val="007426F7"/>
    <w:rsid w:val="00744DAE"/>
    <w:rsid w:val="00746B72"/>
    <w:rsid w:val="00755E6B"/>
    <w:rsid w:val="00762607"/>
    <w:rsid w:val="00764453"/>
    <w:rsid w:val="007648C1"/>
    <w:rsid w:val="007669AE"/>
    <w:rsid w:val="00767985"/>
    <w:rsid w:val="00767A43"/>
    <w:rsid w:val="00770789"/>
    <w:rsid w:val="0077084A"/>
    <w:rsid w:val="00770D30"/>
    <w:rsid w:val="00774BFB"/>
    <w:rsid w:val="00775D8D"/>
    <w:rsid w:val="0077605D"/>
    <w:rsid w:val="007767C6"/>
    <w:rsid w:val="007824BA"/>
    <w:rsid w:val="00783714"/>
    <w:rsid w:val="007839F3"/>
    <w:rsid w:val="00783E36"/>
    <w:rsid w:val="00785709"/>
    <w:rsid w:val="00785B24"/>
    <w:rsid w:val="007905CD"/>
    <w:rsid w:val="0079187F"/>
    <w:rsid w:val="00793757"/>
    <w:rsid w:val="00795EAB"/>
    <w:rsid w:val="00796807"/>
    <w:rsid w:val="007A190F"/>
    <w:rsid w:val="007A25B7"/>
    <w:rsid w:val="007A59B0"/>
    <w:rsid w:val="007A5C66"/>
    <w:rsid w:val="007B14FB"/>
    <w:rsid w:val="007B248A"/>
    <w:rsid w:val="007B4727"/>
    <w:rsid w:val="007C082D"/>
    <w:rsid w:val="007C3F4C"/>
    <w:rsid w:val="007C6181"/>
    <w:rsid w:val="007C6E87"/>
    <w:rsid w:val="007C7529"/>
    <w:rsid w:val="007D2E62"/>
    <w:rsid w:val="007D34F9"/>
    <w:rsid w:val="007D5B9B"/>
    <w:rsid w:val="007D77F8"/>
    <w:rsid w:val="007E5E96"/>
    <w:rsid w:val="007F0744"/>
    <w:rsid w:val="007F0CDF"/>
    <w:rsid w:val="007F2C7E"/>
    <w:rsid w:val="007F3905"/>
    <w:rsid w:val="007F3B1E"/>
    <w:rsid w:val="007F3BD3"/>
    <w:rsid w:val="007F4614"/>
    <w:rsid w:val="007F4EC3"/>
    <w:rsid w:val="007F6448"/>
    <w:rsid w:val="007F6604"/>
    <w:rsid w:val="0080507E"/>
    <w:rsid w:val="00806C45"/>
    <w:rsid w:val="0081088B"/>
    <w:rsid w:val="00811379"/>
    <w:rsid w:val="0081151D"/>
    <w:rsid w:val="00816E31"/>
    <w:rsid w:val="0082289C"/>
    <w:rsid w:val="008251E3"/>
    <w:rsid w:val="00832375"/>
    <w:rsid w:val="00834379"/>
    <w:rsid w:val="0083540F"/>
    <w:rsid w:val="0083602B"/>
    <w:rsid w:val="00836F7B"/>
    <w:rsid w:val="008402A6"/>
    <w:rsid w:val="00841B3E"/>
    <w:rsid w:val="008423E0"/>
    <w:rsid w:val="008431B7"/>
    <w:rsid w:val="00846339"/>
    <w:rsid w:val="00850AF7"/>
    <w:rsid w:val="00851D90"/>
    <w:rsid w:val="008527D9"/>
    <w:rsid w:val="0085562F"/>
    <w:rsid w:val="008569D1"/>
    <w:rsid w:val="00860495"/>
    <w:rsid w:val="00861BC3"/>
    <w:rsid w:val="008721B4"/>
    <w:rsid w:val="00872FDD"/>
    <w:rsid w:val="008768BF"/>
    <w:rsid w:val="00876D08"/>
    <w:rsid w:val="008777A7"/>
    <w:rsid w:val="00880B13"/>
    <w:rsid w:val="0088117A"/>
    <w:rsid w:val="008832F1"/>
    <w:rsid w:val="008837E1"/>
    <w:rsid w:val="00884583"/>
    <w:rsid w:val="00884906"/>
    <w:rsid w:val="00885A13"/>
    <w:rsid w:val="00885B14"/>
    <w:rsid w:val="00886DF9"/>
    <w:rsid w:val="00890AB2"/>
    <w:rsid w:val="0089107D"/>
    <w:rsid w:val="00893A07"/>
    <w:rsid w:val="00894DAD"/>
    <w:rsid w:val="00896041"/>
    <w:rsid w:val="008A1E92"/>
    <w:rsid w:val="008A347E"/>
    <w:rsid w:val="008B0A4E"/>
    <w:rsid w:val="008B1C8A"/>
    <w:rsid w:val="008B28E7"/>
    <w:rsid w:val="008B6705"/>
    <w:rsid w:val="008C0F13"/>
    <w:rsid w:val="008C2478"/>
    <w:rsid w:val="008C66E3"/>
    <w:rsid w:val="008C7EC7"/>
    <w:rsid w:val="008D24B7"/>
    <w:rsid w:val="008D4DD0"/>
    <w:rsid w:val="008E0D06"/>
    <w:rsid w:val="008E243A"/>
    <w:rsid w:val="008E4A41"/>
    <w:rsid w:val="008E6BB5"/>
    <w:rsid w:val="008F19EA"/>
    <w:rsid w:val="008F19ED"/>
    <w:rsid w:val="008F3FCB"/>
    <w:rsid w:val="008F4603"/>
    <w:rsid w:val="008F58EF"/>
    <w:rsid w:val="008F6720"/>
    <w:rsid w:val="008F73A5"/>
    <w:rsid w:val="009063D8"/>
    <w:rsid w:val="00910037"/>
    <w:rsid w:val="009115E9"/>
    <w:rsid w:val="00912AB5"/>
    <w:rsid w:val="00913BCA"/>
    <w:rsid w:val="00916386"/>
    <w:rsid w:val="00917BF3"/>
    <w:rsid w:val="00920436"/>
    <w:rsid w:val="0092087E"/>
    <w:rsid w:val="00922065"/>
    <w:rsid w:val="009222A2"/>
    <w:rsid w:val="00922BD7"/>
    <w:rsid w:val="00924D4A"/>
    <w:rsid w:val="009268D4"/>
    <w:rsid w:val="009304F3"/>
    <w:rsid w:val="009315CB"/>
    <w:rsid w:val="0093281E"/>
    <w:rsid w:val="0093356A"/>
    <w:rsid w:val="00935FF7"/>
    <w:rsid w:val="00942A36"/>
    <w:rsid w:val="00943F73"/>
    <w:rsid w:val="00944F68"/>
    <w:rsid w:val="00947D42"/>
    <w:rsid w:val="0095002A"/>
    <w:rsid w:val="00956F19"/>
    <w:rsid w:val="0096038B"/>
    <w:rsid w:val="0096250A"/>
    <w:rsid w:val="00964084"/>
    <w:rsid w:val="00964231"/>
    <w:rsid w:val="00972320"/>
    <w:rsid w:val="00972C7A"/>
    <w:rsid w:val="0097518E"/>
    <w:rsid w:val="00976F55"/>
    <w:rsid w:val="009839D0"/>
    <w:rsid w:val="00983D52"/>
    <w:rsid w:val="00984D12"/>
    <w:rsid w:val="009879AC"/>
    <w:rsid w:val="00991232"/>
    <w:rsid w:val="00992705"/>
    <w:rsid w:val="009928BC"/>
    <w:rsid w:val="00996521"/>
    <w:rsid w:val="00997987"/>
    <w:rsid w:val="009A2527"/>
    <w:rsid w:val="009A3C10"/>
    <w:rsid w:val="009A40C3"/>
    <w:rsid w:val="009A478B"/>
    <w:rsid w:val="009A546E"/>
    <w:rsid w:val="009A553D"/>
    <w:rsid w:val="009A7025"/>
    <w:rsid w:val="009B217A"/>
    <w:rsid w:val="009B3861"/>
    <w:rsid w:val="009B44C6"/>
    <w:rsid w:val="009B5084"/>
    <w:rsid w:val="009B5596"/>
    <w:rsid w:val="009C0C3D"/>
    <w:rsid w:val="009C1F23"/>
    <w:rsid w:val="009C3942"/>
    <w:rsid w:val="009C4242"/>
    <w:rsid w:val="009C6A86"/>
    <w:rsid w:val="009C7565"/>
    <w:rsid w:val="009D3AE0"/>
    <w:rsid w:val="009D5429"/>
    <w:rsid w:val="009E5AFD"/>
    <w:rsid w:val="009F12B7"/>
    <w:rsid w:val="009F1C39"/>
    <w:rsid w:val="00A001DA"/>
    <w:rsid w:val="00A00B9E"/>
    <w:rsid w:val="00A01F30"/>
    <w:rsid w:val="00A0289E"/>
    <w:rsid w:val="00A1193C"/>
    <w:rsid w:val="00A16836"/>
    <w:rsid w:val="00A20E95"/>
    <w:rsid w:val="00A22DD0"/>
    <w:rsid w:val="00A25E04"/>
    <w:rsid w:val="00A26724"/>
    <w:rsid w:val="00A27D52"/>
    <w:rsid w:val="00A3222C"/>
    <w:rsid w:val="00A33F6A"/>
    <w:rsid w:val="00A35E31"/>
    <w:rsid w:val="00A36457"/>
    <w:rsid w:val="00A372FD"/>
    <w:rsid w:val="00A37748"/>
    <w:rsid w:val="00A402B1"/>
    <w:rsid w:val="00A406F1"/>
    <w:rsid w:val="00A40EAD"/>
    <w:rsid w:val="00A43387"/>
    <w:rsid w:val="00A44635"/>
    <w:rsid w:val="00A45A43"/>
    <w:rsid w:val="00A51061"/>
    <w:rsid w:val="00A53A1B"/>
    <w:rsid w:val="00A5435D"/>
    <w:rsid w:val="00A54808"/>
    <w:rsid w:val="00A56B69"/>
    <w:rsid w:val="00A56F21"/>
    <w:rsid w:val="00A5768A"/>
    <w:rsid w:val="00A6160A"/>
    <w:rsid w:val="00A6231D"/>
    <w:rsid w:val="00A62705"/>
    <w:rsid w:val="00A63AB5"/>
    <w:rsid w:val="00A65DBE"/>
    <w:rsid w:val="00A66AA2"/>
    <w:rsid w:val="00A66B33"/>
    <w:rsid w:val="00A66BDA"/>
    <w:rsid w:val="00A6705E"/>
    <w:rsid w:val="00A70379"/>
    <w:rsid w:val="00A7369A"/>
    <w:rsid w:val="00A74548"/>
    <w:rsid w:val="00A811AE"/>
    <w:rsid w:val="00A83E23"/>
    <w:rsid w:val="00A855A9"/>
    <w:rsid w:val="00A85F7C"/>
    <w:rsid w:val="00A9020C"/>
    <w:rsid w:val="00A90CDD"/>
    <w:rsid w:val="00A9345D"/>
    <w:rsid w:val="00A93647"/>
    <w:rsid w:val="00AA15B8"/>
    <w:rsid w:val="00AA30D9"/>
    <w:rsid w:val="00AA59DC"/>
    <w:rsid w:val="00AB2209"/>
    <w:rsid w:val="00AB4694"/>
    <w:rsid w:val="00AB576F"/>
    <w:rsid w:val="00AB5D04"/>
    <w:rsid w:val="00AB6EE9"/>
    <w:rsid w:val="00AC03C9"/>
    <w:rsid w:val="00AC0F33"/>
    <w:rsid w:val="00AC212C"/>
    <w:rsid w:val="00AC34A1"/>
    <w:rsid w:val="00AC5BB0"/>
    <w:rsid w:val="00AC75E9"/>
    <w:rsid w:val="00AD1A77"/>
    <w:rsid w:val="00AD3861"/>
    <w:rsid w:val="00AD7592"/>
    <w:rsid w:val="00AD7B1F"/>
    <w:rsid w:val="00AE056F"/>
    <w:rsid w:val="00AE0979"/>
    <w:rsid w:val="00AE0C7D"/>
    <w:rsid w:val="00AE10A3"/>
    <w:rsid w:val="00AE180D"/>
    <w:rsid w:val="00AE3CA3"/>
    <w:rsid w:val="00AE3F5E"/>
    <w:rsid w:val="00AE5248"/>
    <w:rsid w:val="00AE5369"/>
    <w:rsid w:val="00AE68D3"/>
    <w:rsid w:val="00AF0045"/>
    <w:rsid w:val="00AF18C9"/>
    <w:rsid w:val="00AF49D2"/>
    <w:rsid w:val="00AF4C14"/>
    <w:rsid w:val="00AF5B50"/>
    <w:rsid w:val="00AF6616"/>
    <w:rsid w:val="00AF66B8"/>
    <w:rsid w:val="00B0321E"/>
    <w:rsid w:val="00B032CB"/>
    <w:rsid w:val="00B04F6C"/>
    <w:rsid w:val="00B12079"/>
    <w:rsid w:val="00B14730"/>
    <w:rsid w:val="00B17F8C"/>
    <w:rsid w:val="00B20392"/>
    <w:rsid w:val="00B2574E"/>
    <w:rsid w:val="00B25B3D"/>
    <w:rsid w:val="00B25B63"/>
    <w:rsid w:val="00B2674E"/>
    <w:rsid w:val="00B3104D"/>
    <w:rsid w:val="00B34D89"/>
    <w:rsid w:val="00B3609B"/>
    <w:rsid w:val="00B37B4D"/>
    <w:rsid w:val="00B40D11"/>
    <w:rsid w:val="00B42A80"/>
    <w:rsid w:val="00B42EBD"/>
    <w:rsid w:val="00B4314C"/>
    <w:rsid w:val="00B45640"/>
    <w:rsid w:val="00B465A7"/>
    <w:rsid w:val="00B478C7"/>
    <w:rsid w:val="00B54924"/>
    <w:rsid w:val="00B54B17"/>
    <w:rsid w:val="00B556AE"/>
    <w:rsid w:val="00B617BC"/>
    <w:rsid w:val="00B638D9"/>
    <w:rsid w:val="00B65B2E"/>
    <w:rsid w:val="00B715C2"/>
    <w:rsid w:val="00B717F6"/>
    <w:rsid w:val="00B72B8A"/>
    <w:rsid w:val="00B772BA"/>
    <w:rsid w:val="00B775F2"/>
    <w:rsid w:val="00B80523"/>
    <w:rsid w:val="00B848C9"/>
    <w:rsid w:val="00B84AA6"/>
    <w:rsid w:val="00B92681"/>
    <w:rsid w:val="00B92A59"/>
    <w:rsid w:val="00B94B34"/>
    <w:rsid w:val="00B94D2F"/>
    <w:rsid w:val="00B950B2"/>
    <w:rsid w:val="00BA1A8E"/>
    <w:rsid w:val="00BA1C28"/>
    <w:rsid w:val="00BA4858"/>
    <w:rsid w:val="00BA5E6B"/>
    <w:rsid w:val="00BA5FA9"/>
    <w:rsid w:val="00BB068D"/>
    <w:rsid w:val="00BB17DB"/>
    <w:rsid w:val="00BB1849"/>
    <w:rsid w:val="00BB485A"/>
    <w:rsid w:val="00BB4C1B"/>
    <w:rsid w:val="00BB4EAC"/>
    <w:rsid w:val="00BB7831"/>
    <w:rsid w:val="00BC1804"/>
    <w:rsid w:val="00BC1FCC"/>
    <w:rsid w:val="00BC385E"/>
    <w:rsid w:val="00BC3940"/>
    <w:rsid w:val="00BC74F5"/>
    <w:rsid w:val="00BD0BDE"/>
    <w:rsid w:val="00BD439E"/>
    <w:rsid w:val="00BE12B2"/>
    <w:rsid w:val="00BE2692"/>
    <w:rsid w:val="00BE2757"/>
    <w:rsid w:val="00BE516E"/>
    <w:rsid w:val="00BE7C85"/>
    <w:rsid w:val="00BF0404"/>
    <w:rsid w:val="00BF043A"/>
    <w:rsid w:val="00BF0CC8"/>
    <w:rsid w:val="00BF1A95"/>
    <w:rsid w:val="00BF3348"/>
    <w:rsid w:val="00BF68E7"/>
    <w:rsid w:val="00C013AF"/>
    <w:rsid w:val="00C039CC"/>
    <w:rsid w:val="00C04672"/>
    <w:rsid w:val="00C04732"/>
    <w:rsid w:val="00C04DD8"/>
    <w:rsid w:val="00C068C8"/>
    <w:rsid w:val="00C115A2"/>
    <w:rsid w:val="00C117EE"/>
    <w:rsid w:val="00C1332C"/>
    <w:rsid w:val="00C146E5"/>
    <w:rsid w:val="00C14CC9"/>
    <w:rsid w:val="00C202B1"/>
    <w:rsid w:val="00C22982"/>
    <w:rsid w:val="00C312BD"/>
    <w:rsid w:val="00C31C25"/>
    <w:rsid w:val="00C326C6"/>
    <w:rsid w:val="00C358E9"/>
    <w:rsid w:val="00C40B94"/>
    <w:rsid w:val="00C42313"/>
    <w:rsid w:val="00C43D72"/>
    <w:rsid w:val="00C440B8"/>
    <w:rsid w:val="00C47C44"/>
    <w:rsid w:val="00C54653"/>
    <w:rsid w:val="00C54D0C"/>
    <w:rsid w:val="00C55ABB"/>
    <w:rsid w:val="00C5780C"/>
    <w:rsid w:val="00C60E98"/>
    <w:rsid w:val="00C61AA0"/>
    <w:rsid w:val="00C62419"/>
    <w:rsid w:val="00C62506"/>
    <w:rsid w:val="00C62B90"/>
    <w:rsid w:val="00C6413D"/>
    <w:rsid w:val="00C64C71"/>
    <w:rsid w:val="00C65A3F"/>
    <w:rsid w:val="00C66B59"/>
    <w:rsid w:val="00C70649"/>
    <w:rsid w:val="00C709FB"/>
    <w:rsid w:val="00C71502"/>
    <w:rsid w:val="00C71700"/>
    <w:rsid w:val="00C73A7D"/>
    <w:rsid w:val="00C74E8B"/>
    <w:rsid w:val="00C75A41"/>
    <w:rsid w:val="00C75BDC"/>
    <w:rsid w:val="00C7644A"/>
    <w:rsid w:val="00C7652C"/>
    <w:rsid w:val="00C80243"/>
    <w:rsid w:val="00C81291"/>
    <w:rsid w:val="00C87813"/>
    <w:rsid w:val="00C91478"/>
    <w:rsid w:val="00C93EFD"/>
    <w:rsid w:val="00C95BE3"/>
    <w:rsid w:val="00CA018C"/>
    <w:rsid w:val="00CA1589"/>
    <w:rsid w:val="00CA2B78"/>
    <w:rsid w:val="00CA2C4D"/>
    <w:rsid w:val="00CA3C16"/>
    <w:rsid w:val="00CA4801"/>
    <w:rsid w:val="00CA66DA"/>
    <w:rsid w:val="00CB086C"/>
    <w:rsid w:val="00CB19F5"/>
    <w:rsid w:val="00CB7453"/>
    <w:rsid w:val="00CC0E1D"/>
    <w:rsid w:val="00CC2FF9"/>
    <w:rsid w:val="00CC59B5"/>
    <w:rsid w:val="00CC69B2"/>
    <w:rsid w:val="00CC7B8D"/>
    <w:rsid w:val="00CD16A6"/>
    <w:rsid w:val="00CD381B"/>
    <w:rsid w:val="00CD4800"/>
    <w:rsid w:val="00CD6383"/>
    <w:rsid w:val="00CD73BC"/>
    <w:rsid w:val="00CD7E3B"/>
    <w:rsid w:val="00CE0098"/>
    <w:rsid w:val="00CE2668"/>
    <w:rsid w:val="00CE2EDB"/>
    <w:rsid w:val="00CE45CB"/>
    <w:rsid w:val="00CE48D3"/>
    <w:rsid w:val="00CE5029"/>
    <w:rsid w:val="00CF05E9"/>
    <w:rsid w:val="00CF330D"/>
    <w:rsid w:val="00CF3821"/>
    <w:rsid w:val="00CF55F3"/>
    <w:rsid w:val="00CF6B6A"/>
    <w:rsid w:val="00D023BD"/>
    <w:rsid w:val="00D02D82"/>
    <w:rsid w:val="00D02FDF"/>
    <w:rsid w:val="00D054FC"/>
    <w:rsid w:val="00D0743A"/>
    <w:rsid w:val="00D07BC8"/>
    <w:rsid w:val="00D13012"/>
    <w:rsid w:val="00D24F3E"/>
    <w:rsid w:val="00D2543F"/>
    <w:rsid w:val="00D31075"/>
    <w:rsid w:val="00D31120"/>
    <w:rsid w:val="00D3216B"/>
    <w:rsid w:val="00D32597"/>
    <w:rsid w:val="00D334AA"/>
    <w:rsid w:val="00D3381B"/>
    <w:rsid w:val="00D349C7"/>
    <w:rsid w:val="00D34A3F"/>
    <w:rsid w:val="00D35C84"/>
    <w:rsid w:val="00D417A9"/>
    <w:rsid w:val="00D4279F"/>
    <w:rsid w:val="00D42C20"/>
    <w:rsid w:val="00D42DDD"/>
    <w:rsid w:val="00D43557"/>
    <w:rsid w:val="00D45F45"/>
    <w:rsid w:val="00D5079B"/>
    <w:rsid w:val="00D50E3D"/>
    <w:rsid w:val="00D51644"/>
    <w:rsid w:val="00D53AB2"/>
    <w:rsid w:val="00D5484F"/>
    <w:rsid w:val="00D55699"/>
    <w:rsid w:val="00D55C07"/>
    <w:rsid w:val="00D658E3"/>
    <w:rsid w:val="00D66450"/>
    <w:rsid w:val="00D6658D"/>
    <w:rsid w:val="00D701DA"/>
    <w:rsid w:val="00D7060F"/>
    <w:rsid w:val="00D71533"/>
    <w:rsid w:val="00D72517"/>
    <w:rsid w:val="00D74299"/>
    <w:rsid w:val="00D763B1"/>
    <w:rsid w:val="00D80A1A"/>
    <w:rsid w:val="00D812CC"/>
    <w:rsid w:val="00D828AB"/>
    <w:rsid w:val="00D92726"/>
    <w:rsid w:val="00D933D9"/>
    <w:rsid w:val="00D97616"/>
    <w:rsid w:val="00DA0FF4"/>
    <w:rsid w:val="00DA653C"/>
    <w:rsid w:val="00DA77D0"/>
    <w:rsid w:val="00DB2551"/>
    <w:rsid w:val="00DB27AA"/>
    <w:rsid w:val="00DB498D"/>
    <w:rsid w:val="00DB518F"/>
    <w:rsid w:val="00DC0B61"/>
    <w:rsid w:val="00DC27C7"/>
    <w:rsid w:val="00DD2087"/>
    <w:rsid w:val="00DD32A8"/>
    <w:rsid w:val="00DD404D"/>
    <w:rsid w:val="00DD4779"/>
    <w:rsid w:val="00DD79F6"/>
    <w:rsid w:val="00DE1BD9"/>
    <w:rsid w:val="00DE2789"/>
    <w:rsid w:val="00DE3962"/>
    <w:rsid w:val="00DE677F"/>
    <w:rsid w:val="00DF2FF6"/>
    <w:rsid w:val="00DF396C"/>
    <w:rsid w:val="00DF39E6"/>
    <w:rsid w:val="00DF6F15"/>
    <w:rsid w:val="00E0195C"/>
    <w:rsid w:val="00E02DF8"/>
    <w:rsid w:val="00E12071"/>
    <w:rsid w:val="00E12851"/>
    <w:rsid w:val="00E16980"/>
    <w:rsid w:val="00E21427"/>
    <w:rsid w:val="00E22277"/>
    <w:rsid w:val="00E22321"/>
    <w:rsid w:val="00E2243B"/>
    <w:rsid w:val="00E24182"/>
    <w:rsid w:val="00E312E1"/>
    <w:rsid w:val="00E33813"/>
    <w:rsid w:val="00E3396F"/>
    <w:rsid w:val="00E41A60"/>
    <w:rsid w:val="00E441F5"/>
    <w:rsid w:val="00E45659"/>
    <w:rsid w:val="00E5156F"/>
    <w:rsid w:val="00E55806"/>
    <w:rsid w:val="00E56471"/>
    <w:rsid w:val="00E56543"/>
    <w:rsid w:val="00E665F3"/>
    <w:rsid w:val="00E71FCF"/>
    <w:rsid w:val="00E73A2E"/>
    <w:rsid w:val="00E73E2F"/>
    <w:rsid w:val="00E75A34"/>
    <w:rsid w:val="00E80131"/>
    <w:rsid w:val="00E80CF7"/>
    <w:rsid w:val="00E80E06"/>
    <w:rsid w:val="00E82032"/>
    <w:rsid w:val="00E846B0"/>
    <w:rsid w:val="00E84DA2"/>
    <w:rsid w:val="00E9054E"/>
    <w:rsid w:val="00E9104C"/>
    <w:rsid w:val="00E913D9"/>
    <w:rsid w:val="00E915AB"/>
    <w:rsid w:val="00E940F0"/>
    <w:rsid w:val="00E94A00"/>
    <w:rsid w:val="00E95564"/>
    <w:rsid w:val="00EA0CAE"/>
    <w:rsid w:val="00EA2054"/>
    <w:rsid w:val="00EA251A"/>
    <w:rsid w:val="00EA268E"/>
    <w:rsid w:val="00EA4172"/>
    <w:rsid w:val="00EA59FF"/>
    <w:rsid w:val="00EB05C8"/>
    <w:rsid w:val="00EB0BD5"/>
    <w:rsid w:val="00EB374B"/>
    <w:rsid w:val="00EB3AE3"/>
    <w:rsid w:val="00EC0668"/>
    <w:rsid w:val="00EC395A"/>
    <w:rsid w:val="00EC49D5"/>
    <w:rsid w:val="00EC7105"/>
    <w:rsid w:val="00EC79A2"/>
    <w:rsid w:val="00ED1038"/>
    <w:rsid w:val="00ED32A9"/>
    <w:rsid w:val="00ED3671"/>
    <w:rsid w:val="00ED49E7"/>
    <w:rsid w:val="00ED5C66"/>
    <w:rsid w:val="00ED5F42"/>
    <w:rsid w:val="00ED635C"/>
    <w:rsid w:val="00EE1581"/>
    <w:rsid w:val="00EE350A"/>
    <w:rsid w:val="00EF001E"/>
    <w:rsid w:val="00EF340D"/>
    <w:rsid w:val="00EF53D1"/>
    <w:rsid w:val="00EF6793"/>
    <w:rsid w:val="00EF7990"/>
    <w:rsid w:val="00F00A2B"/>
    <w:rsid w:val="00F02356"/>
    <w:rsid w:val="00F0262B"/>
    <w:rsid w:val="00F0303E"/>
    <w:rsid w:val="00F03170"/>
    <w:rsid w:val="00F037BC"/>
    <w:rsid w:val="00F03AA6"/>
    <w:rsid w:val="00F03AF1"/>
    <w:rsid w:val="00F06015"/>
    <w:rsid w:val="00F063CC"/>
    <w:rsid w:val="00F06809"/>
    <w:rsid w:val="00F14062"/>
    <w:rsid w:val="00F155E8"/>
    <w:rsid w:val="00F17BA1"/>
    <w:rsid w:val="00F23A47"/>
    <w:rsid w:val="00F25AA2"/>
    <w:rsid w:val="00F2726E"/>
    <w:rsid w:val="00F31AE5"/>
    <w:rsid w:val="00F328C7"/>
    <w:rsid w:val="00F33F08"/>
    <w:rsid w:val="00F34801"/>
    <w:rsid w:val="00F3790B"/>
    <w:rsid w:val="00F50FEC"/>
    <w:rsid w:val="00F527ED"/>
    <w:rsid w:val="00F54A76"/>
    <w:rsid w:val="00F562DD"/>
    <w:rsid w:val="00F56566"/>
    <w:rsid w:val="00F56AEF"/>
    <w:rsid w:val="00F64DE7"/>
    <w:rsid w:val="00F65BB5"/>
    <w:rsid w:val="00F72593"/>
    <w:rsid w:val="00F7397B"/>
    <w:rsid w:val="00F74BBF"/>
    <w:rsid w:val="00F7521C"/>
    <w:rsid w:val="00F83748"/>
    <w:rsid w:val="00F90F85"/>
    <w:rsid w:val="00F936D5"/>
    <w:rsid w:val="00F937F1"/>
    <w:rsid w:val="00F941F8"/>
    <w:rsid w:val="00F96736"/>
    <w:rsid w:val="00FA0500"/>
    <w:rsid w:val="00FA40BD"/>
    <w:rsid w:val="00FA4BE4"/>
    <w:rsid w:val="00FA6C85"/>
    <w:rsid w:val="00FA74A8"/>
    <w:rsid w:val="00FB2111"/>
    <w:rsid w:val="00FB2BE9"/>
    <w:rsid w:val="00FB2D58"/>
    <w:rsid w:val="00FB401C"/>
    <w:rsid w:val="00FB4044"/>
    <w:rsid w:val="00FB5A6C"/>
    <w:rsid w:val="00FB6F69"/>
    <w:rsid w:val="00FB7FE7"/>
    <w:rsid w:val="00FC09FE"/>
    <w:rsid w:val="00FC4323"/>
    <w:rsid w:val="00FC4759"/>
    <w:rsid w:val="00FC716B"/>
    <w:rsid w:val="00FD03EB"/>
    <w:rsid w:val="00FD0725"/>
    <w:rsid w:val="00FD4140"/>
    <w:rsid w:val="00FD4863"/>
    <w:rsid w:val="00FD4FB3"/>
    <w:rsid w:val="00FD5968"/>
    <w:rsid w:val="00FD615B"/>
    <w:rsid w:val="00FD6390"/>
    <w:rsid w:val="00FE2485"/>
    <w:rsid w:val="00FE5ED4"/>
    <w:rsid w:val="00FE6608"/>
    <w:rsid w:val="00FF2958"/>
    <w:rsid w:val="00FF297F"/>
    <w:rsid w:val="00FF45EB"/>
    <w:rsid w:val="00FF51D4"/>
    <w:rsid w:val="00FF627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068C8"/>
    <w:rPr>
      <w:rFonts w:ascii="Times New Roman" w:eastAsia="Times New Roman" w:hAnsi="Times New Roman"/>
      <w:sz w:val="24"/>
      <w:szCs w:val="24"/>
    </w:rPr>
  </w:style>
  <w:style w:type="paragraph" w:styleId="1">
    <w:name w:val="heading 1"/>
    <w:basedOn w:val="a"/>
    <w:next w:val="a"/>
    <w:link w:val="10"/>
    <w:uiPriority w:val="9"/>
    <w:qFormat/>
    <w:pPr>
      <w:keepNext/>
      <w:widowControl w:val="0"/>
      <w:spacing w:before="180" w:after="180" w:line="720" w:lineRule="auto"/>
      <w:outlineLvl w:val="0"/>
    </w:pPr>
    <w:rPr>
      <w:rFonts w:ascii="Arial" w:eastAsia="新細明體" w:hAnsi="Arial"/>
      <w:b/>
      <w:bCs/>
      <w:kern w:val="52"/>
      <w:sz w:val="52"/>
      <w:szCs w:val="52"/>
    </w:rPr>
  </w:style>
  <w:style w:type="paragraph" w:styleId="2">
    <w:name w:val="heading 2"/>
    <w:next w:val="a0"/>
    <w:qFormat/>
    <w:pPr>
      <w:keepNext/>
      <w:tabs>
        <w:tab w:val="left" w:pos="360"/>
      </w:tabs>
      <w:spacing w:before="60" w:after="120"/>
      <w:outlineLvl w:val="1"/>
    </w:pPr>
    <w:rPr>
      <w:rFonts w:ascii="Times New Roman" w:hAnsi="Times New Roman"/>
      <w:b/>
      <w:sz w:val="22"/>
      <w:lang w:eastAsia="en-US"/>
    </w:rPr>
  </w:style>
  <w:style w:type="paragraph" w:styleId="3">
    <w:name w:val="heading 3"/>
    <w:basedOn w:val="a"/>
    <w:next w:val="a"/>
    <w:qFormat/>
    <w:pPr>
      <w:keepNext/>
      <w:widowControl w:val="0"/>
      <w:jc w:val="center"/>
      <w:outlineLvl w:val="2"/>
    </w:pPr>
    <w:rPr>
      <w:rFonts w:eastAsia="新細明體"/>
      <w:b/>
      <w:kern w:val="2"/>
      <w:sz w:val="28"/>
      <w:szCs w:val="28"/>
    </w:rPr>
  </w:style>
  <w:style w:type="paragraph" w:styleId="4">
    <w:name w:val="heading 4"/>
    <w:basedOn w:val="a"/>
    <w:next w:val="a"/>
    <w:link w:val="40"/>
    <w:uiPriority w:val="9"/>
    <w:semiHidden/>
    <w:unhideWhenUsed/>
    <w:qFormat/>
    <w:rsid w:val="0096250A"/>
    <w:pPr>
      <w:keepNext/>
      <w:widowControl w:val="0"/>
      <w:spacing w:line="720" w:lineRule="auto"/>
      <w:outlineLvl w:val="3"/>
    </w:pPr>
    <w:rPr>
      <w:rFonts w:ascii="Cambria" w:eastAsia="新細明體" w:hAnsi="Cambria"/>
      <w:kern w:val="2"/>
      <w:sz w:val="36"/>
      <w:szCs w:val="36"/>
    </w:rPr>
  </w:style>
  <w:style w:type="paragraph" w:styleId="6">
    <w:name w:val="heading 6"/>
    <w:basedOn w:val="a"/>
    <w:next w:val="a"/>
    <w:qFormat/>
    <w:pPr>
      <w:keepNext/>
      <w:widowControl w:val="0"/>
      <w:spacing w:line="720" w:lineRule="auto"/>
      <w:ind w:leftChars="200" w:left="200"/>
      <w:outlineLvl w:val="5"/>
    </w:pPr>
    <w:rPr>
      <w:rFonts w:ascii="Arial" w:eastAsia="新細明體" w:hAnsi="Arial"/>
      <w:kern w:val="2"/>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link w:val="a5"/>
    <w:unhideWhenUsed/>
    <w:pPr>
      <w:tabs>
        <w:tab w:val="center" w:pos="4153"/>
        <w:tab w:val="right" w:pos="8306"/>
      </w:tabs>
      <w:snapToGrid w:val="0"/>
    </w:pPr>
    <w:rPr>
      <w:sz w:val="20"/>
      <w:szCs w:val="20"/>
    </w:rPr>
  </w:style>
  <w:style w:type="character" w:customStyle="1" w:styleId="a6">
    <w:name w:val="字元"/>
    <w:rPr>
      <w:kern w:val="2"/>
    </w:rPr>
  </w:style>
  <w:style w:type="paragraph" w:styleId="a7">
    <w:name w:val="footer"/>
    <w:basedOn w:val="a"/>
    <w:semiHidden/>
    <w:unhideWhenUsed/>
    <w:pPr>
      <w:widowControl w:val="0"/>
      <w:tabs>
        <w:tab w:val="center" w:pos="4153"/>
        <w:tab w:val="right" w:pos="8306"/>
      </w:tabs>
      <w:snapToGrid w:val="0"/>
    </w:pPr>
    <w:rPr>
      <w:rFonts w:ascii="Calibri" w:eastAsia="新細明體" w:hAnsi="Calibri"/>
      <w:kern w:val="2"/>
      <w:sz w:val="20"/>
      <w:szCs w:val="20"/>
    </w:rPr>
  </w:style>
  <w:style w:type="character" w:customStyle="1" w:styleId="a8">
    <w:name w:val="字元"/>
    <w:rPr>
      <w:kern w:val="2"/>
    </w:rPr>
  </w:style>
  <w:style w:type="character" w:customStyle="1" w:styleId="a9">
    <w:name w:val="字元"/>
    <w:rPr>
      <w:rFonts w:ascii="Times New Roman" w:hAnsi="Times New Roman"/>
      <w:b/>
      <w:sz w:val="22"/>
      <w:lang w:val="en-US" w:eastAsia="en-US" w:bidi="ar-SA"/>
    </w:rPr>
  </w:style>
  <w:style w:type="paragraph" w:styleId="a0">
    <w:name w:val="Body Text"/>
    <w:link w:val="aa"/>
    <w:semiHidden/>
    <w:pPr>
      <w:spacing w:after="240"/>
      <w:jc w:val="both"/>
    </w:pPr>
    <w:rPr>
      <w:rFonts w:ascii="Times New Roman" w:hAnsi="Times New Roman"/>
      <w:sz w:val="22"/>
      <w:lang w:eastAsia="en-US"/>
    </w:rPr>
  </w:style>
  <w:style w:type="character" w:customStyle="1" w:styleId="ab">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a"/>
    <w:next w:val="a"/>
    <w:pPr>
      <w:spacing w:after="60"/>
      <w:jc w:val="center"/>
    </w:pPr>
    <w:rPr>
      <w:rFonts w:ascii="Arial" w:eastAsia="新細明體" w:hAnsi="Arial"/>
      <w:b/>
      <w:sz w:val="22"/>
      <w:szCs w:val="20"/>
      <w:lang w:eastAsia="en-US"/>
    </w:rPr>
  </w:style>
  <w:style w:type="paragraph" w:customStyle="1" w:styleId="Italicsheading">
    <w:name w:val="Italics heading"/>
    <w:basedOn w:val="a"/>
    <w:next w:val="a0"/>
    <w:pPr>
      <w:spacing w:after="120"/>
    </w:pPr>
    <w:rPr>
      <w:rFonts w:eastAsia="新細明體"/>
      <w:i/>
      <w:sz w:val="22"/>
      <w:szCs w:val="20"/>
      <w:lang w:eastAsia="en-US"/>
    </w:rPr>
  </w:style>
  <w:style w:type="character" w:styleId="ac">
    <w:name w:val="page number"/>
    <w:basedOn w:val="a1"/>
    <w:semiHidden/>
  </w:style>
  <w:style w:type="paragraph" w:styleId="ad">
    <w:name w:val="footnote text"/>
    <w:basedOn w:val="a"/>
    <w:semiHidden/>
    <w:rPr>
      <w:rFonts w:ascii="Arial" w:eastAsia="新細明體" w:hAnsi="Arial"/>
      <w:sz w:val="18"/>
      <w:szCs w:val="20"/>
      <w:lang w:eastAsia="en-US"/>
    </w:rPr>
  </w:style>
  <w:style w:type="character" w:customStyle="1" w:styleId="ae">
    <w:name w:val="字元"/>
    <w:semiHidden/>
    <w:rPr>
      <w:rFonts w:ascii="Arial" w:hAnsi="Arial"/>
      <w:sz w:val="18"/>
      <w:lang w:eastAsia="en-US"/>
    </w:rPr>
  </w:style>
  <w:style w:type="character" w:styleId="af">
    <w:name w:val="footnote reference"/>
    <w:semiHidden/>
    <w:rPr>
      <w:vertAlign w:val="superscript"/>
    </w:rPr>
  </w:style>
  <w:style w:type="paragraph" w:styleId="20">
    <w:name w:val="Body Text Indent 2"/>
    <w:basedOn w:val="a"/>
    <w:semiHidden/>
    <w:pPr>
      <w:spacing w:after="120" w:line="480" w:lineRule="auto"/>
      <w:ind w:leftChars="200" w:left="480"/>
    </w:pPr>
  </w:style>
  <w:style w:type="paragraph" w:styleId="Web">
    <w:name w:val="Normal (Web)"/>
    <w:basedOn w:val="a"/>
    <w:uiPriority w:val="99"/>
    <w:semiHidden/>
    <w:pPr>
      <w:spacing w:before="100" w:beforeAutospacing="1" w:after="100" w:afterAutospacing="1"/>
    </w:pPr>
    <w:rPr>
      <w:rFonts w:eastAsia="MS Mincho"/>
      <w:lang w:eastAsia="ja-JP"/>
    </w:rPr>
  </w:style>
  <w:style w:type="paragraph" w:styleId="af0">
    <w:name w:val="List Paragraph"/>
    <w:basedOn w:val="a"/>
    <w:qFormat/>
    <w:pPr>
      <w:widowControl w:val="0"/>
      <w:ind w:leftChars="200" w:left="480"/>
    </w:pPr>
    <w:rPr>
      <w:rFonts w:ascii="Calibri" w:eastAsia="新細明體" w:hAnsi="Calibri"/>
      <w:kern w:val="2"/>
      <w:szCs w:val="22"/>
    </w:rPr>
  </w:style>
  <w:style w:type="character" w:styleId="af1">
    <w:name w:val="annotation reference"/>
    <w:semiHidden/>
    <w:rPr>
      <w:sz w:val="18"/>
      <w:szCs w:val="18"/>
    </w:rPr>
  </w:style>
  <w:style w:type="paragraph" w:styleId="af2">
    <w:name w:val="annotation text"/>
    <w:basedOn w:val="a"/>
    <w:semiHidden/>
  </w:style>
  <w:style w:type="paragraph" w:customStyle="1" w:styleId="11">
    <w:name w:val="註解主旨1"/>
    <w:basedOn w:val="af2"/>
    <w:next w:val="af2"/>
    <w:semiHidden/>
    <w:rPr>
      <w:b/>
      <w:bCs/>
    </w:rPr>
  </w:style>
  <w:style w:type="paragraph" w:customStyle="1" w:styleId="12">
    <w:name w:val="註解方塊文字1"/>
    <w:basedOn w:val="a"/>
    <w:semiHidden/>
    <w:rPr>
      <w:rFonts w:ascii="Arial" w:hAnsi="Arial"/>
      <w:sz w:val="18"/>
      <w:szCs w:val="18"/>
    </w:rPr>
  </w:style>
  <w:style w:type="paragraph" w:customStyle="1" w:styleId="Style1">
    <w:name w:val="Style1"/>
    <w:basedOn w:val="a"/>
    <w:rPr>
      <w:rFonts w:eastAsia="新細明體"/>
      <w:szCs w:val="20"/>
      <w:lang w:val="en-GB" w:eastAsia="en-US"/>
    </w:rPr>
  </w:style>
  <w:style w:type="paragraph" w:styleId="13">
    <w:name w:val="toc 1"/>
    <w:basedOn w:val="1"/>
    <w:next w:val="a"/>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Web"/>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character" w:styleId="af3">
    <w:name w:val="Hyperlink"/>
    <w:semiHidden/>
    <w:rPr>
      <w:color w:val="0000FF"/>
      <w:u w:val="single"/>
    </w:rPr>
  </w:style>
  <w:style w:type="paragraph" w:styleId="af4">
    <w:name w:val="Title"/>
    <w:basedOn w:val="a"/>
    <w:qFormat/>
    <w:pPr>
      <w:jc w:val="center"/>
    </w:pPr>
    <w:rPr>
      <w:rFonts w:eastAsia="新細明體"/>
      <w:b/>
      <w:bCs/>
      <w:sz w:val="32"/>
      <w:lang w:eastAsia="en-US"/>
    </w:rPr>
  </w:style>
  <w:style w:type="character" w:styleId="af5">
    <w:name w:val="Strong"/>
    <w:uiPriority w:val="22"/>
    <w:qFormat/>
    <w:rPr>
      <w:b/>
      <w:bCs/>
    </w:rPr>
  </w:style>
  <w:style w:type="character" w:customStyle="1" w:styleId="shorttext">
    <w:name w:val="short_text"/>
    <w:basedOn w:val="a1"/>
  </w:style>
  <w:style w:type="character" w:customStyle="1" w:styleId="af6">
    <w:name w:val="頁尾 字元"/>
    <w:rPr>
      <w:rFonts w:eastAsia="SimSun"/>
      <w:kern w:val="2"/>
      <w:lang w:eastAsia="zh-CN"/>
    </w:rPr>
  </w:style>
  <w:style w:type="table" w:styleId="af7">
    <w:name w:val="Table Grid"/>
    <w:basedOn w:val="a2"/>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標題 4 字元"/>
    <w:link w:val="4"/>
    <w:uiPriority w:val="9"/>
    <w:semiHidden/>
    <w:rsid w:val="0096250A"/>
    <w:rPr>
      <w:rFonts w:ascii="Cambria" w:eastAsia="新細明體" w:hAnsi="Cambria" w:cs="Times New Roman"/>
      <w:kern w:val="2"/>
      <w:sz w:val="36"/>
      <w:szCs w:val="36"/>
    </w:rPr>
  </w:style>
  <w:style w:type="character" w:customStyle="1" w:styleId="aa">
    <w:name w:val="本文 字元"/>
    <w:link w:val="a0"/>
    <w:semiHidden/>
    <w:rsid w:val="00CA1589"/>
    <w:rPr>
      <w:rFonts w:ascii="Times New Roman" w:hAnsi="Times New Roman"/>
      <w:sz w:val="22"/>
      <w:lang w:eastAsia="en-US"/>
    </w:rPr>
  </w:style>
  <w:style w:type="character" w:styleId="af8">
    <w:name w:val="Unresolved Mention"/>
    <w:basedOn w:val="a1"/>
    <w:uiPriority w:val="99"/>
    <w:semiHidden/>
    <w:unhideWhenUsed/>
    <w:rsid w:val="000D3340"/>
    <w:rPr>
      <w:color w:val="605E5C"/>
      <w:shd w:val="clear" w:color="auto" w:fill="E1DFDD"/>
    </w:rPr>
  </w:style>
  <w:style w:type="paragraph" w:styleId="af9">
    <w:name w:val="Revision"/>
    <w:hidden/>
    <w:uiPriority w:val="99"/>
    <w:semiHidden/>
    <w:rsid w:val="007B14FB"/>
    <w:rPr>
      <w:kern w:val="2"/>
      <w:sz w:val="24"/>
      <w:szCs w:val="22"/>
    </w:rPr>
  </w:style>
  <w:style w:type="table" w:styleId="afa">
    <w:name w:val="Grid Table Light"/>
    <w:basedOn w:val="a2"/>
    <w:uiPriority w:val="40"/>
    <w:rsid w:val="00D4355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afb">
    <w:name w:val="Emphasis"/>
    <w:basedOn w:val="a1"/>
    <w:uiPriority w:val="20"/>
    <w:qFormat/>
    <w:rsid w:val="0053587B"/>
    <w:rPr>
      <w:i/>
      <w:iCs/>
    </w:rPr>
  </w:style>
  <w:style w:type="character" w:styleId="afc">
    <w:name w:val="FollowedHyperlink"/>
    <w:basedOn w:val="a1"/>
    <w:uiPriority w:val="99"/>
    <w:semiHidden/>
    <w:unhideWhenUsed/>
    <w:rsid w:val="000B2E38"/>
    <w:rPr>
      <w:color w:val="800080" w:themeColor="followedHyperlink"/>
      <w:u w:val="single"/>
    </w:rPr>
  </w:style>
  <w:style w:type="character" w:customStyle="1" w:styleId="button-link-text">
    <w:name w:val="button-link-text"/>
    <w:basedOn w:val="a1"/>
    <w:rsid w:val="004012C4"/>
  </w:style>
  <w:style w:type="character" w:customStyle="1" w:styleId="react-xocs-alternative-link">
    <w:name w:val="react-xocs-alternative-link"/>
    <w:basedOn w:val="a1"/>
    <w:rsid w:val="004012C4"/>
  </w:style>
  <w:style w:type="character" w:customStyle="1" w:styleId="given-name">
    <w:name w:val="given-name"/>
    <w:basedOn w:val="a1"/>
    <w:rsid w:val="004012C4"/>
  </w:style>
  <w:style w:type="character" w:customStyle="1" w:styleId="text">
    <w:name w:val="text"/>
    <w:basedOn w:val="a1"/>
    <w:rsid w:val="004012C4"/>
  </w:style>
  <w:style w:type="character" w:customStyle="1" w:styleId="author-ref">
    <w:name w:val="author-ref"/>
    <w:basedOn w:val="a1"/>
    <w:rsid w:val="004012C4"/>
  </w:style>
  <w:style w:type="character" w:customStyle="1" w:styleId="title-text">
    <w:name w:val="title-text"/>
    <w:basedOn w:val="a1"/>
    <w:rsid w:val="0002018B"/>
  </w:style>
  <w:style w:type="character" w:customStyle="1" w:styleId="10">
    <w:name w:val="標題 1 字元"/>
    <w:basedOn w:val="a1"/>
    <w:link w:val="1"/>
    <w:uiPriority w:val="9"/>
    <w:rsid w:val="00061806"/>
    <w:rPr>
      <w:rFonts w:ascii="Arial" w:hAnsi="Arial"/>
      <w:b/>
      <w:bCs/>
      <w:kern w:val="52"/>
      <w:sz w:val="52"/>
      <w:szCs w:val="52"/>
    </w:rPr>
  </w:style>
  <w:style w:type="character" w:customStyle="1" w:styleId="a5">
    <w:name w:val="頁首 字元"/>
    <w:basedOn w:val="a1"/>
    <w:link w:val="a4"/>
    <w:rsid w:val="005661BD"/>
    <w:rPr>
      <w:rFonts w:ascii="Times New Roman" w:eastAsia="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71191">
      <w:bodyDiv w:val="1"/>
      <w:marLeft w:val="0"/>
      <w:marRight w:val="0"/>
      <w:marTop w:val="0"/>
      <w:marBottom w:val="0"/>
      <w:divBdr>
        <w:top w:val="none" w:sz="0" w:space="0" w:color="auto"/>
        <w:left w:val="none" w:sz="0" w:space="0" w:color="auto"/>
        <w:bottom w:val="none" w:sz="0" w:space="0" w:color="auto"/>
        <w:right w:val="none" w:sz="0" w:space="0" w:color="auto"/>
      </w:divBdr>
    </w:div>
    <w:div w:id="217327479">
      <w:bodyDiv w:val="1"/>
      <w:marLeft w:val="0"/>
      <w:marRight w:val="0"/>
      <w:marTop w:val="0"/>
      <w:marBottom w:val="0"/>
      <w:divBdr>
        <w:top w:val="none" w:sz="0" w:space="0" w:color="auto"/>
        <w:left w:val="none" w:sz="0" w:space="0" w:color="auto"/>
        <w:bottom w:val="none" w:sz="0" w:space="0" w:color="auto"/>
        <w:right w:val="none" w:sz="0" w:space="0" w:color="auto"/>
      </w:divBdr>
    </w:div>
    <w:div w:id="260650476">
      <w:bodyDiv w:val="1"/>
      <w:marLeft w:val="0"/>
      <w:marRight w:val="0"/>
      <w:marTop w:val="0"/>
      <w:marBottom w:val="0"/>
      <w:divBdr>
        <w:top w:val="none" w:sz="0" w:space="0" w:color="auto"/>
        <w:left w:val="none" w:sz="0" w:space="0" w:color="auto"/>
        <w:bottom w:val="none" w:sz="0" w:space="0" w:color="auto"/>
        <w:right w:val="none" w:sz="0" w:space="0" w:color="auto"/>
      </w:divBdr>
    </w:div>
    <w:div w:id="428353912">
      <w:bodyDiv w:val="1"/>
      <w:marLeft w:val="0"/>
      <w:marRight w:val="0"/>
      <w:marTop w:val="0"/>
      <w:marBottom w:val="0"/>
      <w:divBdr>
        <w:top w:val="none" w:sz="0" w:space="0" w:color="auto"/>
        <w:left w:val="none" w:sz="0" w:space="0" w:color="auto"/>
        <w:bottom w:val="none" w:sz="0" w:space="0" w:color="auto"/>
        <w:right w:val="none" w:sz="0" w:space="0" w:color="auto"/>
      </w:divBdr>
    </w:div>
    <w:div w:id="484905107">
      <w:bodyDiv w:val="1"/>
      <w:marLeft w:val="0"/>
      <w:marRight w:val="0"/>
      <w:marTop w:val="0"/>
      <w:marBottom w:val="0"/>
      <w:divBdr>
        <w:top w:val="none" w:sz="0" w:space="0" w:color="auto"/>
        <w:left w:val="none" w:sz="0" w:space="0" w:color="auto"/>
        <w:bottom w:val="none" w:sz="0" w:space="0" w:color="auto"/>
        <w:right w:val="none" w:sz="0" w:space="0" w:color="auto"/>
      </w:divBdr>
    </w:div>
    <w:div w:id="609433712">
      <w:bodyDiv w:val="1"/>
      <w:marLeft w:val="0"/>
      <w:marRight w:val="0"/>
      <w:marTop w:val="0"/>
      <w:marBottom w:val="0"/>
      <w:divBdr>
        <w:top w:val="none" w:sz="0" w:space="0" w:color="auto"/>
        <w:left w:val="none" w:sz="0" w:space="0" w:color="auto"/>
        <w:bottom w:val="none" w:sz="0" w:space="0" w:color="auto"/>
        <w:right w:val="none" w:sz="0" w:space="0" w:color="auto"/>
      </w:divBdr>
    </w:div>
    <w:div w:id="615404875">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91751979">
      <w:bodyDiv w:val="1"/>
      <w:marLeft w:val="0"/>
      <w:marRight w:val="0"/>
      <w:marTop w:val="0"/>
      <w:marBottom w:val="0"/>
      <w:divBdr>
        <w:top w:val="none" w:sz="0" w:space="0" w:color="auto"/>
        <w:left w:val="none" w:sz="0" w:space="0" w:color="auto"/>
        <w:bottom w:val="none" w:sz="0" w:space="0" w:color="auto"/>
        <w:right w:val="none" w:sz="0" w:space="0" w:color="auto"/>
      </w:divBdr>
    </w:div>
    <w:div w:id="905728631">
      <w:bodyDiv w:val="1"/>
      <w:marLeft w:val="0"/>
      <w:marRight w:val="0"/>
      <w:marTop w:val="0"/>
      <w:marBottom w:val="0"/>
      <w:divBdr>
        <w:top w:val="none" w:sz="0" w:space="0" w:color="auto"/>
        <w:left w:val="none" w:sz="0" w:space="0" w:color="auto"/>
        <w:bottom w:val="none" w:sz="0" w:space="0" w:color="auto"/>
        <w:right w:val="none" w:sz="0" w:space="0" w:color="auto"/>
      </w:divBdr>
    </w:div>
    <w:div w:id="910231344">
      <w:bodyDiv w:val="1"/>
      <w:marLeft w:val="0"/>
      <w:marRight w:val="0"/>
      <w:marTop w:val="0"/>
      <w:marBottom w:val="0"/>
      <w:divBdr>
        <w:top w:val="none" w:sz="0" w:space="0" w:color="auto"/>
        <w:left w:val="none" w:sz="0" w:space="0" w:color="auto"/>
        <w:bottom w:val="none" w:sz="0" w:space="0" w:color="auto"/>
        <w:right w:val="none" w:sz="0" w:space="0" w:color="auto"/>
      </w:divBdr>
    </w:div>
    <w:div w:id="933052563">
      <w:bodyDiv w:val="1"/>
      <w:marLeft w:val="0"/>
      <w:marRight w:val="0"/>
      <w:marTop w:val="0"/>
      <w:marBottom w:val="0"/>
      <w:divBdr>
        <w:top w:val="none" w:sz="0" w:space="0" w:color="auto"/>
        <w:left w:val="none" w:sz="0" w:space="0" w:color="auto"/>
        <w:bottom w:val="none" w:sz="0" w:space="0" w:color="auto"/>
        <w:right w:val="none" w:sz="0" w:space="0" w:color="auto"/>
      </w:divBdr>
    </w:div>
    <w:div w:id="1086418216">
      <w:bodyDiv w:val="1"/>
      <w:marLeft w:val="0"/>
      <w:marRight w:val="0"/>
      <w:marTop w:val="0"/>
      <w:marBottom w:val="0"/>
      <w:divBdr>
        <w:top w:val="none" w:sz="0" w:space="0" w:color="auto"/>
        <w:left w:val="none" w:sz="0" w:space="0" w:color="auto"/>
        <w:bottom w:val="none" w:sz="0" w:space="0" w:color="auto"/>
        <w:right w:val="none" w:sz="0" w:space="0" w:color="auto"/>
      </w:divBdr>
      <w:divsChild>
        <w:div w:id="774787313">
          <w:marLeft w:val="0"/>
          <w:marRight w:val="0"/>
          <w:marTop w:val="0"/>
          <w:marBottom w:val="0"/>
          <w:divBdr>
            <w:top w:val="none" w:sz="0" w:space="0" w:color="auto"/>
            <w:left w:val="none" w:sz="0" w:space="0" w:color="auto"/>
            <w:bottom w:val="none" w:sz="0" w:space="0" w:color="auto"/>
            <w:right w:val="none" w:sz="0" w:space="0" w:color="auto"/>
          </w:divBdr>
          <w:divsChild>
            <w:div w:id="494149569">
              <w:marLeft w:val="0"/>
              <w:marRight w:val="0"/>
              <w:marTop w:val="0"/>
              <w:marBottom w:val="0"/>
              <w:divBdr>
                <w:top w:val="none" w:sz="0" w:space="0" w:color="auto"/>
                <w:left w:val="none" w:sz="0" w:space="0" w:color="auto"/>
                <w:bottom w:val="none" w:sz="0" w:space="0" w:color="auto"/>
                <w:right w:val="none" w:sz="0" w:space="0" w:color="auto"/>
              </w:divBdr>
              <w:divsChild>
                <w:div w:id="140040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513298">
      <w:bodyDiv w:val="1"/>
      <w:marLeft w:val="0"/>
      <w:marRight w:val="0"/>
      <w:marTop w:val="0"/>
      <w:marBottom w:val="0"/>
      <w:divBdr>
        <w:top w:val="none" w:sz="0" w:space="0" w:color="auto"/>
        <w:left w:val="none" w:sz="0" w:space="0" w:color="auto"/>
        <w:bottom w:val="none" w:sz="0" w:space="0" w:color="auto"/>
        <w:right w:val="none" w:sz="0" w:space="0" w:color="auto"/>
      </w:divBdr>
    </w:div>
    <w:div w:id="1287658847">
      <w:bodyDiv w:val="1"/>
      <w:marLeft w:val="0"/>
      <w:marRight w:val="0"/>
      <w:marTop w:val="0"/>
      <w:marBottom w:val="0"/>
      <w:divBdr>
        <w:top w:val="none" w:sz="0" w:space="0" w:color="auto"/>
        <w:left w:val="none" w:sz="0" w:space="0" w:color="auto"/>
        <w:bottom w:val="none" w:sz="0" w:space="0" w:color="auto"/>
        <w:right w:val="none" w:sz="0" w:space="0" w:color="auto"/>
      </w:divBdr>
    </w:div>
    <w:div w:id="1314262809">
      <w:bodyDiv w:val="1"/>
      <w:marLeft w:val="0"/>
      <w:marRight w:val="0"/>
      <w:marTop w:val="0"/>
      <w:marBottom w:val="0"/>
      <w:divBdr>
        <w:top w:val="none" w:sz="0" w:space="0" w:color="auto"/>
        <w:left w:val="none" w:sz="0" w:space="0" w:color="auto"/>
        <w:bottom w:val="none" w:sz="0" w:space="0" w:color="auto"/>
        <w:right w:val="none" w:sz="0" w:space="0" w:color="auto"/>
      </w:divBdr>
    </w:div>
    <w:div w:id="1596983430">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1564299">
      <w:bodyDiv w:val="1"/>
      <w:marLeft w:val="0"/>
      <w:marRight w:val="0"/>
      <w:marTop w:val="0"/>
      <w:marBottom w:val="0"/>
      <w:divBdr>
        <w:top w:val="none" w:sz="0" w:space="0" w:color="auto"/>
        <w:left w:val="none" w:sz="0" w:space="0" w:color="auto"/>
        <w:bottom w:val="none" w:sz="0" w:space="0" w:color="auto"/>
        <w:right w:val="none" w:sz="0" w:space="0" w:color="auto"/>
      </w:divBdr>
    </w:div>
    <w:div w:id="1764838129">
      <w:bodyDiv w:val="1"/>
      <w:marLeft w:val="0"/>
      <w:marRight w:val="0"/>
      <w:marTop w:val="0"/>
      <w:marBottom w:val="0"/>
      <w:divBdr>
        <w:top w:val="none" w:sz="0" w:space="0" w:color="auto"/>
        <w:left w:val="none" w:sz="0" w:space="0" w:color="auto"/>
        <w:bottom w:val="none" w:sz="0" w:space="0" w:color="auto"/>
        <w:right w:val="none" w:sz="0" w:space="0" w:color="auto"/>
      </w:divBdr>
    </w:div>
    <w:div w:id="1798643488">
      <w:bodyDiv w:val="1"/>
      <w:marLeft w:val="0"/>
      <w:marRight w:val="0"/>
      <w:marTop w:val="0"/>
      <w:marBottom w:val="0"/>
      <w:divBdr>
        <w:top w:val="none" w:sz="0" w:space="0" w:color="auto"/>
        <w:left w:val="none" w:sz="0" w:space="0" w:color="auto"/>
        <w:bottom w:val="none" w:sz="0" w:space="0" w:color="auto"/>
        <w:right w:val="none" w:sz="0" w:space="0" w:color="auto"/>
      </w:divBdr>
    </w:div>
    <w:div w:id="1861354245">
      <w:bodyDiv w:val="1"/>
      <w:marLeft w:val="0"/>
      <w:marRight w:val="0"/>
      <w:marTop w:val="0"/>
      <w:marBottom w:val="0"/>
      <w:divBdr>
        <w:top w:val="none" w:sz="0" w:space="0" w:color="auto"/>
        <w:left w:val="none" w:sz="0" w:space="0" w:color="auto"/>
        <w:bottom w:val="none" w:sz="0" w:space="0" w:color="auto"/>
        <w:right w:val="none" w:sz="0" w:space="0" w:color="auto"/>
      </w:divBdr>
    </w:div>
    <w:div w:id="2031837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s://integratedreport.amundi.com/wp-content/uploads/2022/06/AMUNDI_RA_2021_EN_01.pdf" TargetMode="External"/><Relationship Id="rId26" Type="http://schemas.openxmlformats.org/officeDocument/2006/relationships/hyperlink" Target="https://www.hkma.gov.hk/eng/news-and-media/press-releases/2023/02/20230202-3/" TargetMode="External"/><Relationship Id="rId39" Type="http://schemas.openxmlformats.org/officeDocument/2006/relationships/hyperlink" Target="https://www.scribbr.com/statistics/pearson-correlation-coefficient/" TargetMode="External"/><Relationship Id="rId21" Type="http://schemas.openxmlformats.org/officeDocument/2006/relationships/hyperlink" Target="https://www.abs.gov.au/statistics/economy/international-trade/international-trade-goods-and-services-australia/dec-2022" TargetMode="External"/><Relationship Id="rId34" Type="http://schemas.openxmlformats.org/officeDocument/2006/relationships/hyperlink" Target="https://www.rba.gov.au/publications/smp/2023/feb/economic-outlook.html" TargetMode="External"/><Relationship Id="rId42" Type="http://schemas.openxmlformats.org/officeDocument/2006/relationships/hyperlink" Target="https://www.sciencedirect.com/science/article/pii/S154461232030405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hyperlink" Target="https://www.abs.gov.au/statistics/economy/price-indexes-and-inflation/consumer-price-index-australia/latest-release" TargetMode="External"/><Relationship Id="rId29" Type="http://schemas.openxmlformats.org/officeDocument/2006/relationships/hyperlink" Target="https://apps.sfc.hk/publicregWeb/corp/AAB444/details" TargetMode="External"/><Relationship Id="rId41" Type="http://schemas.openxmlformats.org/officeDocument/2006/relationships/hyperlink" Target="https://finance.yahoo.com/world-ind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hkeconomy.gov.hk/en/pdf/er_21q4.pdf" TargetMode="External"/><Relationship Id="rId32" Type="http://schemas.openxmlformats.org/officeDocument/2006/relationships/hyperlink" Target="https://www.investor.gov/introduction-investing/investing-basics/glossary/stock-market-circuit-breakers" TargetMode="External"/><Relationship Id="rId37" Type="http://schemas.openxmlformats.org/officeDocument/2006/relationships/hyperlink" Target="https://www.spglobal.com/spdji/en/indices/equity/sp-asx-200/" TargetMode="External"/><Relationship Id="rId40" Type="http://schemas.openxmlformats.org/officeDocument/2006/relationships/hyperlink" Target="https://www.capitaliq.com/CIQDotNet/RatingsDirect/PageOne.aspx?favorite=true" TargetMode="Externa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www.google.com/search?q=aud%2Fusd&amp;rlz=1C5CHFA_enHK995HK995&amp;oq=aud%2Fusd&amp;aqs=chrome..69i57j0i512l6j69i58.5242j1j15&amp;sourceid=chrome&amp;ie=UTF-8" TargetMode="External"/><Relationship Id="rId28" Type="http://schemas.openxmlformats.org/officeDocument/2006/relationships/hyperlink" Target="https://www.hkma.gov.hk/eng/key-functions/money/linked-exchange-rate-system/" TargetMode="External"/><Relationship Id="rId36" Type="http://schemas.openxmlformats.org/officeDocument/2006/relationships/hyperlink" Target="https://www.spglobal.com/spdji/en/documents/methodologies/methodology-sp-asx-australian-indices.pdf" TargetMode="External"/><Relationship Id="rId10" Type="http://schemas.openxmlformats.org/officeDocument/2006/relationships/footer" Target="footer2.xml"/><Relationship Id="rId19" Type="http://schemas.openxmlformats.org/officeDocument/2006/relationships/hyperlink" Target="https://www.amf-france.org/en/professionals/management-companies/my-management-companies-space" TargetMode="External"/><Relationship Id="rId31" Type="http://schemas.openxmlformats.org/officeDocument/2006/relationships/hyperlink" Target="https://www.imf.org/en/About/FAQ/imf-response-to-covid-19"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3.xml"/><Relationship Id="rId22" Type="http://schemas.openxmlformats.org/officeDocument/2006/relationships/hyperlink" Target="https://www.censtatd.gov.hk/en/scode230.html" TargetMode="External"/><Relationship Id="rId27" Type="http://schemas.openxmlformats.org/officeDocument/2006/relationships/hyperlink" Target="https://www.hkma.gov.hk/eng/key-functions/money/liquidity-facility-framework/base-rate/" TargetMode="External"/><Relationship Id="rId30" Type="http://schemas.openxmlformats.org/officeDocument/2006/relationships/hyperlink" Target="https://www.censtatd.gov.hk/en/scode230.html" TargetMode="External"/><Relationship Id="rId35" Type="http://schemas.openxmlformats.org/officeDocument/2006/relationships/hyperlink" Target="https://www.rba.gov.au/statistics/cash-rate/"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hsi.com.hk/static/uploads/contents/en/dl_centre/factsheets/hsie.pdf" TargetMode="External"/><Relationship Id="rId33" Type="http://schemas.openxmlformats.org/officeDocument/2006/relationships/hyperlink" Target="https://www.forbes.com/advisor/investing/quantitative-easing-qe/" TargetMode="External"/><Relationship Id="rId38" Type="http://schemas.openxmlformats.org/officeDocument/2006/relationships/hyperlink" Target="https://www.capitaliq.com/CIQDotNet/CreditResearch/SPResearch.aspx?DocumentId=53896987&amp;From=SNP_R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yatheiauyeung\Desktop\MBA\Global%20Business%20Challenges%20\Assignment\ASX200%20(monthl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yatheiauyeung/Desktop/MBA/Global%20Business%20Challenges%20/Assignment/hsi%20weight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yatheiauyeung/Desktop/MBA/Global%20Business%20Challenges%20/Assignment/hsi%20weight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yatheiauyeung\Desktop\MBA\Global%20Business%20Challenges%20\Assignment\inflation%20rate.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yatheiauyeung\Desktop\MBA\Global%20Business%20Challenges%20\Assignment\Goods%20and%20services%20credits%20(exports),%20seasonally%20adjusted%20Goods%20credi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yatheiauyeung\Desktop\MBA\Global%20Business%20Challenges%20\Assignment\imf-dm-export-20230205%20(1).xls"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The</a:t>
            </a:r>
            <a:r>
              <a:rPr lang="en-US" altLang="zh-TW" baseline="0"/>
              <a:t> performance of HSI and ASX200 </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lineChart>
        <c:grouping val="standard"/>
        <c:varyColors val="0"/>
        <c:ser>
          <c:idx val="1"/>
          <c:order val="1"/>
          <c:tx>
            <c:strRef>
              <c:f>工作表1!$C$1</c:f>
              <c:strCache>
                <c:ptCount val="1"/>
                <c:pt idx="0">
                  <c:v>HSI</c:v>
                </c:pt>
              </c:strCache>
            </c:strRef>
          </c:tx>
          <c:spPr>
            <a:ln w="28575" cap="rnd">
              <a:solidFill>
                <a:schemeClr val="tx1"/>
              </a:solidFill>
              <a:round/>
            </a:ln>
            <a:effectLst/>
          </c:spPr>
          <c:marker>
            <c:symbol val="none"/>
          </c:marker>
          <c:cat>
            <c:numRef>
              <c:f>工作表1!$A$2:$A$363</c:f>
              <c:numCache>
                <c:formatCode>[$-809]dd\ mmmm\ yyyy;@</c:formatCode>
                <c:ptCount val="362"/>
                <c:pt idx="0">
                  <c:v>44911</c:v>
                </c:pt>
                <c:pt idx="1">
                  <c:v>44896</c:v>
                </c:pt>
                <c:pt idx="2">
                  <c:v>44866</c:v>
                </c:pt>
                <c:pt idx="3">
                  <c:v>44835</c:v>
                </c:pt>
                <c:pt idx="4">
                  <c:v>44805</c:v>
                </c:pt>
                <c:pt idx="5">
                  <c:v>44774</c:v>
                </c:pt>
                <c:pt idx="6">
                  <c:v>44743</c:v>
                </c:pt>
                <c:pt idx="7">
                  <c:v>44713</c:v>
                </c:pt>
                <c:pt idx="8">
                  <c:v>44682</c:v>
                </c:pt>
                <c:pt idx="9">
                  <c:v>44652</c:v>
                </c:pt>
                <c:pt idx="10">
                  <c:v>44621</c:v>
                </c:pt>
                <c:pt idx="11">
                  <c:v>44593</c:v>
                </c:pt>
                <c:pt idx="12">
                  <c:v>44562</c:v>
                </c:pt>
                <c:pt idx="13">
                  <c:v>44531</c:v>
                </c:pt>
                <c:pt idx="14">
                  <c:v>44501</c:v>
                </c:pt>
                <c:pt idx="15">
                  <c:v>44470</c:v>
                </c:pt>
                <c:pt idx="16">
                  <c:v>44440</c:v>
                </c:pt>
                <c:pt idx="17">
                  <c:v>44409</c:v>
                </c:pt>
                <c:pt idx="18">
                  <c:v>44378</c:v>
                </c:pt>
                <c:pt idx="19">
                  <c:v>44348</c:v>
                </c:pt>
                <c:pt idx="20">
                  <c:v>44317</c:v>
                </c:pt>
                <c:pt idx="21">
                  <c:v>44287</c:v>
                </c:pt>
                <c:pt idx="22">
                  <c:v>44256</c:v>
                </c:pt>
                <c:pt idx="23">
                  <c:v>44228</c:v>
                </c:pt>
                <c:pt idx="24">
                  <c:v>44197</c:v>
                </c:pt>
                <c:pt idx="25">
                  <c:v>44166</c:v>
                </c:pt>
                <c:pt idx="26">
                  <c:v>44136</c:v>
                </c:pt>
                <c:pt idx="27">
                  <c:v>44105</c:v>
                </c:pt>
                <c:pt idx="28">
                  <c:v>44075</c:v>
                </c:pt>
                <c:pt idx="29">
                  <c:v>44044</c:v>
                </c:pt>
                <c:pt idx="30">
                  <c:v>44013</c:v>
                </c:pt>
                <c:pt idx="31">
                  <c:v>43983</c:v>
                </c:pt>
                <c:pt idx="32">
                  <c:v>43952</c:v>
                </c:pt>
                <c:pt idx="33">
                  <c:v>43922</c:v>
                </c:pt>
                <c:pt idx="34">
                  <c:v>43891</c:v>
                </c:pt>
                <c:pt idx="35">
                  <c:v>43862</c:v>
                </c:pt>
                <c:pt idx="36">
                  <c:v>43831</c:v>
                </c:pt>
                <c:pt idx="37">
                  <c:v>43800</c:v>
                </c:pt>
                <c:pt idx="38">
                  <c:v>43770</c:v>
                </c:pt>
                <c:pt idx="39">
                  <c:v>43739</c:v>
                </c:pt>
                <c:pt idx="40">
                  <c:v>43709</c:v>
                </c:pt>
                <c:pt idx="41">
                  <c:v>43678</c:v>
                </c:pt>
                <c:pt idx="42">
                  <c:v>43647</c:v>
                </c:pt>
                <c:pt idx="43">
                  <c:v>43617</c:v>
                </c:pt>
                <c:pt idx="44">
                  <c:v>43586</c:v>
                </c:pt>
                <c:pt idx="45">
                  <c:v>43556</c:v>
                </c:pt>
                <c:pt idx="46">
                  <c:v>43525</c:v>
                </c:pt>
                <c:pt idx="47">
                  <c:v>43497</c:v>
                </c:pt>
                <c:pt idx="48">
                  <c:v>43466</c:v>
                </c:pt>
                <c:pt idx="49">
                  <c:v>43435</c:v>
                </c:pt>
                <c:pt idx="50">
                  <c:v>43405</c:v>
                </c:pt>
                <c:pt idx="51">
                  <c:v>43374</c:v>
                </c:pt>
                <c:pt idx="52">
                  <c:v>43344</c:v>
                </c:pt>
                <c:pt idx="53">
                  <c:v>43313</c:v>
                </c:pt>
                <c:pt idx="54">
                  <c:v>43282</c:v>
                </c:pt>
                <c:pt idx="55">
                  <c:v>43252</c:v>
                </c:pt>
                <c:pt idx="56">
                  <c:v>43221</c:v>
                </c:pt>
                <c:pt idx="57">
                  <c:v>43191</c:v>
                </c:pt>
                <c:pt idx="58">
                  <c:v>43160</c:v>
                </c:pt>
                <c:pt idx="59">
                  <c:v>43132</c:v>
                </c:pt>
                <c:pt idx="60">
                  <c:v>43101</c:v>
                </c:pt>
                <c:pt idx="61">
                  <c:v>43070</c:v>
                </c:pt>
                <c:pt idx="62">
                  <c:v>43040</c:v>
                </c:pt>
                <c:pt idx="63">
                  <c:v>43009</c:v>
                </c:pt>
                <c:pt idx="64">
                  <c:v>42979</c:v>
                </c:pt>
                <c:pt idx="65">
                  <c:v>42948</c:v>
                </c:pt>
                <c:pt idx="66">
                  <c:v>42917</c:v>
                </c:pt>
                <c:pt idx="67">
                  <c:v>42887</c:v>
                </c:pt>
                <c:pt idx="68">
                  <c:v>42856</c:v>
                </c:pt>
                <c:pt idx="69">
                  <c:v>42826</c:v>
                </c:pt>
                <c:pt idx="70">
                  <c:v>42795</c:v>
                </c:pt>
                <c:pt idx="71">
                  <c:v>42767</c:v>
                </c:pt>
                <c:pt idx="72">
                  <c:v>42736</c:v>
                </c:pt>
                <c:pt idx="73">
                  <c:v>42705</c:v>
                </c:pt>
                <c:pt idx="74">
                  <c:v>42675</c:v>
                </c:pt>
                <c:pt idx="75">
                  <c:v>42644</c:v>
                </c:pt>
                <c:pt idx="76">
                  <c:v>42614</c:v>
                </c:pt>
                <c:pt idx="77">
                  <c:v>42583</c:v>
                </c:pt>
                <c:pt idx="78">
                  <c:v>42552</c:v>
                </c:pt>
                <c:pt idx="79">
                  <c:v>42522</c:v>
                </c:pt>
                <c:pt idx="80">
                  <c:v>42491</c:v>
                </c:pt>
                <c:pt idx="81">
                  <c:v>42461</c:v>
                </c:pt>
                <c:pt idx="82">
                  <c:v>42430</c:v>
                </c:pt>
                <c:pt idx="83">
                  <c:v>42401</c:v>
                </c:pt>
                <c:pt idx="84">
                  <c:v>42370</c:v>
                </c:pt>
                <c:pt idx="85">
                  <c:v>42339</c:v>
                </c:pt>
                <c:pt idx="86">
                  <c:v>42309</c:v>
                </c:pt>
                <c:pt idx="87">
                  <c:v>42278</c:v>
                </c:pt>
                <c:pt idx="88">
                  <c:v>42248</c:v>
                </c:pt>
                <c:pt idx="89">
                  <c:v>42217</c:v>
                </c:pt>
                <c:pt idx="90">
                  <c:v>42186</c:v>
                </c:pt>
                <c:pt idx="91">
                  <c:v>42156</c:v>
                </c:pt>
                <c:pt idx="92">
                  <c:v>42125</c:v>
                </c:pt>
                <c:pt idx="93">
                  <c:v>42095</c:v>
                </c:pt>
                <c:pt idx="94">
                  <c:v>42064</c:v>
                </c:pt>
                <c:pt idx="95">
                  <c:v>42036</c:v>
                </c:pt>
                <c:pt idx="96">
                  <c:v>42005</c:v>
                </c:pt>
                <c:pt idx="97">
                  <c:v>41974</c:v>
                </c:pt>
                <c:pt idx="98">
                  <c:v>41944</c:v>
                </c:pt>
                <c:pt idx="99">
                  <c:v>41913</c:v>
                </c:pt>
                <c:pt idx="100">
                  <c:v>41883</c:v>
                </c:pt>
                <c:pt idx="101">
                  <c:v>41852</c:v>
                </c:pt>
                <c:pt idx="102">
                  <c:v>41821</c:v>
                </c:pt>
                <c:pt idx="103">
                  <c:v>41791</c:v>
                </c:pt>
                <c:pt idx="104">
                  <c:v>41760</c:v>
                </c:pt>
                <c:pt idx="105">
                  <c:v>41730</c:v>
                </c:pt>
                <c:pt idx="106">
                  <c:v>41699</c:v>
                </c:pt>
                <c:pt idx="107">
                  <c:v>41671</c:v>
                </c:pt>
                <c:pt idx="108">
                  <c:v>41640</c:v>
                </c:pt>
                <c:pt idx="109">
                  <c:v>41609</c:v>
                </c:pt>
                <c:pt idx="110">
                  <c:v>41579</c:v>
                </c:pt>
                <c:pt idx="111">
                  <c:v>41548</c:v>
                </c:pt>
                <c:pt idx="112">
                  <c:v>41518</c:v>
                </c:pt>
                <c:pt idx="113">
                  <c:v>41487</c:v>
                </c:pt>
                <c:pt idx="114">
                  <c:v>41456</c:v>
                </c:pt>
                <c:pt idx="115">
                  <c:v>41426</c:v>
                </c:pt>
                <c:pt idx="116">
                  <c:v>41395</c:v>
                </c:pt>
                <c:pt idx="117">
                  <c:v>41365</c:v>
                </c:pt>
                <c:pt idx="118">
                  <c:v>41334</c:v>
                </c:pt>
                <c:pt idx="119">
                  <c:v>41306</c:v>
                </c:pt>
                <c:pt idx="120">
                  <c:v>41275</c:v>
                </c:pt>
                <c:pt idx="121">
                  <c:v>41244</c:v>
                </c:pt>
                <c:pt idx="122">
                  <c:v>41214</c:v>
                </c:pt>
                <c:pt idx="123">
                  <c:v>41183</c:v>
                </c:pt>
                <c:pt idx="124">
                  <c:v>41153</c:v>
                </c:pt>
                <c:pt idx="125">
                  <c:v>41122</c:v>
                </c:pt>
                <c:pt idx="126">
                  <c:v>41091</c:v>
                </c:pt>
                <c:pt idx="127">
                  <c:v>41061</c:v>
                </c:pt>
                <c:pt idx="128">
                  <c:v>41030</c:v>
                </c:pt>
                <c:pt idx="129">
                  <c:v>41000</c:v>
                </c:pt>
                <c:pt idx="130">
                  <c:v>40969</c:v>
                </c:pt>
                <c:pt idx="131">
                  <c:v>40940</c:v>
                </c:pt>
                <c:pt idx="132">
                  <c:v>40909</c:v>
                </c:pt>
                <c:pt idx="133">
                  <c:v>40878</c:v>
                </c:pt>
                <c:pt idx="134">
                  <c:v>40848</c:v>
                </c:pt>
                <c:pt idx="135">
                  <c:v>40817</c:v>
                </c:pt>
                <c:pt idx="136">
                  <c:v>40787</c:v>
                </c:pt>
                <c:pt idx="137">
                  <c:v>40756</c:v>
                </c:pt>
                <c:pt idx="138">
                  <c:v>40725</c:v>
                </c:pt>
                <c:pt idx="139">
                  <c:v>40695</c:v>
                </c:pt>
                <c:pt idx="140">
                  <c:v>40664</c:v>
                </c:pt>
                <c:pt idx="141">
                  <c:v>40634</c:v>
                </c:pt>
                <c:pt idx="142">
                  <c:v>40603</c:v>
                </c:pt>
                <c:pt idx="143">
                  <c:v>40575</c:v>
                </c:pt>
                <c:pt idx="144">
                  <c:v>40544</c:v>
                </c:pt>
                <c:pt idx="145">
                  <c:v>40513</c:v>
                </c:pt>
                <c:pt idx="146">
                  <c:v>40483</c:v>
                </c:pt>
                <c:pt idx="147">
                  <c:v>40452</c:v>
                </c:pt>
                <c:pt idx="148">
                  <c:v>40422</c:v>
                </c:pt>
                <c:pt idx="149">
                  <c:v>40391</c:v>
                </c:pt>
                <c:pt idx="150">
                  <c:v>40360</c:v>
                </c:pt>
                <c:pt idx="151">
                  <c:v>40330</c:v>
                </c:pt>
                <c:pt idx="152">
                  <c:v>40299</c:v>
                </c:pt>
                <c:pt idx="153">
                  <c:v>40269</c:v>
                </c:pt>
                <c:pt idx="154">
                  <c:v>40238</c:v>
                </c:pt>
                <c:pt idx="155">
                  <c:v>40210</c:v>
                </c:pt>
                <c:pt idx="156">
                  <c:v>40179</c:v>
                </c:pt>
                <c:pt idx="157">
                  <c:v>40148</c:v>
                </c:pt>
                <c:pt idx="158">
                  <c:v>40118</c:v>
                </c:pt>
                <c:pt idx="159">
                  <c:v>40087</c:v>
                </c:pt>
                <c:pt idx="160">
                  <c:v>40057</c:v>
                </c:pt>
                <c:pt idx="161">
                  <c:v>40026</c:v>
                </c:pt>
                <c:pt idx="162">
                  <c:v>39995</c:v>
                </c:pt>
                <c:pt idx="163">
                  <c:v>39965</c:v>
                </c:pt>
                <c:pt idx="164">
                  <c:v>39934</c:v>
                </c:pt>
                <c:pt idx="165">
                  <c:v>39904</c:v>
                </c:pt>
                <c:pt idx="166">
                  <c:v>39873</c:v>
                </c:pt>
                <c:pt idx="167">
                  <c:v>39845</c:v>
                </c:pt>
                <c:pt idx="168">
                  <c:v>39814</c:v>
                </c:pt>
                <c:pt idx="169">
                  <c:v>39783</c:v>
                </c:pt>
                <c:pt idx="170">
                  <c:v>39753</c:v>
                </c:pt>
                <c:pt idx="171">
                  <c:v>39722</c:v>
                </c:pt>
                <c:pt idx="172">
                  <c:v>39692</c:v>
                </c:pt>
                <c:pt idx="173">
                  <c:v>39661</c:v>
                </c:pt>
                <c:pt idx="174">
                  <c:v>39630</c:v>
                </c:pt>
                <c:pt idx="175">
                  <c:v>39600</c:v>
                </c:pt>
                <c:pt idx="176">
                  <c:v>39569</c:v>
                </c:pt>
                <c:pt idx="177">
                  <c:v>39539</c:v>
                </c:pt>
                <c:pt idx="178">
                  <c:v>39508</c:v>
                </c:pt>
                <c:pt idx="179">
                  <c:v>39479</c:v>
                </c:pt>
                <c:pt idx="180">
                  <c:v>39448</c:v>
                </c:pt>
                <c:pt idx="181">
                  <c:v>39417</c:v>
                </c:pt>
                <c:pt idx="182">
                  <c:v>39387</c:v>
                </c:pt>
                <c:pt idx="183">
                  <c:v>39356</c:v>
                </c:pt>
                <c:pt idx="184">
                  <c:v>39326</c:v>
                </c:pt>
                <c:pt idx="185">
                  <c:v>39295</c:v>
                </c:pt>
                <c:pt idx="186">
                  <c:v>39264</c:v>
                </c:pt>
                <c:pt idx="187">
                  <c:v>39234</c:v>
                </c:pt>
                <c:pt idx="188">
                  <c:v>39203</c:v>
                </c:pt>
                <c:pt idx="189">
                  <c:v>39173</c:v>
                </c:pt>
                <c:pt idx="190">
                  <c:v>39142</c:v>
                </c:pt>
                <c:pt idx="191">
                  <c:v>39114</c:v>
                </c:pt>
                <c:pt idx="192">
                  <c:v>39083</c:v>
                </c:pt>
                <c:pt idx="193">
                  <c:v>39052</c:v>
                </c:pt>
                <c:pt idx="194">
                  <c:v>39022</c:v>
                </c:pt>
                <c:pt idx="195">
                  <c:v>38991</c:v>
                </c:pt>
                <c:pt idx="196">
                  <c:v>38961</c:v>
                </c:pt>
                <c:pt idx="197">
                  <c:v>38930</c:v>
                </c:pt>
                <c:pt idx="198">
                  <c:v>38899</c:v>
                </c:pt>
                <c:pt idx="199">
                  <c:v>38869</c:v>
                </c:pt>
                <c:pt idx="200">
                  <c:v>38838</c:v>
                </c:pt>
                <c:pt idx="201">
                  <c:v>38808</c:v>
                </c:pt>
                <c:pt idx="202">
                  <c:v>38777</c:v>
                </c:pt>
                <c:pt idx="203">
                  <c:v>38749</c:v>
                </c:pt>
                <c:pt idx="204">
                  <c:v>38718</c:v>
                </c:pt>
                <c:pt idx="205">
                  <c:v>38687</c:v>
                </c:pt>
                <c:pt idx="206">
                  <c:v>38657</c:v>
                </c:pt>
                <c:pt idx="207">
                  <c:v>38626</c:v>
                </c:pt>
                <c:pt idx="208">
                  <c:v>38596</c:v>
                </c:pt>
                <c:pt idx="209">
                  <c:v>38565</c:v>
                </c:pt>
                <c:pt idx="210">
                  <c:v>38534</c:v>
                </c:pt>
                <c:pt idx="211">
                  <c:v>38504</c:v>
                </c:pt>
                <c:pt idx="212">
                  <c:v>38473</c:v>
                </c:pt>
                <c:pt idx="213">
                  <c:v>38443</c:v>
                </c:pt>
                <c:pt idx="214">
                  <c:v>38412</c:v>
                </c:pt>
                <c:pt idx="215">
                  <c:v>38384</c:v>
                </c:pt>
                <c:pt idx="216">
                  <c:v>38353</c:v>
                </c:pt>
                <c:pt idx="217">
                  <c:v>38322</c:v>
                </c:pt>
                <c:pt idx="218">
                  <c:v>38292</c:v>
                </c:pt>
                <c:pt idx="219">
                  <c:v>38261</c:v>
                </c:pt>
                <c:pt idx="220">
                  <c:v>38231</c:v>
                </c:pt>
                <c:pt idx="221">
                  <c:v>38200</c:v>
                </c:pt>
                <c:pt idx="222">
                  <c:v>38169</c:v>
                </c:pt>
                <c:pt idx="223">
                  <c:v>38139</c:v>
                </c:pt>
                <c:pt idx="224">
                  <c:v>38108</c:v>
                </c:pt>
                <c:pt idx="225">
                  <c:v>38078</c:v>
                </c:pt>
                <c:pt idx="226">
                  <c:v>38047</c:v>
                </c:pt>
                <c:pt idx="227">
                  <c:v>38018</c:v>
                </c:pt>
                <c:pt idx="228">
                  <c:v>37987</c:v>
                </c:pt>
                <c:pt idx="229">
                  <c:v>37956</c:v>
                </c:pt>
                <c:pt idx="230">
                  <c:v>37926</c:v>
                </c:pt>
                <c:pt idx="231">
                  <c:v>37895</c:v>
                </c:pt>
                <c:pt idx="232">
                  <c:v>37865</c:v>
                </c:pt>
                <c:pt idx="233">
                  <c:v>37834</c:v>
                </c:pt>
                <c:pt idx="234">
                  <c:v>37803</c:v>
                </c:pt>
                <c:pt idx="235">
                  <c:v>37773</c:v>
                </c:pt>
                <c:pt idx="236">
                  <c:v>37742</c:v>
                </c:pt>
                <c:pt idx="237">
                  <c:v>37712</c:v>
                </c:pt>
                <c:pt idx="238">
                  <c:v>37681</c:v>
                </c:pt>
                <c:pt idx="239">
                  <c:v>37653</c:v>
                </c:pt>
                <c:pt idx="240">
                  <c:v>37622</c:v>
                </c:pt>
                <c:pt idx="241">
                  <c:v>37591</c:v>
                </c:pt>
                <c:pt idx="242">
                  <c:v>37561</c:v>
                </c:pt>
                <c:pt idx="243">
                  <c:v>37530</c:v>
                </c:pt>
                <c:pt idx="244">
                  <c:v>37500</c:v>
                </c:pt>
                <c:pt idx="245">
                  <c:v>37469</c:v>
                </c:pt>
                <c:pt idx="246">
                  <c:v>37438</c:v>
                </c:pt>
                <c:pt idx="247">
                  <c:v>37408</c:v>
                </c:pt>
                <c:pt idx="248">
                  <c:v>37377</c:v>
                </c:pt>
                <c:pt idx="249">
                  <c:v>37347</c:v>
                </c:pt>
                <c:pt idx="250">
                  <c:v>37316</c:v>
                </c:pt>
                <c:pt idx="251">
                  <c:v>37288</c:v>
                </c:pt>
                <c:pt idx="252">
                  <c:v>37257</c:v>
                </c:pt>
                <c:pt idx="253">
                  <c:v>37226</c:v>
                </c:pt>
                <c:pt idx="254">
                  <c:v>37196</c:v>
                </c:pt>
                <c:pt idx="255">
                  <c:v>37165</c:v>
                </c:pt>
                <c:pt idx="256">
                  <c:v>37135</c:v>
                </c:pt>
                <c:pt idx="257">
                  <c:v>37104</c:v>
                </c:pt>
                <c:pt idx="258">
                  <c:v>37073</c:v>
                </c:pt>
                <c:pt idx="259">
                  <c:v>37043</c:v>
                </c:pt>
                <c:pt idx="260">
                  <c:v>37012</c:v>
                </c:pt>
                <c:pt idx="261">
                  <c:v>36982</c:v>
                </c:pt>
                <c:pt idx="262">
                  <c:v>36951</c:v>
                </c:pt>
                <c:pt idx="263">
                  <c:v>36923</c:v>
                </c:pt>
                <c:pt idx="264">
                  <c:v>36892</c:v>
                </c:pt>
                <c:pt idx="265">
                  <c:v>36861</c:v>
                </c:pt>
                <c:pt idx="266">
                  <c:v>36831</c:v>
                </c:pt>
                <c:pt idx="267">
                  <c:v>36800</c:v>
                </c:pt>
                <c:pt idx="268">
                  <c:v>36770</c:v>
                </c:pt>
                <c:pt idx="269">
                  <c:v>36739</c:v>
                </c:pt>
                <c:pt idx="270">
                  <c:v>36708</c:v>
                </c:pt>
                <c:pt idx="271">
                  <c:v>36678</c:v>
                </c:pt>
                <c:pt idx="272">
                  <c:v>36647</c:v>
                </c:pt>
                <c:pt idx="273">
                  <c:v>36617</c:v>
                </c:pt>
                <c:pt idx="274">
                  <c:v>36586</c:v>
                </c:pt>
                <c:pt idx="275">
                  <c:v>36557</c:v>
                </c:pt>
                <c:pt idx="276">
                  <c:v>36526</c:v>
                </c:pt>
                <c:pt idx="277">
                  <c:v>36495</c:v>
                </c:pt>
                <c:pt idx="278">
                  <c:v>36465</c:v>
                </c:pt>
                <c:pt idx="279">
                  <c:v>36434</c:v>
                </c:pt>
                <c:pt idx="280">
                  <c:v>36404</c:v>
                </c:pt>
                <c:pt idx="281">
                  <c:v>36373</c:v>
                </c:pt>
                <c:pt idx="282">
                  <c:v>36342</c:v>
                </c:pt>
                <c:pt idx="283">
                  <c:v>36312</c:v>
                </c:pt>
                <c:pt idx="284">
                  <c:v>36281</c:v>
                </c:pt>
                <c:pt idx="285">
                  <c:v>36251</c:v>
                </c:pt>
                <c:pt idx="286">
                  <c:v>36220</c:v>
                </c:pt>
                <c:pt idx="287">
                  <c:v>36192</c:v>
                </c:pt>
                <c:pt idx="288">
                  <c:v>36161</c:v>
                </c:pt>
                <c:pt idx="289">
                  <c:v>36130</c:v>
                </c:pt>
                <c:pt idx="290">
                  <c:v>36100</c:v>
                </c:pt>
                <c:pt idx="291">
                  <c:v>36069</c:v>
                </c:pt>
                <c:pt idx="292">
                  <c:v>36039</c:v>
                </c:pt>
                <c:pt idx="293">
                  <c:v>36008</c:v>
                </c:pt>
                <c:pt idx="294">
                  <c:v>35977</c:v>
                </c:pt>
                <c:pt idx="295">
                  <c:v>35947</c:v>
                </c:pt>
                <c:pt idx="296">
                  <c:v>35916</c:v>
                </c:pt>
                <c:pt idx="297">
                  <c:v>35886</c:v>
                </c:pt>
                <c:pt idx="298">
                  <c:v>35855</c:v>
                </c:pt>
                <c:pt idx="299">
                  <c:v>35827</c:v>
                </c:pt>
                <c:pt idx="300">
                  <c:v>35796</c:v>
                </c:pt>
                <c:pt idx="301">
                  <c:v>35765</c:v>
                </c:pt>
                <c:pt idx="302">
                  <c:v>35735</c:v>
                </c:pt>
                <c:pt idx="303">
                  <c:v>35704</c:v>
                </c:pt>
                <c:pt idx="304">
                  <c:v>35674</c:v>
                </c:pt>
                <c:pt idx="305">
                  <c:v>35643</c:v>
                </c:pt>
                <c:pt idx="306">
                  <c:v>35612</c:v>
                </c:pt>
                <c:pt idx="307">
                  <c:v>35582</c:v>
                </c:pt>
                <c:pt idx="308">
                  <c:v>35551</c:v>
                </c:pt>
                <c:pt idx="309">
                  <c:v>35521</c:v>
                </c:pt>
                <c:pt idx="310">
                  <c:v>35490</c:v>
                </c:pt>
                <c:pt idx="311">
                  <c:v>35462</c:v>
                </c:pt>
                <c:pt idx="312">
                  <c:v>35431</c:v>
                </c:pt>
                <c:pt idx="313">
                  <c:v>35400</c:v>
                </c:pt>
                <c:pt idx="314">
                  <c:v>35370</c:v>
                </c:pt>
                <c:pt idx="315">
                  <c:v>35339</c:v>
                </c:pt>
                <c:pt idx="316">
                  <c:v>35309</c:v>
                </c:pt>
                <c:pt idx="317">
                  <c:v>35278</c:v>
                </c:pt>
                <c:pt idx="318">
                  <c:v>35247</c:v>
                </c:pt>
                <c:pt idx="319">
                  <c:v>35217</c:v>
                </c:pt>
                <c:pt idx="320">
                  <c:v>35186</c:v>
                </c:pt>
                <c:pt idx="321">
                  <c:v>35156</c:v>
                </c:pt>
                <c:pt idx="322">
                  <c:v>35125</c:v>
                </c:pt>
                <c:pt idx="323">
                  <c:v>35096</c:v>
                </c:pt>
                <c:pt idx="324">
                  <c:v>35065</c:v>
                </c:pt>
                <c:pt idx="325">
                  <c:v>35034</c:v>
                </c:pt>
                <c:pt idx="326">
                  <c:v>35004</c:v>
                </c:pt>
                <c:pt idx="327">
                  <c:v>34973</c:v>
                </c:pt>
                <c:pt idx="328">
                  <c:v>34943</c:v>
                </c:pt>
                <c:pt idx="329">
                  <c:v>34912</c:v>
                </c:pt>
                <c:pt idx="330">
                  <c:v>34881</c:v>
                </c:pt>
                <c:pt idx="331">
                  <c:v>34851</c:v>
                </c:pt>
                <c:pt idx="332">
                  <c:v>34820</c:v>
                </c:pt>
                <c:pt idx="333">
                  <c:v>34790</c:v>
                </c:pt>
                <c:pt idx="334">
                  <c:v>34759</c:v>
                </c:pt>
                <c:pt idx="335">
                  <c:v>34731</c:v>
                </c:pt>
                <c:pt idx="336">
                  <c:v>34700</c:v>
                </c:pt>
                <c:pt idx="337">
                  <c:v>34669</c:v>
                </c:pt>
                <c:pt idx="338">
                  <c:v>34639</c:v>
                </c:pt>
                <c:pt idx="339">
                  <c:v>34608</c:v>
                </c:pt>
                <c:pt idx="340">
                  <c:v>34578</c:v>
                </c:pt>
                <c:pt idx="341">
                  <c:v>34547</c:v>
                </c:pt>
                <c:pt idx="342">
                  <c:v>34516</c:v>
                </c:pt>
                <c:pt idx="343">
                  <c:v>34486</c:v>
                </c:pt>
                <c:pt idx="344">
                  <c:v>34455</c:v>
                </c:pt>
                <c:pt idx="345">
                  <c:v>34425</c:v>
                </c:pt>
                <c:pt idx="346">
                  <c:v>34394</c:v>
                </c:pt>
                <c:pt idx="347">
                  <c:v>34366</c:v>
                </c:pt>
                <c:pt idx="348">
                  <c:v>34335</c:v>
                </c:pt>
                <c:pt idx="349">
                  <c:v>34304</c:v>
                </c:pt>
                <c:pt idx="350">
                  <c:v>34274</c:v>
                </c:pt>
                <c:pt idx="351">
                  <c:v>34243</c:v>
                </c:pt>
                <c:pt idx="352">
                  <c:v>34213</c:v>
                </c:pt>
                <c:pt idx="353">
                  <c:v>34182</c:v>
                </c:pt>
                <c:pt idx="354">
                  <c:v>34151</c:v>
                </c:pt>
                <c:pt idx="355">
                  <c:v>34121</c:v>
                </c:pt>
                <c:pt idx="356">
                  <c:v>34090</c:v>
                </c:pt>
                <c:pt idx="357">
                  <c:v>34060</c:v>
                </c:pt>
                <c:pt idx="358">
                  <c:v>34029</c:v>
                </c:pt>
                <c:pt idx="359">
                  <c:v>34001</c:v>
                </c:pt>
                <c:pt idx="360">
                  <c:v>33970</c:v>
                </c:pt>
                <c:pt idx="361">
                  <c:v>33939</c:v>
                </c:pt>
              </c:numCache>
            </c:numRef>
          </c:cat>
          <c:val>
            <c:numRef>
              <c:f>工作表1!$C$2:$C$363</c:f>
              <c:numCache>
                <c:formatCode>General</c:formatCode>
                <c:ptCount val="362"/>
                <c:pt idx="0">
                  <c:v>19450.669922000001</c:v>
                </c:pt>
                <c:pt idx="1">
                  <c:v>19450.669922000001</c:v>
                </c:pt>
                <c:pt idx="2">
                  <c:v>18597.230468999998</c:v>
                </c:pt>
                <c:pt idx="3">
                  <c:v>14687.019531</c:v>
                </c:pt>
                <c:pt idx="4">
                  <c:v>17222.830077999999</c:v>
                </c:pt>
                <c:pt idx="5">
                  <c:v>19954.390625</c:v>
                </c:pt>
                <c:pt idx="6">
                  <c:v>20156.509765999999</c:v>
                </c:pt>
                <c:pt idx="7">
                  <c:v>21859.789063</c:v>
                </c:pt>
                <c:pt idx="8">
                  <c:v>21415.199218999998</c:v>
                </c:pt>
                <c:pt idx="9">
                  <c:v>21089.390625</c:v>
                </c:pt>
                <c:pt idx="10">
                  <c:v>21996.849609000001</c:v>
                </c:pt>
                <c:pt idx="11">
                  <c:v>22713.019531000002</c:v>
                </c:pt>
                <c:pt idx="12">
                  <c:v>23802.259765999999</c:v>
                </c:pt>
                <c:pt idx="13">
                  <c:v>23397.669922000001</c:v>
                </c:pt>
                <c:pt idx="14">
                  <c:v>23475.259765999999</c:v>
                </c:pt>
                <c:pt idx="15">
                  <c:v>25377.240234000001</c:v>
                </c:pt>
                <c:pt idx="16">
                  <c:v>24575.640625</c:v>
                </c:pt>
                <c:pt idx="17">
                  <c:v>25878.990234000001</c:v>
                </c:pt>
                <c:pt idx="18">
                  <c:v>25961.029297000001</c:v>
                </c:pt>
                <c:pt idx="19">
                  <c:v>28827.949218999998</c:v>
                </c:pt>
                <c:pt idx="20">
                  <c:v>29151.800781000002</c:v>
                </c:pt>
                <c:pt idx="21">
                  <c:v>28724.880859000001</c:v>
                </c:pt>
                <c:pt idx="22">
                  <c:v>28378.349609000001</c:v>
                </c:pt>
                <c:pt idx="23">
                  <c:v>28980.210938</c:v>
                </c:pt>
                <c:pt idx="24">
                  <c:v>28283.710938</c:v>
                </c:pt>
                <c:pt idx="25">
                  <c:v>27231.130859000001</c:v>
                </c:pt>
                <c:pt idx="26">
                  <c:v>26341.490234000001</c:v>
                </c:pt>
                <c:pt idx="27">
                  <c:v>24107.419922000001</c:v>
                </c:pt>
                <c:pt idx="28">
                  <c:v>23459.050781000002</c:v>
                </c:pt>
                <c:pt idx="29">
                  <c:v>25177.050781000002</c:v>
                </c:pt>
                <c:pt idx="30">
                  <c:v>24595.349609000001</c:v>
                </c:pt>
                <c:pt idx="31">
                  <c:v>24427.189452999999</c:v>
                </c:pt>
                <c:pt idx="32">
                  <c:v>22961.470702999999</c:v>
                </c:pt>
                <c:pt idx="33">
                  <c:v>24643.589843999998</c:v>
                </c:pt>
                <c:pt idx="34">
                  <c:v>23603.480468999998</c:v>
                </c:pt>
                <c:pt idx="35">
                  <c:v>26129.929688</c:v>
                </c:pt>
                <c:pt idx="36">
                  <c:v>26312.630859000001</c:v>
                </c:pt>
                <c:pt idx="37">
                  <c:v>28189.75</c:v>
                </c:pt>
                <c:pt idx="38">
                  <c:v>26346.490234000001</c:v>
                </c:pt>
                <c:pt idx="39">
                  <c:v>26906.720702999999</c:v>
                </c:pt>
                <c:pt idx="40">
                  <c:v>26092.269531000002</c:v>
                </c:pt>
                <c:pt idx="41">
                  <c:v>25724.730468999998</c:v>
                </c:pt>
                <c:pt idx="42">
                  <c:v>27777.75</c:v>
                </c:pt>
                <c:pt idx="43">
                  <c:v>28542.619140999999</c:v>
                </c:pt>
                <c:pt idx="44">
                  <c:v>26901.089843999998</c:v>
                </c:pt>
                <c:pt idx="45">
                  <c:v>29699.109375</c:v>
                </c:pt>
                <c:pt idx="46">
                  <c:v>29051.359375</c:v>
                </c:pt>
                <c:pt idx="47">
                  <c:v>28633.179688</c:v>
                </c:pt>
                <c:pt idx="48">
                  <c:v>27942.470702999999</c:v>
                </c:pt>
                <c:pt idx="49">
                  <c:v>25845.699218999998</c:v>
                </c:pt>
                <c:pt idx="50">
                  <c:v>26506.75</c:v>
                </c:pt>
                <c:pt idx="51">
                  <c:v>24979.689452999999</c:v>
                </c:pt>
                <c:pt idx="52">
                  <c:v>27788.519531000002</c:v>
                </c:pt>
                <c:pt idx="53">
                  <c:v>27888.550781000002</c:v>
                </c:pt>
                <c:pt idx="54">
                  <c:v>28583.009765999999</c:v>
                </c:pt>
                <c:pt idx="55">
                  <c:v>28955.109375</c:v>
                </c:pt>
                <c:pt idx="56">
                  <c:v>30468.560547000001</c:v>
                </c:pt>
                <c:pt idx="57">
                  <c:v>30808.449218999998</c:v>
                </c:pt>
                <c:pt idx="58">
                  <c:v>30093.380859000001</c:v>
                </c:pt>
                <c:pt idx="59">
                  <c:v>30844.720702999999</c:v>
                </c:pt>
                <c:pt idx="60">
                  <c:v>32887.269530999998</c:v>
                </c:pt>
                <c:pt idx="61">
                  <c:v>29919.150390999999</c:v>
                </c:pt>
                <c:pt idx="62">
                  <c:v>29177.349609000001</c:v>
                </c:pt>
                <c:pt idx="63">
                  <c:v>28245.539063</c:v>
                </c:pt>
                <c:pt idx="64">
                  <c:v>27554.300781000002</c:v>
                </c:pt>
                <c:pt idx="65">
                  <c:v>27970.300781000002</c:v>
                </c:pt>
                <c:pt idx="66">
                  <c:v>27323.990234000001</c:v>
                </c:pt>
                <c:pt idx="67">
                  <c:v>25764.580077999999</c:v>
                </c:pt>
                <c:pt idx="68">
                  <c:v>25660.650390999999</c:v>
                </c:pt>
                <c:pt idx="69">
                  <c:v>24615.130859000001</c:v>
                </c:pt>
                <c:pt idx="70">
                  <c:v>24111.589843999998</c:v>
                </c:pt>
                <c:pt idx="71">
                  <c:v>23740.730468999998</c:v>
                </c:pt>
                <c:pt idx="72">
                  <c:v>23360.779297000001</c:v>
                </c:pt>
                <c:pt idx="73">
                  <c:v>22000.560547000001</c:v>
                </c:pt>
                <c:pt idx="74">
                  <c:v>22789.769531000002</c:v>
                </c:pt>
                <c:pt idx="75">
                  <c:v>22934.539063</c:v>
                </c:pt>
                <c:pt idx="76">
                  <c:v>23297.150390999999</c:v>
                </c:pt>
                <c:pt idx="77">
                  <c:v>22976.880859000001</c:v>
                </c:pt>
                <c:pt idx="78">
                  <c:v>21891.369140999999</c:v>
                </c:pt>
                <c:pt idx="79">
                  <c:v>20794.369140999999</c:v>
                </c:pt>
                <c:pt idx="80">
                  <c:v>20815.089843999998</c:v>
                </c:pt>
                <c:pt idx="81">
                  <c:v>21067.050781000002</c:v>
                </c:pt>
                <c:pt idx="82">
                  <c:v>20776.699218999998</c:v>
                </c:pt>
                <c:pt idx="83">
                  <c:v>19111.929688</c:v>
                </c:pt>
                <c:pt idx="84">
                  <c:v>19683.109375</c:v>
                </c:pt>
                <c:pt idx="85">
                  <c:v>21914.400390999999</c:v>
                </c:pt>
                <c:pt idx="86">
                  <c:v>21996.419922000001</c:v>
                </c:pt>
                <c:pt idx="87">
                  <c:v>22640.039063</c:v>
                </c:pt>
                <c:pt idx="88">
                  <c:v>20846.300781000002</c:v>
                </c:pt>
                <c:pt idx="89">
                  <c:v>21670.580077999999</c:v>
                </c:pt>
                <c:pt idx="90">
                  <c:v>24636.279297000001</c:v>
                </c:pt>
                <c:pt idx="91">
                  <c:v>26250.029297000001</c:v>
                </c:pt>
                <c:pt idx="92">
                  <c:v>27424.189452999999</c:v>
                </c:pt>
                <c:pt idx="93">
                  <c:v>28133</c:v>
                </c:pt>
                <c:pt idx="94">
                  <c:v>24900.890625</c:v>
                </c:pt>
                <c:pt idx="95">
                  <c:v>24823.289063</c:v>
                </c:pt>
                <c:pt idx="96">
                  <c:v>24507.050781000002</c:v>
                </c:pt>
                <c:pt idx="97">
                  <c:v>23605.039063</c:v>
                </c:pt>
                <c:pt idx="98">
                  <c:v>23987.449218999998</c:v>
                </c:pt>
                <c:pt idx="99">
                  <c:v>23998.060547000001</c:v>
                </c:pt>
                <c:pt idx="100">
                  <c:v>22932.980468999998</c:v>
                </c:pt>
                <c:pt idx="101">
                  <c:v>24742.060547000001</c:v>
                </c:pt>
                <c:pt idx="102">
                  <c:v>24756.849609000001</c:v>
                </c:pt>
                <c:pt idx="103">
                  <c:v>23190.720702999999</c:v>
                </c:pt>
                <c:pt idx="104">
                  <c:v>23081.650390999999</c:v>
                </c:pt>
                <c:pt idx="105">
                  <c:v>22133.970702999999</c:v>
                </c:pt>
                <c:pt idx="106">
                  <c:v>22151.060547000001</c:v>
                </c:pt>
                <c:pt idx="107">
                  <c:v>22836.960938</c:v>
                </c:pt>
                <c:pt idx="108">
                  <c:v>22035.419922000001</c:v>
                </c:pt>
                <c:pt idx="109">
                  <c:v>23306.390625</c:v>
                </c:pt>
                <c:pt idx="110">
                  <c:v>23881.289063</c:v>
                </c:pt>
                <c:pt idx="111">
                  <c:v>23206.369140999999</c:v>
                </c:pt>
                <c:pt idx="112">
                  <c:v>22859.859375</c:v>
                </c:pt>
                <c:pt idx="113">
                  <c:v>21731.369140999999</c:v>
                </c:pt>
                <c:pt idx="114">
                  <c:v>21883.660156000002</c:v>
                </c:pt>
                <c:pt idx="115">
                  <c:v>20803.289063</c:v>
                </c:pt>
                <c:pt idx="116">
                  <c:v>22392.160156000002</c:v>
                </c:pt>
                <c:pt idx="117">
                  <c:v>22737.009765999999</c:v>
                </c:pt>
                <c:pt idx="118">
                  <c:v>22299.630859000001</c:v>
                </c:pt>
                <c:pt idx="119">
                  <c:v>23020.269531000002</c:v>
                </c:pt>
                <c:pt idx="120">
                  <c:v>23729.529297000001</c:v>
                </c:pt>
                <c:pt idx="121">
                  <c:v>22656.919922000001</c:v>
                </c:pt>
                <c:pt idx="122">
                  <c:v>22030.390625</c:v>
                </c:pt>
                <c:pt idx="123">
                  <c:v>21641.820313</c:v>
                </c:pt>
                <c:pt idx="124">
                  <c:v>20840.380859000001</c:v>
                </c:pt>
                <c:pt idx="125">
                  <c:v>19482.570313</c:v>
                </c:pt>
                <c:pt idx="126">
                  <c:v>19796.810547000001</c:v>
                </c:pt>
                <c:pt idx="127">
                  <c:v>19441.460938</c:v>
                </c:pt>
                <c:pt idx="128">
                  <c:v>18629.519531000002</c:v>
                </c:pt>
                <c:pt idx="129">
                  <c:v>21094.210938</c:v>
                </c:pt>
                <c:pt idx="130">
                  <c:v>20555.580077999999</c:v>
                </c:pt>
                <c:pt idx="131">
                  <c:v>21680.080077999999</c:v>
                </c:pt>
                <c:pt idx="132">
                  <c:v>20390.490234000001</c:v>
                </c:pt>
                <c:pt idx="133">
                  <c:v>18434.390625</c:v>
                </c:pt>
                <c:pt idx="134">
                  <c:v>17989.349609000001</c:v>
                </c:pt>
                <c:pt idx="135">
                  <c:v>19864.869140999999</c:v>
                </c:pt>
                <c:pt idx="136">
                  <c:v>17592.410156000002</c:v>
                </c:pt>
                <c:pt idx="137">
                  <c:v>20534.849609000001</c:v>
                </c:pt>
                <c:pt idx="138">
                  <c:v>22440.25</c:v>
                </c:pt>
                <c:pt idx="139">
                  <c:v>22398.099609000001</c:v>
                </c:pt>
                <c:pt idx="140">
                  <c:v>23684.130859000001</c:v>
                </c:pt>
                <c:pt idx="141">
                  <c:v>23720.810547000001</c:v>
                </c:pt>
                <c:pt idx="142">
                  <c:v>23527.519531000002</c:v>
                </c:pt>
                <c:pt idx="143">
                  <c:v>23338.019531000002</c:v>
                </c:pt>
                <c:pt idx="144">
                  <c:v>23447.339843999998</c:v>
                </c:pt>
                <c:pt idx="145">
                  <c:v>23035.449218999998</c:v>
                </c:pt>
                <c:pt idx="146">
                  <c:v>23007.990234000001</c:v>
                </c:pt>
                <c:pt idx="147">
                  <c:v>23096.320313</c:v>
                </c:pt>
                <c:pt idx="148">
                  <c:v>22358.169922000001</c:v>
                </c:pt>
                <c:pt idx="149">
                  <c:v>20536.490234000001</c:v>
                </c:pt>
                <c:pt idx="150">
                  <c:v>21029.810547000001</c:v>
                </c:pt>
                <c:pt idx="151">
                  <c:v>20128.990234000001</c:v>
                </c:pt>
                <c:pt idx="152">
                  <c:v>19765.189452999999</c:v>
                </c:pt>
                <c:pt idx="153">
                  <c:v>21108.589843999998</c:v>
                </c:pt>
                <c:pt idx="154">
                  <c:v>21239.349609000001</c:v>
                </c:pt>
                <c:pt idx="155">
                  <c:v>20608.699218999998</c:v>
                </c:pt>
                <c:pt idx="156">
                  <c:v>20121.990234000001</c:v>
                </c:pt>
                <c:pt idx="157">
                  <c:v>21872.5</c:v>
                </c:pt>
                <c:pt idx="158">
                  <c:v>21821.5</c:v>
                </c:pt>
                <c:pt idx="159">
                  <c:v>21752.869140999999</c:v>
                </c:pt>
                <c:pt idx="160">
                  <c:v>20955.25</c:v>
                </c:pt>
                <c:pt idx="161">
                  <c:v>19724.189452999999</c:v>
                </c:pt>
                <c:pt idx="162">
                  <c:v>20573.330077999999</c:v>
                </c:pt>
                <c:pt idx="163">
                  <c:v>18378.730468999998</c:v>
                </c:pt>
                <c:pt idx="164">
                  <c:v>18171</c:v>
                </c:pt>
                <c:pt idx="165">
                  <c:v>15520.990234000001</c:v>
                </c:pt>
                <c:pt idx="166">
                  <c:v>13576.019531</c:v>
                </c:pt>
                <c:pt idx="167">
                  <c:v>12811.570313</c:v>
                </c:pt>
                <c:pt idx="168">
                  <c:v>13278.209961</c:v>
                </c:pt>
                <c:pt idx="169">
                  <c:v>14387.480469</c:v>
                </c:pt>
                <c:pt idx="170">
                  <c:v>13888.240234000001</c:v>
                </c:pt>
                <c:pt idx="171">
                  <c:v>13968.669921999999</c:v>
                </c:pt>
                <c:pt idx="172">
                  <c:v>18016.210938</c:v>
                </c:pt>
                <c:pt idx="173">
                  <c:v>21261.890625</c:v>
                </c:pt>
                <c:pt idx="174">
                  <c:v>22731.099609000001</c:v>
                </c:pt>
                <c:pt idx="175">
                  <c:v>22102.009765999999</c:v>
                </c:pt>
                <c:pt idx="176">
                  <c:v>24533.119140999999</c:v>
                </c:pt>
                <c:pt idx="177">
                  <c:v>25755.349609000001</c:v>
                </c:pt>
                <c:pt idx="178">
                  <c:v>22849.199218999998</c:v>
                </c:pt>
                <c:pt idx="179">
                  <c:v>24331.669922000001</c:v>
                </c:pt>
                <c:pt idx="180">
                  <c:v>23455.740234000001</c:v>
                </c:pt>
                <c:pt idx="181">
                  <c:v>27812.650390999999</c:v>
                </c:pt>
                <c:pt idx="182">
                  <c:v>28643.609375</c:v>
                </c:pt>
                <c:pt idx="183">
                  <c:v>31352.580077999999</c:v>
                </c:pt>
                <c:pt idx="184">
                  <c:v>27142.470702999999</c:v>
                </c:pt>
                <c:pt idx="185">
                  <c:v>23984.140625</c:v>
                </c:pt>
                <c:pt idx="186">
                  <c:v>23184.939452999999</c:v>
                </c:pt>
                <c:pt idx="187">
                  <c:v>21772.730468999998</c:v>
                </c:pt>
                <c:pt idx="188">
                  <c:v>20634.470702999999</c:v>
                </c:pt>
                <c:pt idx="189">
                  <c:v>20318.980468999998</c:v>
                </c:pt>
                <c:pt idx="190">
                  <c:v>19800.929688</c:v>
                </c:pt>
                <c:pt idx="191">
                  <c:v>19651.509765999999</c:v>
                </c:pt>
                <c:pt idx="192">
                  <c:v>20106.419922000001</c:v>
                </c:pt>
                <c:pt idx="193">
                  <c:v>19964.720702999999</c:v>
                </c:pt>
                <c:pt idx="194">
                  <c:v>18960.480468999998</c:v>
                </c:pt>
                <c:pt idx="195">
                  <c:v>18324.349609000001</c:v>
                </c:pt>
                <c:pt idx="196">
                  <c:v>17543.050781000002</c:v>
                </c:pt>
                <c:pt idx="197">
                  <c:v>17392.269531000002</c:v>
                </c:pt>
                <c:pt idx="198">
                  <c:v>16971.339843999998</c:v>
                </c:pt>
                <c:pt idx="199">
                  <c:v>16267.620117</c:v>
                </c:pt>
                <c:pt idx="200">
                  <c:v>15857.889648</c:v>
                </c:pt>
                <c:pt idx="201">
                  <c:v>16661.300781000002</c:v>
                </c:pt>
                <c:pt idx="202">
                  <c:v>15805.040039</c:v>
                </c:pt>
                <c:pt idx="203">
                  <c:v>15918.480469</c:v>
                </c:pt>
                <c:pt idx="204">
                  <c:v>15753.139648</c:v>
                </c:pt>
                <c:pt idx="205">
                  <c:v>14876.429688</c:v>
                </c:pt>
                <c:pt idx="206">
                  <c:v>14937.139648</c:v>
                </c:pt>
                <c:pt idx="207">
                  <c:v>14386.370117</c:v>
                </c:pt>
                <c:pt idx="208">
                  <c:v>15428.519531</c:v>
                </c:pt>
                <c:pt idx="209">
                  <c:v>14903.549805000001</c:v>
                </c:pt>
                <c:pt idx="210">
                  <c:v>14880.980469</c:v>
                </c:pt>
                <c:pt idx="211">
                  <c:v>14201.059569999999</c:v>
                </c:pt>
                <c:pt idx="212">
                  <c:v>13867.070313</c:v>
                </c:pt>
                <c:pt idx="213">
                  <c:v>13908.969727</c:v>
                </c:pt>
                <c:pt idx="214">
                  <c:v>13516.879883</c:v>
                </c:pt>
                <c:pt idx="215">
                  <c:v>14195.349609000001</c:v>
                </c:pt>
                <c:pt idx="216">
                  <c:v>13721.690430000001</c:v>
                </c:pt>
                <c:pt idx="217">
                  <c:v>14230.139648</c:v>
                </c:pt>
                <c:pt idx="218">
                  <c:v>14060.049805000001</c:v>
                </c:pt>
                <c:pt idx="219">
                  <c:v>13054.660156</c:v>
                </c:pt>
                <c:pt idx="220">
                  <c:v>13120.030273</c:v>
                </c:pt>
                <c:pt idx="221">
                  <c:v>12850.280273</c:v>
                </c:pt>
                <c:pt idx="222">
                  <c:v>12238.030273</c:v>
                </c:pt>
                <c:pt idx="223">
                  <c:v>12285.75</c:v>
                </c:pt>
                <c:pt idx="224">
                  <c:v>12198.240234000001</c:v>
                </c:pt>
                <c:pt idx="225">
                  <c:v>11942.959961</c:v>
                </c:pt>
                <c:pt idx="226">
                  <c:v>12681.669921999999</c:v>
                </c:pt>
                <c:pt idx="227">
                  <c:v>13907.030273</c:v>
                </c:pt>
                <c:pt idx="228">
                  <c:v>13289.370117</c:v>
                </c:pt>
                <c:pt idx="229">
                  <c:v>12575.940430000001</c:v>
                </c:pt>
                <c:pt idx="230">
                  <c:v>12317.469727</c:v>
                </c:pt>
                <c:pt idx="231">
                  <c:v>12190.099609000001</c:v>
                </c:pt>
                <c:pt idx="232">
                  <c:v>11229.870117</c:v>
                </c:pt>
                <c:pt idx="233">
                  <c:v>10908.990234000001</c:v>
                </c:pt>
                <c:pt idx="234">
                  <c:v>10134.830078000001</c:v>
                </c:pt>
                <c:pt idx="235">
                  <c:v>9577.1201170000004</c:v>
                </c:pt>
                <c:pt idx="236">
                  <c:v>9487.3798829999996</c:v>
                </c:pt>
                <c:pt idx="237">
                  <c:v>8717.2197269999997</c:v>
                </c:pt>
                <c:pt idx="238">
                  <c:v>8634.4501949999994</c:v>
                </c:pt>
                <c:pt idx="239">
                  <c:v>9122.6601559999999</c:v>
                </c:pt>
                <c:pt idx="240">
                  <c:v>9258.9501949999994</c:v>
                </c:pt>
                <c:pt idx="241">
                  <c:v>9321.2900389999995</c:v>
                </c:pt>
                <c:pt idx="242">
                  <c:v>10069.870117</c:v>
                </c:pt>
                <c:pt idx="243">
                  <c:v>9441.25</c:v>
                </c:pt>
                <c:pt idx="244">
                  <c:v>9072.2099610000005</c:v>
                </c:pt>
                <c:pt idx="245">
                  <c:v>10043.870117</c:v>
                </c:pt>
                <c:pt idx="246">
                  <c:v>10267.360352</c:v>
                </c:pt>
                <c:pt idx="247">
                  <c:v>10598.549805000001</c:v>
                </c:pt>
                <c:pt idx="248">
                  <c:v>11301.940430000001</c:v>
                </c:pt>
                <c:pt idx="249">
                  <c:v>11497.580078000001</c:v>
                </c:pt>
                <c:pt idx="250">
                  <c:v>11032.919921999999</c:v>
                </c:pt>
                <c:pt idx="251">
                  <c:v>10482.549805000001</c:v>
                </c:pt>
                <c:pt idx="252">
                  <c:v>10725.299805000001</c:v>
                </c:pt>
                <c:pt idx="253">
                  <c:v>11397.209961</c:v>
                </c:pt>
                <c:pt idx="254">
                  <c:v>11279.25</c:v>
                </c:pt>
                <c:pt idx="255">
                  <c:v>10073.969727</c:v>
                </c:pt>
                <c:pt idx="256">
                  <c:v>9950.7001949999994</c:v>
                </c:pt>
                <c:pt idx="257">
                  <c:v>11090.480469</c:v>
                </c:pt>
                <c:pt idx="258">
                  <c:v>12316.690430000001</c:v>
                </c:pt>
                <c:pt idx="259">
                  <c:v>13042.530273</c:v>
                </c:pt>
                <c:pt idx="260">
                  <c:v>13174.410156</c:v>
                </c:pt>
                <c:pt idx="261">
                  <c:v>13386.040039</c:v>
                </c:pt>
                <c:pt idx="262">
                  <c:v>12760.639648</c:v>
                </c:pt>
                <c:pt idx="263">
                  <c:v>14787.870117</c:v>
                </c:pt>
                <c:pt idx="264">
                  <c:v>16102.349609000001</c:v>
                </c:pt>
                <c:pt idx="265">
                  <c:v>15095.530273</c:v>
                </c:pt>
                <c:pt idx="266">
                  <c:v>13984.389648</c:v>
                </c:pt>
                <c:pt idx="267">
                  <c:v>14895.339844</c:v>
                </c:pt>
                <c:pt idx="268">
                  <c:v>15648.980469</c:v>
                </c:pt>
                <c:pt idx="269">
                  <c:v>17097.509765999999</c:v>
                </c:pt>
                <c:pt idx="270">
                  <c:v>16840.980468999998</c:v>
                </c:pt>
                <c:pt idx="271">
                  <c:v>16155.780273</c:v>
                </c:pt>
                <c:pt idx="272">
                  <c:v>14713.860352</c:v>
                </c:pt>
                <c:pt idx="273">
                  <c:v>15519.299805000001</c:v>
                </c:pt>
                <c:pt idx="274">
                  <c:v>17406.539063</c:v>
                </c:pt>
                <c:pt idx="275">
                  <c:v>17169.439452999999</c:v>
                </c:pt>
                <c:pt idx="276">
                  <c:v>15532.339844</c:v>
                </c:pt>
                <c:pt idx="277">
                  <c:v>16962.099609000001</c:v>
                </c:pt>
                <c:pt idx="278">
                  <c:v>15377.190430000001</c:v>
                </c:pt>
                <c:pt idx="279">
                  <c:v>13256.950194999999</c:v>
                </c:pt>
                <c:pt idx="280">
                  <c:v>12733.240234000001</c:v>
                </c:pt>
                <c:pt idx="281">
                  <c:v>13482.769531</c:v>
                </c:pt>
                <c:pt idx="282">
                  <c:v>13186.860352</c:v>
                </c:pt>
                <c:pt idx="283">
                  <c:v>13532.139648</c:v>
                </c:pt>
                <c:pt idx="284">
                  <c:v>12147.120117</c:v>
                </c:pt>
                <c:pt idx="285">
                  <c:v>13333.200194999999</c:v>
                </c:pt>
                <c:pt idx="286">
                  <c:v>10942.200194999999</c:v>
                </c:pt>
                <c:pt idx="287">
                  <c:v>9858.4902340000008</c:v>
                </c:pt>
                <c:pt idx="288">
                  <c:v>9506.9003909999992</c:v>
                </c:pt>
                <c:pt idx="289">
                  <c:v>10048.580078000001</c:v>
                </c:pt>
                <c:pt idx="290">
                  <c:v>10402.320313</c:v>
                </c:pt>
                <c:pt idx="291">
                  <c:v>10154.940430000001</c:v>
                </c:pt>
                <c:pt idx="292">
                  <c:v>7883.4599609999996</c:v>
                </c:pt>
                <c:pt idx="293">
                  <c:v>7275.0400390000004</c:v>
                </c:pt>
                <c:pt idx="294">
                  <c:v>7936.2001950000003</c:v>
                </c:pt>
                <c:pt idx="295">
                  <c:v>8543.0996090000008</c:v>
                </c:pt>
                <c:pt idx="296">
                  <c:v>8934.5595699999994</c:v>
                </c:pt>
                <c:pt idx="297">
                  <c:v>10383.679688</c:v>
                </c:pt>
                <c:pt idx="298">
                  <c:v>11518.700194999999</c:v>
                </c:pt>
                <c:pt idx="299">
                  <c:v>11480.700194999999</c:v>
                </c:pt>
                <c:pt idx="300">
                  <c:v>9252.4003909999992</c:v>
                </c:pt>
                <c:pt idx="301">
                  <c:v>10722.799805000001</c:v>
                </c:pt>
                <c:pt idx="302">
                  <c:v>10526.900390999999</c:v>
                </c:pt>
                <c:pt idx="303">
                  <c:v>10623.799805000001</c:v>
                </c:pt>
                <c:pt idx="304">
                  <c:v>15049.299805000001</c:v>
                </c:pt>
                <c:pt idx="305">
                  <c:v>14135.200194999999</c:v>
                </c:pt>
                <c:pt idx="306">
                  <c:v>16365.700194999999</c:v>
                </c:pt>
                <c:pt idx="307">
                  <c:v>15196.799805000001</c:v>
                </c:pt>
                <c:pt idx="308">
                  <c:v>14757.799805000001</c:v>
                </c:pt>
                <c:pt idx="309">
                  <c:v>12903.299805000001</c:v>
                </c:pt>
                <c:pt idx="310">
                  <c:v>12534.299805000001</c:v>
                </c:pt>
                <c:pt idx="311">
                  <c:v>13398.700194999999</c:v>
                </c:pt>
                <c:pt idx="312">
                  <c:v>13321.799805000001</c:v>
                </c:pt>
                <c:pt idx="313">
                  <c:v>13451.5</c:v>
                </c:pt>
                <c:pt idx="314">
                  <c:v>13393.900390999999</c:v>
                </c:pt>
                <c:pt idx="315">
                  <c:v>12477.599609000001</c:v>
                </c:pt>
                <c:pt idx="316">
                  <c:v>11902.400390999999</c:v>
                </c:pt>
                <c:pt idx="317">
                  <c:v>11159</c:v>
                </c:pt>
                <c:pt idx="318">
                  <c:v>10681.400390999999</c:v>
                </c:pt>
                <c:pt idx="319">
                  <c:v>11020.900390999999</c:v>
                </c:pt>
                <c:pt idx="320">
                  <c:v>11264.700194999999</c:v>
                </c:pt>
                <c:pt idx="321">
                  <c:v>10964.5</c:v>
                </c:pt>
                <c:pt idx="322">
                  <c:v>10957.200194999999</c:v>
                </c:pt>
                <c:pt idx="323">
                  <c:v>11125.700194999999</c:v>
                </c:pt>
                <c:pt idx="324">
                  <c:v>11359.700194999999</c:v>
                </c:pt>
                <c:pt idx="325">
                  <c:v>10073.400390999999</c:v>
                </c:pt>
                <c:pt idx="326">
                  <c:v>9813.2998050000006</c:v>
                </c:pt>
                <c:pt idx="327">
                  <c:v>9782.4003909999992</c:v>
                </c:pt>
                <c:pt idx="328">
                  <c:v>9646.2998050000006</c:v>
                </c:pt>
                <c:pt idx="329">
                  <c:v>9179.9003909999992</c:v>
                </c:pt>
                <c:pt idx="330">
                  <c:v>9453.4003909999992</c:v>
                </c:pt>
                <c:pt idx="331">
                  <c:v>9206.5</c:v>
                </c:pt>
                <c:pt idx="332">
                  <c:v>9407.4003909999992</c:v>
                </c:pt>
                <c:pt idx="333">
                  <c:v>8361</c:v>
                </c:pt>
                <c:pt idx="334">
                  <c:v>8587.7001949999994</c:v>
                </c:pt>
                <c:pt idx="335">
                  <c:v>8327.5</c:v>
                </c:pt>
                <c:pt idx="336">
                  <c:v>7342.7001950000003</c:v>
                </c:pt>
                <c:pt idx="337">
                  <c:v>8191</c:v>
                </c:pt>
                <c:pt idx="338">
                  <c:v>8466.2998050000006</c:v>
                </c:pt>
                <c:pt idx="339">
                  <c:v>9646.2998050000006</c:v>
                </c:pt>
                <c:pt idx="340">
                  <c:v>9521.2001949999994</c:v>
                </c:pt>
                <c:pt idx="341">
                  <c:v>9929.4003909999992</c:v>
                </c:pt>
                <c:pt idx="342">
                  <c:v>9482.7998050000006</c:v>
                </c:pt>
                <c:pt idx="343">
                  <c:v>8758.4003909999992</c:v>
                </c:pt>
                <c:pt idx="344">
                  <c:v>9553.5996090000008</c:v>
                </c:pt>
                <c:pt idx="345">
                  <c:v>8966.0996090000008</c:v>
                </c:pt>
                <c:pt idx="346">
                  <c:v>9029.9003909999992</c:v>
                </c:pt>
                <c:pt idx="347">
                  <c:v>10410.200194999999</c:v>
                </c:pt>
                <c:pt idx="348">
                  <c:v>11487</c:v>
                </c:pt>
                <c:pt idx="349">
                  <c:v>11888.400390999999</c:v>
                </c:pt>
                <c:pt idx="350">
                  <c:v>9125.2001949999994</c:v>
                </c:pt>
                <c:pt idx="351">
                  <c:v>9329.0996090000008</c:v>
                </c:pt>
                <c:pt idx="352">
                  <c:v>7676.2001950000003</c:v>
                </c:pt>
                <c:pt idx="353">
                  <c:v>7549.7001950000003</c:v>
                </c:pt>
                <c:pt idx="354">
                  <c:v>6989</c:v>
                </c:pt>
                <c:pt idx="355">
                  <c:v>7099.2998049999997</c:v>
                </c:pt>
                <c:pt idx="356">
                  <c:v>7372.2001950000003</c:v>
                </c:pt>
                <c:pt idx="357">
                  <c:v>6830.5</c:v>
                </c:pt>
                <c:pt idx="358">
                  <c:v>6388.8999020000001</c:v>
                </c:pt>
                <c:pt idx="359">
                  <c:v>6352</c:v>
                </c:pt>
                <c:pt idx="360">
                  <c:v>5751.3999020000001</c:v>
                </c:pt>
                <c:pt idx="361">
                  <c:v>5512.3999020000001</c:v>
                </c:pt>
              </c:numCache>
            </c:numRef>
          </c:val>
          <c:smooth val="0"/>
          <c:extLst>
            <c:ext xmlns:c16="http://schemas.microsoft.com/office/drawing/2014/chart" uri="{C3380CC4-5D6E-409C-BE32-E72D297353CC}">
              <c16:uniqueId val="{00000000-C164-0744-B432-03E0C68022C9}"/>
            </c:ext>
          </c:extLst>
        </c:ser>
        <c:dLbls>
          <c:showLegendKey val="0"/>
          <c:showVal val="0"/>
          <c:showCatName val="0"/>
          <c:showSerName val="0"/>
          <c:showPercent val="0"/>
          <c:showBubbleSize val="0"/>
        </c:dLbls>
        <c:marker val="1"/>
        <c:smooth val="0"/>
        <c:axId val="337030720"/>
        <c:axId val="337032368"/>
      </c:lineChart>
      <c:lineChart>
        <c:grouping val="standard"/>
        <c:varyColors val="0"/>
        <c:ser>
          <c:idx val="0"/>
          <c:order val="0"/>
          <c:tx>
            <c:strRef>
              <c:f>工作表1!$B$1</c:f>
              <c:strCache>
                <c:ptCount val="1"/>
                <c:pt idx="0">
                  <c:v>ASX200</c:v>
                </c:pt>
              </c:strCache>
            </c:strRef>
          </c:tx>
          <c:spPr>
            <a:ln w="28575" cap="rnd">
              <a:solidFill>
                <a:schemeClr val="tx1"/>
              </a:solidFill>
              <a:prstDash val="sysDash"/>
              <a:round/>
            </a:ln>
            <a:effectLst/>
          </c:spPr>
          <c:marker>
            <c:symbol val="none"/>
          </c:marker>
          <c:cat>
            <c:numRef>
              <c:f>工作表1!$A$2:$A$363</c:f>
              <c:numCache>
                <c:formatCode>[$-809]dd\ mmmm\ yyyy;@</c:formatCode>
                <c:ptCount val="362"/>
                <c:pt idx="0">
                  <c:v>44911</c:v>
                </c:pt>
                <c:pt idx="1">
                  <c:v>44896</c:v>
                </c:pt>
                <c:pt idx="2">
                  <c:v>44866</c:v>
                </c:pt>
                <c:pt idx="3">
                  <c:v>44835</c:v>
                </c:pt>
                <c:pt idx="4">
                  <c:v>44805</c:v>
                </c:pt>
                <c:pt idx="5">
                  <c:v>44774</c:v>
                </c:pt>
                <c:pt idx="6">
                  <c:v>44743</c:v>
                </c:pt>
                <c:pt idx="7">
                  <c:v>44713</c:v>
                </c:pt>
                <c:pt idx="8">
                  <c:v>44682</c:v>
                </c:pt>
                <c:pt idx="9">
                  <c:v>44652</c:v>
                </c:pt>
                <c:pt idx="10">
                  <c:v>44621</c:v>
                </c:pt>
                <c:pt idx="11">
                  <c:v>44593</c:v>
                </c:pt>
                <c:pt idx="12">
                  <c:v>44562</c:v>
                </c:pt>
                <c:pt idx="13">
                  <c:v>44531</c:v>
                </c:pt>
                <c:pt idx="14">
                  <c:v>44501</c:v>
                </c:pt>
                <c:pt idx="15">
                  <c:v>44470</c:v>
                </c:pt>
                <c:pt idx="16">
                  <c:v>44440</c:v>
                </c:pt>
                <c:pt idx="17">
                  <c:v>44409</c:v>
                </c:pt>
                <c:pt idx="18">
                  <c:v>44378</c:v>
                </c:pt>
                <c:pt idx="19">
                  <c:v>44348</c:v>
                </c:pt>
                <c:pt idx="20">
                  <c:v>44317</c:v>
                </c:pt>
                <c:pt idx="21">
                  <c:v>44287</c:v>
                </c:pt>
                <c:pt idx="22">
                  <c:v>44256</c:v>
                </c:pt>
                <c:pt idx="23">
                  <c:v>44228</c:v>
                </c:pt>
                <c:pt idx="24">
                  <c:v>44197</c:v>
                </c:pt>
                <c:pt idx="25">
                  <c:v>44166</c:v>
                </c:pt>
                <c:pt idx="26">
                  <c:v>44136</c:v>
                </c:pt>
                <c:pt idx="27">
                  <c:v>44105</c:v>
                </c:pt>
                <c:pt idx="28">
                  <c:v>44075</c:v>
                </c:pt>
                <c:pt idx="29">
                  <c:v>44044</c:v>
                </c:pt>
                <c:pt idx="30">
                  <c:v>44013</c:v>
                </c:pt>
                <c:pt idx="31">
                  <c:v>43983</c:v>
                </c:pt>
                <c:pt idx="32">
                  <c:v>43952</c:v>
                </c:pt>
                <c:pt idx="33">
                  <c:v>43922</c:v>
                </c:pt>
                <c:pt idx="34">
                  <c:v>43891</c:v>
                </c:pt>
                <c:pt idx="35">
                  <c:v>43862</c:v>
                </c:pt>
                <c:pt idx="36">
                  <c:v>43831</c:v>
                </c:pt>
                <c:pt idx="37">
                  <c:v>43800</c:v>
                </c:pt>
                <c:pt idx="38">
                  <c:v>43770</c:v>
                </c:pt>
                <c:pt idx="39">
                  <c:v>43739</c:v>
                </c:pt>
                <c:pt idx="40">
                  <c:v>43709</c:v>
                </c:pt>
                <c:pt idx="41">
                  <c:v>43678</c:v>
                </c:pt>
                <c:pt idx="42">
                  <c:v>43647</c:v>
                </c:pt>
                <c:pt idx="43">
                  <c:v>43617</c:v>
                </c:pt>
                <c:pt idx="44">
                  <c:v>43586</c:v>
                </c:pt>
                <c:pt idx="45">
                  <c:v>43556</c:v>
                </c:pt>
                <c:pt idx="46">
                  <c:v>43525</c:v>
                </c:pt>
                <c:pt idx="47">
                  <c:v>43497</c:v>
                </c:pt>
                <c:pt idx="48">
                  <c:v>43466</c:v>
                </c:pt>
                <c:pt idx="49">
                  <c:v>43435</c:v>
                </c:pt>
                <c:pt idx="50">
                  <c:v>43405</c:v>
                </c:pt>
                <c:pt idx="51">
                  <c:v>43374</c:v>
                </c:pt>
                <c:pt idx="52">
                  <c:v>43344</c:v>
                </c:pt>
                <c:pt idx="53">
                  <c:v>43313</c:v>
                </c:pt>
                <c:pt idx="54">
                  <c:v>43282</c:v>
                </c:pt>
                <c:pt idx="55">
                  <c:v>43252</c:v>
                </c:pt>
                <c:pt idx="56">
                  <c:v>43221</c:v>
                </c:pt>
                <c:pt idx="57">
                  <c:v>43191</c:v>
                </c:pt>
                <c:pt idx="58">
                  <c:v>43160</c:v>
                </c:pt>
                <c:pt idx="59">
                  <c:v>43132</c:v>
                </c:pt>
                <c:pt idx="60">
                  <c:v>43101</c:v>
                </c:pt>
                <c:pt idx="61">
                  <c:v>43070</c:v>
                </c:pt>
                <c:pt idx="62">
                  <c:v>43040</c:v>
                </c:pt>
                <c:pt idx="63">
                  <c:v>43009</c:v>
                </c:pt>
                <c:pt idx="64">
                  <c:v>42979</c:v>
                </c:pt>
                <c:pt idx="65">
                  <c:v>42948</c:v>
                </c:pt>
                <c:pt idx="66">
                  <c:v>42917</c:v>
                </c:pt>
                <c:pt idx="67">
                  <c:v>42887</c:v>
                </c:pt>
                <c:pt idx="68">
                  <c:v>42856</c:v>
                </c:pt>
                <c:pt idx="69">
                  <c:v>42826</c:v>
                </c:pt>
                <c:pt idx="70">
                  <c:v>42795</c:v>
                </c:pt>
                <c:pt idx="71">
                  <c:v>42767</c:v>
                </c:pt>
                <c:pt idx="72">
                  <c:v>42736</c:v>
                </c:pt>
                <c:pt idx="73">
                  <c:v>42705</c:v>
                </c:pt>
                <c:pt idx="74">
                  <c:v>42675</c:v>
                </c:pt>
                <c:pt idx="75">
                  <c:v>42644</c:v>
                </c:pt>
                <c:pt idx="76">
                  <c:v>42614</c:v>
                </c:pt>
                <c:pt idx="77">
                  <c:v>42583</c:v>
                </c:pt>
                <c:pt idx="78">
                  <c:v>42552</c:v>
                </c:pt>
                <c:pt idx="79">
                  <c:v>42522</c:v>
                </c:pt>
                <c:pt idx="80">
                  <c:v>42491</c:v>
                </c:pt>
                <c:pt idx="81">
                  <c:v>42461</c:v>
                </c:pt>
                <c:pt idx="82">
                  <c:v>42430</c:v>
                </c:pt>
                <c:pt idx="83">
                  <c:v>42401</c:v>
                </c:pt>
                <c:pt idx="84">
                  <c:v>42370</c:v>
                </c:pt>
                <c:pt idx="85">
                  <c:v>42339</c:v>
                </c:pt>
                <c:pt idx="86">
                  <c:v>42309</c:v>
                </c:pt>
                <c:pt idx="87">
                  <c:v>42278</c:v>
                </c:pt>
                <c:pt idx="88">
                  <c:v>42248</c:v>
                </c:pt>
                <c:pt idx="89">
                  <c:v>42217</c:v>
                </c:pt>
                <c:pt idx="90">
                  <c:v>42186</c:v>
                </c:pt>
                <c:pt idx="91">
                  <c:v>42156</c:v>
                </c:pt>
                <c:pt idx="92">
                  <c:v>42125</c:v>
                </c:pt>
                <c:pt idx="93">
                  <c:v>42095</c:v>
                </c:pt>
                <c:pt idx="94">
                  <c:v>42064</c:v>
                </c:pt>
                <c:pt idx="95">
                  <c:v>42036</c:v>
                </c:pt>
                <c:pt idx="96">
                  <c:v>42005</c:v>
                </c:pt>
                <c:pt idx="97">
                  <c:v>41974</c:v>
                </c:pt>
                <c:pt idx="98">
                  <c:v>41944</c:v>
                </c:pt>
                <c:pt idx="99">
                  <c:v>41913</c:v>
                </c:pt>
                <c:pt idx="100">
                  <c:v>41883</c:v>
                </c:pt>
                <c:pt idx="101">
                  <c:v>41852</c:v>
                </c:pt>
                <c:pt idx="102">
                  <c:v>41821</c:v>
                </c:pt>
                <c:pt idx="103">
                  <c:v>41791</c:v>
                </c:pt>
                <c:pt idx="104">
                  <c:v>41760</c:v>
                </c:pt>
                <c:pt idx="105">
                  <c:v>41730</c:v>
                </c:pt>
                <c:pt idx="106">
                  <c:v>41699</c:v>
                </c:pt>
                <c:pt idx="107">
                  <c:v>41671</c:v>
                </c:pt>
                <c:pt idx="108">
                  <c:v>41640</c:v>
                </c:pt>
                <c:pt idx="109">
                  <c:v>41609</c:v>
                </c:pt>
                <c:pt idx="110">
                  <c:v>41579</c:v>
                </c:pt>
                <c:pt idx="111">
                  <c:v>41548</c:v>
                </c:pt>
                <c:pt idx="112">
                  <c:v>41518</c:v>
                </c:pt>
                <c:pt idx="113">
                  <c:v>41487</c:v>
                </c:pt>
                <c:pt idx="114">
                  <c:v>41456</c:v>
                </c:pt>
                <c:pt idx="115">
                  <c:v>41426</c:v>
                </c:pt>
                <c:pt idx="116">
                  <c:v>41395</c:v>
                </c:pt>
                <c:pt idx="117">
                  <c:v>41365</c:v>
                </c:pt>
                <c:pt idx="118">
                  <c:v>41334</c:v>
                </c:pt>
                <c:pt idx="119">
                  <c:v>41306</c:v>
                </c:pt>
                <c:pt idx="120">
                  <c:v>41275</c:v>
                </c:pt>
                <c:pt idx="121">
                  <c:v>41244</c:v>
                </c:pt>
                <c:pt idx="122">
                  <c:v>41214</c:v>
                </c:pt>
                <c:pt idx="123">
                  <c:v>41183</c:v>
                </c:pt>
                <c:pt idx="124">
                  <c:v>41153</c:v>
                </c:pt>
                <c:pt idx="125">
                  <c:v>41122</c:v>
                </c:pt>
                <c:pt idx="126">
                  <c:v>41091</c:v>
                </c:pt>
                <c:pt idx="127">
                  <c:v>41061</c:v>
                </c:pt>
                <c:pt idx="128">
                  <c:v>41030</c:v>
                </c:pt>
                <c:pt idx="129">
                  <c:v>41000</c:v>
                </c:pt>
                <c:pt idx="130">
                  <c:v>40969</c:v>
                </c:pt>
                <c:pt idx="131">
                  <c:v>40940</c:v>
                </c:pt>
                <c:pt idx="132">
                  <c:v>40909</c:v>
                </c:pt>
                <c:pt idx="133">
                  <c:v>40878</c:v>
                </c:pt>
                <c:pt idx="134">
                  <c:v>40848</c:v>
                </c:pt>
                <c:pt idx="135">
                  <c:v>40817</c:v>
                </c:pt>
                <c:pt idx="136">
                  <c:v>40787</c:v>
                </c:pt>
                <c:pt idx="137">
                  <c:v>40756</c:v>
                </c:pt>
                <c:pt idx="138">
                  <c:v>40725</c:v>
                </c:pt>
                <c:pt idx="139">
                  <c:v>40695</c:v>
                </c:pt>
                <c:pt idx="140">
                  <c:v>40664</c:v>
                </c:pt>
                <c:pt idx="141">
                  <c:v>40634</c:v>
                </c:pt>
                <c:pt idx="142">
                  <c:v>40603</c:v>
                </c:pt>
                <c:pt idx="143">
                  <c:v>40575</c:v>
                </c:pt>
                <c:pt idx="144">
                  <c:v>40544</c:v>
                </c:pt>
                <c:pt idx="145">
                  <c:v>40513</c:v>
                </c:pt>
                <c:pt idx="146">
                  <c:v>40483</c:v>
                </c:pt>
                <c:pt idx="147">
                  <c:v>40452</c:v>
                </c:pt>
                <c:pt idx="148">
                  <c:v>40422</c:v>
                </c:pt>
                <c:pt idx="149">
                  <c:v>40391</c:v>
                </c:pt>
                <c:pt idx="150">
                  <c:v>40360</c:v>
                </c:pt>
                <c:pt idx="151">
                  <c:v>40330</c:v>
                </c:pt>
                <c:pt idx="152">
                  <c:v>40299</c:v>
                </c:pt>
                <c:pt idx="153">
                  <c:v>40269</c:v>
                </c:pt>
                <c:pt idx="154">
                  <c:v>40238</c:v>
                </c:pt>
                <c:pt idx="155">
                  <c:v>40210</c:v>
                </c:pt>
                <c:pt idx="156">
                  <c:v>40179</c:v>
                </c:pt>
                <c:pt idx="157">
                  <c:v>40148</c:v>
                </c:pt>
                <c:pt idx="158">
                  <c:v>40118</c:v>
                </c:pt>
                <c:pt idx="159">
                  <c:v>40087</c:v>
                </c:pt>
                <c:pt idx="160">
                  <c:v>40057</c:v>
                </c:pt>
                <c:pt idx="161">
                  <c:v>40026</c:v>
                </c:pt>
                <c:pt idx="162">
                  <c:v>39995</c:v>
                </c:pt>
                <c:pt idx="163">
                  <c:v>39965</c:v>
                </c:pt>
                <c:pt idx="164">
                  <c:v>39934</c:v>
                </c:pt>
                <c:pt idx="165">
                  <c:v>39904</c:v>
                </c:pt>
                <c:pt idx="166">
                  <c:v>39873</c:v>
                </c:pt>
                <c:pt idx="167">
                  <c:v>39845</c:v>
                </c:pt>
                <c:pt idx="168">
                  <c:v>39814</c:v>
                </c:pt>
                <c:pt idx="169">
                  <c:v>39783</c:v>
                </c:pt>
                <c:pt idx="170">
                  <c:v>39753</c:v>
                </c:pt>
                <c:pt idx="171">
                  <c:v>39722</c:v>
                </c:pt>
                <c:pt idx="172">
                  <c:v>39692</c:v>
                </c:pt>
                <c:pt idx="173">
                  <c:v>39661</c:v>
                </c:pt>
                <c:pt idx="174">
                  <c:v>39630</c:v>
                </c:pt>
                <c:pt idx="175">
                  <c:v>39600</c:v>
                </c:pt>
                <c:pt idx="176">
                  <c:v>39569</c:v>
                </c:pt>
                <c:pt idx="177">
                  <c:v>39539</c:v>
                </c:pt>
                <c:pt idx="178">
                  <c:v>39508</c:v>
                </c:pt>
                <c:pt idx="179">
                  <c:v>39479</c:v>
                </c:pt>
                <c:pt idx="180">
                  <c:v>39448</c:v>
                </c:pt>
                <c:pt idx="181">
                  <c:v>39417</c:v>
                </c:pt>
                <c:pt idx="182">
                  <c:v>39387</c:v>
                </c:pt>
                <c:pt idx="183">
                  <c:v>39356</c:v>
                </c:pt>
                <c:pt idx="184">
                  <c:v>39326</c:v>
                </c:pt>
                <c:pt idx="185">
                  <c:v>39295</c:v>
                </c:pt>
                <c:pt idx="186">
                  <c:v>39264</c:v>
                </c:pt>
                <c:pt idx="187">
                  <c:v>39234</c:v>
                </c:pt>
                <c:pt idx="188">
                  <c:v>39203</c:v>
                </c:pt>
                <c:pt idx="189">
                  <c:v>39173</c:v>
                </c:pt>
                <c:pt idx="190">
                  <c:v>39142</c:v>
                </c:pt>
                <c:pt idx="191">
                  <c:v>39114</c:v>
                </c:pt>
                <c:pt idx="192">
                  <c:v>39083</c:v>
                </c:pt>
                <c:pt idx="193">
                  <c:v>39052</c:v>
                </c:pt>
                <c:pt idx="194">
                  <c:v>39022</c:v>
                </c:pt>
                <c:pt idx="195">
                  <c:v>38991</c:v>
                </c:pt>
                <c:pt idx="196">
                  <c:v>38961</c:v>
                </c:pt>
                <c:pt idx="197">
                  <c:v>38930</c:v>
                </c:pt>
                <c:pt idx="198">
                  <c:v>38899</c:v>
                </c:pt>
                <c:pt idx="199">
                  <c:v>38869</c:v>
                </c:pt>
                <c:pt idx="200">
                  <c:v>38838</c:v>
                </c:pt>
                <c:pt idx="201">
                  <c:v>38808</c:v>
                </c:pt>
                <c:pt idx="202">
                  <c:v>38777</c:v>
                </c:pt>
                <c:pt idx="203">
                  <c:v>38749</c:v>
                </c:pt>
                <c:pt idx="204">
                  <c:v>38718</c:v>
                </c:pt>
                <c:pt idx="205">
                  <c:v>38687</c:v>
                </c:pt>
                <c:pt idx="206">
                  <c:v>38657</c:v>
                </c:pt>
                <c:pt idx="207">
                  <c:v>38626</c:v>
                </c:pt>
                <c:pt idx="208">
                  <c:v>38596</c:v>
                </c:pt>
                <c:pt idx="209">
                  <c:v>38565</c:v>
                </c:pt>
                <c:pt idx="210">
                  <c:v>38534</c:v>
                </c:pt>
                <c:pt idx="211">
                  <c:v>38504</c:v>
                </c:pt>
                <c:pt idx="212">
                  <c:v>38473</c:v>
                </c:pt>
                <c:pt idx="213">
                  <c:v>38443</c:v>
                </c:pt>
                <c:pt idx="214">
                  <c:v>38412</c:v>
                </c:pt>
                <c:pt idx="215">
                  <c:v>38384</c:v>
                </c:pt>
                <c:pt idx="216">
                  <c:v>38353</c:v>
                </c:pt>
                <c:pt idx="217">
                  <c:v>38322</c:v>
                </c:pt>
                <c:pt idx="218">
                  <c:v>38292</c:v>
                </c:pt>
                <c:pt idx="219">
                  <c:v>38261</c:v>
                </c:pt>
                <c:pt idx="220">
                  <c:v>38231</c:v>
                </c:pt>
                <c:pt idx="221">
                  <c:v>38200</c:v>
                </c:pt>
                <c:pt idx="222">
                  <c:v>38169</c:v>
                </c:pt>
                <c:pt idx="223">
                  <c:v>38139</c:v>
                </c:pt>
                <c:pt idx="224">
                  <c:v>38108</c:v>
                </c:pt>
                <c:pt idx="225">
                  <c:v>38078</c:v>
                </c:pt>
                <c:pt idx="226">
                  <c:v>38047</c:v>
                </c:pt>
                <c:pt idx="227">
                  <c:v>38018</c:v>
                </c:pt>
                <c:pt idx="228">
                  <c:v>37987</c:v>
                </c:pt>
                <c:pt idx="229">
                  <c:v>37956</c:v>
                </c:pt>
                <c:pt idx="230">
                  <c:v>37926</c:v>
                </c:pt>
                <c:pt idx="231">
                  <c:v>37895</c:v>
                </c:pt>
                <c:pt idx="232">
                  <c:v>37865</c:v>
                </c:pt>
                <c:pt idx="233">
                  <c:v>37834</c:v>
                </c:pt>
                <c:pt idx="234">
                  <c:v>37803</c:v>
                </c:pt>
                <c:pt idx="235">
                  <c:v>37773</c:v>
                </c:pt>
                <c:pt idx="236">
                  <c:v>37742</c:v>
                </c:pt>
                <c:pt idx="237">
                  <c:v>37712</c:v>
                </c:pt>
                <c:pt idx="238">
                  <c:v>37681</c:v>
                </c:pt>
                <c:pt idx="239">
                  <c:v>37653</c:v>
                </c:pt>
                <c:pt idx="240">
                  <c:v>37622</c:v>
                </c:pt>
                <c:pt idx="241">
                  <c:v>37591</c:v>
                </c:pt>
                <c:pt idx="242">
                  <c:v>37561</c:v>
                </c:pt>
                <c:pt idx="243">
                  <c:v>37530</c:v>
                </c:pt>
                <c:pt idx="244">
                  <c:v>37500</c:v>
                </c:pt>
                <c:pt idx="245">
                  <c:v>37469</c:v>
                </c:pt>
                <c:pt idx="246">
                  <c:v>37438</c:v>
                </c:pt>
                <c:pt idx="247">
                  <c:v>37408</c:v>
                </c:pt>
                <c:pt idx="248">
                  <c:v>37377</c:v>
                </c:pt>
                <c:pt idx="249">
                  <c:v>37347</c:v>
                </c:pt>
                <c:pt idx="250">
                  <c:v>37316</c:v>
                </c:pt>
                <c:pt idx="251">
                  <c:v>37288</c:v>
                </c:pt>
                <c:pt idx="252">
                  <c:v>37257</c:v>
                </c:pt>
                <c:pt idx="253">
                  <c:v>37226</c:v>
                </c:pt>
                <c:pt idx="254">
                  <c:v>37196</c:v>
                </c:pt>
                <c:pt idx="255">
                  <c:v>37165</c:v>
                </c:pt>
                <c:pt idx="256">
                  <c:v>37135</c:v>
                </c:pt>
                <c:pt idx="257">
                  <c:v>37104</c:v>
                </c:pt>
                <c:pt idx="258">
                  <c:v>37073</c:v>
                </c:pt>
                <c:pt idx="259">
                  <c:v>37043</c:v>
                </c:pt>
                <c:pt idx="260">
                  <c:v>37012</c:v>
                </c:pt>
                <c:pt idx="261">
                  <c:v>36982</c:v>
                </c:pt>
                <c:pt idx="262">
                  <c:v>36951</c:v>
                </c:pt>
                <c:pt idx="263">
                  <c:v>36923</c:v>
                </c:pt>
                <c:pt idx="264">
                  <c:v>36892</c:v>
                </c:pt>
                <c:pt idx="265">
                  <c:v>36861</c:v>
                </c:pt>
                <c:pt idx="266">
                  <c:v>36831</c:v>
                </c:pt>
                <c:pt idx="267">
                  <c:v>36800</c:v>
                </c:pt>
                <c:pt idx="268">
                  <c:v>36770</c:v>
                </c:pt>
                <c:pt idx="269">
                  <c:v>36739</c:v>
                </c:pt>
                <c:pt idx="270">
                  <c:v>36708</c:v>
                </c:pt>
                <c:pt idx="271">
                  <c:v>36678</c:v>
                </c:pt>
                <c:pt idx="272">
                  <c:v>36647</c:v>
                </c:pt>
                <c:pt idx="273">
                  <c:v>36617</c:v>
                </c:pt>
                <c:pt idx="274">
                  <c:v>36586</c:v>
                </c:pt>
                <c:pt idx="275">
                  <c:v>36557</c:v>
                </c:pt>
                <c:pt idx="276">
                  <c:v>36526</c:v>
                </c:pt>
                <c:pt idx="277">
                  <c:v>36495</c:v>
                </c:pt>
                <c:pt idx="278">
                  <c:v>36465</c:v>
                </c:pt>
                <c:pt idx="279">
                  <c:v>36434</c:v>
                </c:pt>
                <c:pt idx="280">
                  <c:v>36404</c:v>
                </c:pt>
                <c:pt idx="281">
                  <c:v>36373</c:v>
                </c:pt>
                <c:pt idx="282">
                  <c:v>36342</c:v>
                </c:pt>
                <c:pt idx="283">
                  <c:v>36312</c:v>
                </c:pt>
                <c:pt idx="284">
                  <c:v>36281</c:v>
                </c:pt>
                <c:pt idx="285">
                  <c:v>36251</c:v>
                </c:pt>
                <c:pt idx="286">
                  <c:v>36220</c:v>
                </c:pt>
                <c:pt idx="287">
                  <c:v>36192</c:v>
                </c:pt>
                <c:pt idx="288">
                  <c:v>36161</c:v>
                </c:pt>
                <c:pt idx="289">
                  <c:v>36130</c:v>
                </c:pt>
                <c:pt idx="290">
                  <c:v>36100</c:v>
                </c:pt>
                <c:pt idx="291">
                  <c:v>36069</c:v>
                </c:pt>
                <c:pt idx="292">
                  <c:v>36039</c:v>
                </c:pt>
                <c:pt idx="293">
                  <c:v>36008</c:v>
                </c:pt>
                <c:pt idx="294">
                  <c:v>35977</c:v>
                </c:pt>
                <c:pt idx="295">
                  <c:v>35947</c:v>
                </c:pt>
                <c:pt idx="296">
                  <c:v>35916</c:v>
                </c:pt>
                <c:pt idx="297">
                  <c:v>35886</c:v>
                </c:pt>
                <c:pt idx="298">
                  <c:v>35855</c:v>
                </c:pt>
                <c:pt idx="299">
                  <c:v>35827</c:v>
                </c:pt>
                <c:pt idx="300">
                  <c:v>35796</c:v>
                </c:pt>
                <c:pt idx="301">
                  <c:v>35765</c:v>
                </c:pt>
                <c:pt idx="302">
                  <c:v>35735</c:v>
                </c:pt>
                <c:pt idx="303">
                  <c:v>35704</c:v>
                </c:pt>
                <c:pt idx="304">
                  <c:v>35674</c:v>
                </c:pt>
                <c:pt idx="305">
                  <c:v>35643</c:v>
                </c:pt>
                <c:pt idx="306">
                  <c:v>35612</c:v>
                </c:pt>
                <c:pt idx="307">
                  <c:v>35582</c:v>
                </c:pt>
                <c:pt idx="308">
                  <c:v>35551</c:v>
                </c:pt>
                <c:pt idx="309">
                  <c:v>35521</c:v>
                </c:pt>
                <c:pt idx="310">
                  <c:v>35490</c:v>
                </c:pt>
                <c:pt idx="311">
                  <c:v>35462</c:v>
                </c:pt>
                <c:pt idx="312">
                  <c:v>35431</c:v>
                </c:pt>
                <c:pt idx="313">
                  <c:v>35400</c:v>
                </c:pt>
                <c:pt idx="314">
                  <c:v>35370</c:v>
                </c:pt>
                <c:pt idx="315">
                  <c:v>35339</c:v>
                </c:pt>
                <c:pt idx="316">
                  <c:v>35309</c:v>
                </c:pt>
                <c:pt idx="317">
                  <c:v>35278</c:v>
                </c:pt>
                <c:pt idx="318">
                  <c:v>35247</c:v>
                </c:pt>
                <c:pt idx="319">
                  <c:v>35217</c:v>
                </c:pt>
                <c:pt idx="320">
                  <c:v>35186</c:v>
                </c:pt>
                <c:pt idx="321">
                  <c:v>35156</c:v>
                </c:pt>
                <c:pt idx="322">
                  <c:v>35125</c:v>
                </c:pt>
                <c:pt idx="323">
                  <c:v>35096</c:v>
                </c:pt>
                <c:pt idx="324">
                  <c:v>35065</c:v>
                </c:pt>
                <c:pt idx="325">
                  <c:v>35034</c:v>
                </c:pt>
                <c:pt idx="326">
                  <c:v>35004</c:v>
                </c:pt>
                <c:pt idx="327">
                  <c:v>34973</c:v>
                </c:pt>
                <c:pt idx="328">
                  <c:v>34943</c:v>
                </c:pt>
                <c:pt idx="329">
                  <c:v>34912</c:v>
                </c:pt>
                <c:pt idx="330">
                  <c:v>34881</c:v>
                </c:pt>
                <c:pt idx="331">
                  <c:v>34851</c:v>
                </c:pt>
                <c:pt idx="332">
                  <c:v>34820</c:v>
                </c:pt>
                <c:pt idx="333">
                  <c:v>34790</c:v>
                </c:pt>
                <c:pt idx="334">
                  <c:v>34759</c:v>
                </c:pt>
                <c:pt idx="335">
                  <c:v>34731</c:v>
                </c:pt>
                <c:pt idx="336">
                  <c:v>34700</c:v>
                </c:pt>
                <c:pt idx="337">
                  <c:v>34669</c:v>
                </c:pt>
                <c:pt idx="338">
                  <c:v>34639</c:v>
                </c:pt>
                <c:pt idx="339">
                  <c:v>34608</c:v>
                </c:pt>
                <c:pt idx="340">
                  <c:v>34578</c:v>
                </c:pt>
                <c:pt idx="341">
                  <c:v>34547</c:v>
                </c:pt>
                <c:pt idx="342">
                  <c:v>34516</c:v>
                </c:pt>
                <c:pt idx="343">
                  <c:v>34486</c:v>
                </c:pt>
                <c:pt idx="344">
                  <c:v>34455</c:v>
                </c:pt>
                <c:pt idx="345">
                  <c:v>34425</c:v>
                </c:pt>
                <c:pt idx="346">
                  <c:v>34394</c:v>
                </c:pt>
                <c:pt idx="347">
                  <c:v>34366</c:v>
                </c:pt>
                <c:pt idx="348">
                  <c:v>34335</c:v>
                </c:pt>
                <c:pt idx="349">
                  <c:v>34304</c:v>
                </c:pt>
                <c:pt idx="350">
                  <c:v>34274</c:v>
                </c:pt>
                <c:pt idx="351">
                  <c:v>34243</c:v>
                </c:pt>
                <c:pt idx="352">
                  <c:v>34213</c:v>
                </c:pt>
                <c:pt idx="353">
                  <c:v>34182</c:v>
                </c:pt>
                <c:pt idx="354">
                  <c:v>34151</c:v>
                </c:pt>
                <c:pt idx="355">
                  <c:v>34121</c:v>
                </c:pt>
                <c:pt idx="356">
                  <c:v>34090</c:v>
                </c:pt>
                <c:pt idx="357">
                  <c:v>34060</c:v>
                </c:pt>
                <c:pt idx="358">
                  <c:v>34029</c:v>
                </c:pt>
                <c:pt idx="359">
                  <c:v>34001</c:v>
                </c:pt>
                <c:pt idx="360">
                  <c:v>33970</c:v>
                </c:pt>
                <c:pt idx="361">
                  <c:v>33939</c:v>
                </c:pt>
              </c:numCache>
            </c:numRef>
          </c:cat>
          <c:val>
            <c:numRef>
              <c:f>工作表1!$B$2:$B$363</c:f>
              <c:numCache>
                <c:formatCode>0.00</c:formatCode>
                <c:ptCount val="362"/>
                <c:pt idx="0">
                  <c:v>7148.7</c:v>
                </c:pt>
                <c:pt idx="1">
                  <c:v>7204.8</c:v>
                </c:pt>
                <c:pt idx="2">
                  <c:v>7284.2</c:v>
                </c:pt>
                <c:pt idx="3">
                  <c:v>6863.5</c:v>
                </c:pt>
                <c:pt idx="4">
                  <c:v>6474.2</c:v>
                </c:pt>
                <c:pt idx="5">
                  <c:v>6986.8</c:v>
                </c:pt>
                <c:pt idx="6">
                  <c:v>6945.2</c:v>
                </c:pt>
                <c:pt idx="7">
                  <c:v>6568.1</c:v>
                </c:pt>
                <c:pt idx="8">
                  <c:v>7211.2</c:v>
                </c:pt>
                <c:pt idx="9">
                  <c:v>7435</c:v>
                </c:pt>
                <c:pt idx="10">
                  <c:v>7499.6</c:v>
                </c:pt>
                <c:pt idx="11">
                  <c:v>7049.1</c:v>
                </c:pt>
                <c:pt idx="12">
                  <c:v>6971.6</c:v>
                </c:pt>
                <c:pt idx="13">
                  <c:v>7444.6</c:v>
                </c:pt>
                <c:pt idx="14">
                  <c:v>7256</c:v>
                </c:pt>
                <c:pt idx="15">
                  <c:v>7323.7</c:v>
                </c:pt>
                <c:pt idx="16">
                  <c:v>7332.2</c:v>
                </c:pt>
                <c:pt idx="17">
                  <c:v>7534.9</c:v>
                </c:pt>
                <c:pt idx="18">
                  <c:v>7392.6</c:v>
                </c:pt>
                <c:pt idx="19">
                  <c:v>7313</c:v>
                </c:pt>
                <c:pt idx="20">
                  <c:v>7161.6</c:v>
                </c:pt>
                <c:pt idx="21">
                  <c:v>7025.8</c:v>
                </c:pt>
                <c:pt idx="22">
                  <c:v>6790.7</c:v>
                </c:pt>
                <c:pt idx="23">
                  <c:v>6673.3</c:v>
                </c:pt>
                <c:pt idx="24">
                  <c:v>6607.4</c:v>
                </c:pt>
                <c:pt idx="25">
                  <c:v>6587.1</c:v>
                </c:pt>
                <c:pt idx="26">
                  <c:v>6517.8</c:v>
                </c:pt>
                <c:pt idx="27">
                  <c:v>5927.6</c:v>
                </c:pt>
                <c:pt idx="28">
                  <c:v>5815.9</c:v>
                </c:pt>
                <c:pt idx="29">
                  <c:v>6060.5</c:v>
                </c:pt>
                <c:pt idx="30">
                  <c:v>5927.8</c:v>
                </c:pt>
                <c:pt idx="31">
                  <c:v>5897.9</c:v>
                </c:pt>
                <c:pt idx="32">
                  <c:v>5755.7</c:v>
                </c:pt>
                <c:pt idx="33">
                  <c:v>5522.4</c:v>
                </c:pt>
                <c:pt idx="34">
                  <c:v>5076.8</c:v>
                </c:pt>
                <c:pt idx="35">
                  <c:v>6441.2</c:v>
                </c:pt>
                <c:pt idx="36">
                  <c:v>7017.2</c:v>
                </c:pt>
                <c:pt idx="37">
                  <c:v>6684.1</c:v>
                </c:pt>
                <c:pt idx="38">
                  <c:v>6846</c:v>
                </c:pt>
                <c:pt idx="39">
                  <c:v>6633.4</c:v>
                </c:pt>
                <c:pt idx="40">
                  <c:v>6688.3</c:v>
                </c:pt>
                <c:pt idx="41">
                  <c:v>6604.2</c:v>
                </c:pt>
                <c:pt idx="42">
                  <c:v>6812.6</c:v>
                </c:pt>
                <c:pt idx="43">
                  <c:v>6618.8</c:v>
                </c:pt>
                <c:pt idx="44">
                  <c:v>6396.9</c:v>
                </c:pt>
                <c:pt idx="45">
                  <c:v>6325.5</c:v>
                </c:pt>
                <c:pt idx="46">
                  <c:v>6180.7</c:v>
                </c:pt>
                <c:pt idx="47">
                  <c:v>6169</c:v>
                </c:pt>
                <c:pt idx="48">
                  <c:v>5864.7</c:v>
                </c:pt>
                <c:pt idx="49">
                  <c:v>5646.4</c:v>
                </c:pt>
                <c:pt idx="50">
                  <c:v>5667.2</c:v>
                </c:pt>
                <c:pt idx="51">
                  <c:v>5830.3</c:v>
                </c:pt>
                <c:pt idx="52">
                  <c:v>6207.6</c:v>
                </c:pt>
                <c:pt idx="53">
                  <c:v>6319.5</c:v>
                </c:pt>
                <c:pt idx="54">
                  <c:v>6280.2</c:v>
                </c:pt>
                <c:pt idx="55">
                  <c:v>6194.6</c:v>
                </c:pt>
                <c:pt idx="56">
                  <c:v>6011.9</c:v>
                </c:pt>
                <c:pt idx="57">
                  <c:v>5892.7</c:v>
                </c:pt>
                <c:pt idx="58">
                  <c:v>5759.4</c:v>
                </c:pt>
                <c:pt idx="59">
                  <c:v>6016</c:v>
                </c:pt>
                <c:pt idx="60">
                  <c:v>6037.7</c:v>
                </c:pt>
                <c:pt idx="61">
                  <c:v>6065.1</c:v>
                </c:pt>
                <c:pt idx="62">
                  <c:v>5969.9</c:v>
                </c:pt>
                <c:pt idx="63">
                  <c:v>5909</c:v>
                </c:pt>
                <c:pt idx="64">
                  <c:v>5681.6</c:v>
                </c:pt>
                <c:pt idx="65">
                  <c:v>5714.5</c:v>
                </c:pt>
                <c:pt idx="66">
                  <c:v>5720.6</c:v>
                </c:pt>
                <c:pt idx="67">
                  <c:v>5721.5</c:v>
                </c:pt>
                <c:pt idx="68">
                  <c:v>5724.6</c:v>
                </c:pt>
                <c:pt idx="69">
                  <c:v>5924.1</c:v>
                </c:pt>
                <c:pt idx="70">
                  <c:v>5864.9</c:v>
                </c:pt>
                <c:pt idx="71">
                  <c:v>5712.2</c:v>
                </c:pt>
                <c:pt idx="72">
                  <c:v>5620.9</c:v>
                </c:pt>
                <c:pt idx="73">
                  <c:v>5665.8</c:v>
                </c:pt>
                <c:pt idx="74">
                  <c:v>5440.5</c:v>
                </c:pt>
                <c:pt idx="75">
                  <c:v>5317.7</c:v>
                </c:pt>
                <c:pt idx="76">
                  <c:v>5435.9</c:v>
                </c:pt>
                <c:pt idx="77">
                  <c:v>5433</c:v>
                </c:pt>
                <c:pt idx="78">
                  <c:v>5562.3</c:v>
                </c:pt>
                <c:pt idx="79">
                  <c:v>5233.3999999999996</c:v>
                </c:pt>
                <c:pt idx="80">
                  <c:v>5378.6</c:v>
                </c:pt>
                <c:pt idx="81">
                  <c:v>5252.2</c:v>
                </c:pt>
                <c:pt idx="82">
                  <c:v>5082.8</c:v>
                </c:pt>
                <c:pt idx="83">
                  <c:v>4880.8999999999996</c:v>
                </c:pt>
                <c:pt idx="84">
                  <c:v>5005.5</c:v>
                </c:pt>
                <c:pt idx="85">
                  <c:v>5295.9</c:v>
                </c:pt>
                <c:pt idx="86">
                  <c:v>5166.5</c:v>
                </c:pt>
                <c:pt idx="87">
                  <c:v>5239.3999999999996</c:v>
                </c:pt>
                <c:pt idx="88">
                  <c:v>5021.6000000000004</c:v>
                </c:pt>
                <c:pt idx="89">
                  <c:v>5207</c:v>
                </c:pt>
                <c:pt idx="90">
                  <c:v>5699.2</c:v>
                </c:pt>
                <c:pt idx="91">
                  <c:v>5459</c:v>
                </c:pt>
                <c:pt idx="92">
                  <c:v>5777.2</c:v>
                </c:pt>
                <c:pt idx="93">
                  <c:v>5790</c:v>
                </c:pt>
                <c:pt idx="94">
                  <c:v>5891.5</c:v>
                </c:pt>
                <c:pt idx="95">
                  <c:v>5928.8</c:v>
                </c:pt>
                <c:pt idx="96">
                  <c:v>5588.3</c:v>
                </c:pt>
                <c:pt idx="97">
                  <c:v>5411</c:v>
                </c:pt>
                <c:pt idx="98">
                  <c:v>5313</c:v>
                </c:pt>
                <c:pt idx="99">
                  <c:v>5526.6</c:v>
                </c:pt>
                <c:pt idx="100">
                  <c:v>5292.8</c:v>
                </c:pt>
                <c:pt idx="101">
                  <c:v>5625.9</c:v>
                </c:pt>
                <c:pt idx="102">
                  <c:v>5632.9</c:v>
                </c:pt>
                <c:pt idx="103">
                  <c:v>5395.7</c:v>
                </c:pt>
                <c:pt idx="104">
                  <c:v>5492.5</c:v>
                </c:pt>
                <c:pt idx="105">
                  <c:v>5489.1</c:v>
                </c:pt>
                <c:pt idx="106">
                  <c:v>5394.8</c:v>
                </c:pt>
                <c:pt idx="107">
                  <c:v>5404.8</c:v>
                </c:pt>
                <c:pt idx="108">
                  <c:v>5190</c:v>
                </c:pt>
                <c:pt idx="109">
                  <c:v>5352.2</c:v>
                </c:pt>
                <c:pt idx="110">
                  <c:v>5320.1</c:v>
                </c:pt>
                <c:pt idx="111">
                  <c:v>5425.5</c:v>
                </c:pt>
                <c:pt idx="112">
                  <c:v>5218.8999999999996</c:v>
                </c:pt>
                <c:pt idx="113">
                  <c:v>5135</c:v>
                </c:pt>
                <c:pt idx="114">
                  <c:v>5052</c:v>
                </c:pt>
                <c:pt idx="115">
                  <c:v>4802.6000000000004</c:v>
                </c:pt>
                <c:pt idx="116">
                  <c:v>4926.6000000000004</c:v>
                </c:pt>
                <c:pt idx="117">
                  <c:v>5191.2</c:v>
                </c:pt>
                <c:pt idx="118">
                  <c:v>4966.5</c:v>
                </c:pt>
                <c:pt idx="119">
                  <c:v>5140.1000000000004</c:v>
                </c:pt>
                <c:pt idx="120">
                  <c:v>4878.8</c:v>
                </c:pt>
                <c:pt idx="121">
                  <c:v>4649</c:v>
                </c:pt>
                <c:pt idx="122">
                  <c:v>4506</c:v>
                </c:pt>
                <c:pt idx="123">
                  <c:v>4517</c:v>
                </c:pt>
                <c:pt idx="124">
                  <c:v>4387</c:v>
                </c:pt>
                <c:pt idx="125">
                  <c:v>4316.1000000000004</c:v>
                </c:pt>
                <c:pt idx="126">
                  <c:v>4269.2</c:v>
                </c:pt>
                <c:pt idx="127">
                  <c:v>4094.6</c:v>
                </c:pt>
                <c:pt idx="128">
                  <c:v>4076.3</c:v>
                </c:pt>
                <c:pt idx="129">
                  <c:v>4396.6000000000004</c:v>
                </c:pt>
                <c:pt idx="130">
                  <c:v>4335.2</c:v>
                </c:pt>
                <c:pt idx="131">
                  <c:v>4298.5</c:v>
                </c:pt>
                <c:pt idx="132">
                  <c:v>4262.7</c:v>
                </c:pt>
                <c:pt idx="133">
                  <c:v>4056.6</c:v>
                </c:pt>
                <c:pt idx="134">
                  <c:v>4119.8</c:v>
                </c:pt>
                <c:pt idx="135">
                  <c:v>4298.1000000000004</c:v>
                </c:pt>
                <c:pt idx="136">
                  <c:v>4008.6</c:v>
                </c:pt>
                <c:pt idx="137">
                  <c:v>4296.5</c:v>
                </c:pt>
                <c:pt idx="138">
                  <c:v>4424.6000000000004</c:v>
                </c:pt>
                <c:pt idx="139">
                  <c:v>4608</c:v>
                </c:pt>
                <c:pt idx="140">
                  <c:v>4708.3</c:v>
                </c:pt>
                <c:pt idx="141">
                  <c:v>4823.2</c:v>
                </c:pt>
                <c:pt idx="142">
                  <c:v>4837.8999999999996</c:v>
                </c:pt>
                <c:pt idx="143">
                  <c:v>4831.7</c:v>
                </c:pt>
                <c:pt idx="144">
                  <c:v>4753.8999999999996</c:v>
                </c:pt>
                <c:pt idx="145">
                  <c:v>4745.2</c:v>
                </c:pt>
                <c:pt idx="146">
                  <c:v>4584.3999999999996</c:v>
                </c:pt>
                <c:pt idx="147">
                  <c:v>4661.6000000000004</c:v>
                </c:pt>
                <c:pt idx="148">
                  <c:v>4582.8999999999996</c:v>
                </c:pt>
                <c:pt idx="149">
                  <c:v>4404.2</c:v>
                </c:pt>
                <c:pt idx="150">
                  <c:v>4493.5</c:v>
                </c:pt>
                <c:pt idx="151">
                  <c:v>4301.5</c:v>
                </c:pt>
                <c:pt idx="152">
                  <c:v>4429.7</c:v>
                </c:pt>
                <c:pt idx="153">
                  <c:v>4807.3999999999996</c:v>
                </c:pt>
                <c:pt idx="154">
                  <c:v>4875.5</c:v>
                </c:pt>
                <c:pt idx="155">
                  <c:v>4637.7</c:v>
                </c:pt>
                <c:pt idx="156">
                  <c:v>4569.6000000000004</c:v>
                </c:pt>
                <c:pt idx="157">
                  <c:v>4807.6000000000004</c:v>
                </c:pt>
                <c:pt idx="158">
                  <c:v>4701.3999999999996</c:v>
                </c:pt>
                <c:pt idx="159">
                  <c:v>4643.2</c:v>
                </c:pt>
                <c:pt idx="160">
                  <c:v>4743.6000000000004</c:v>
                </c:pt>
                <c:pt idx="161">
                  <c:v>4479.1000000000004</c:v>
                </c:pt>
                <c:pt idx="162">
                  <c:v>4244</c:v>
                </c:pt>
                <c:pt idx="163">
                  <c:v>3954.9</c:v>
                </c:pt>
                <c:pt idx="164">
                  <c:v>3818</c:v>
                </c:pt>
                <c:pt idx="165">
                  <c:v>3780.5</c:v>
                </c:pt>
                <c:pt idx="166">
                  <c:v>3582.1</c:v>
                </c:pt>
                <c:pt idx="167">
                  <c:v>3344.5</c:v>
                </c:pt>
                <c:pt idx="168">
                  <c:v>3504.7</c:v>
                </c:pt>
                <c:pt idx="169">
                  <c:v>3722.3</c:v>
                </c:pt>
                <c:pt idx="170">
                  <c:v>3742.5</c:v>
                </c:pt>
                <c:pt idx="171">
                  <c:v>4018</c:v>
                </c:pt>
                <c:pt idx="172">
                  <c:v>4600.5</c:v>
                </c:pt>
                <c:pt idx="173">
                  <c:v>5135.6000000000004</c:v>
                </c:pt>
                <c:pt idx="174">
                  <c:v>4977.3999999999996</c:v>
                </c:pt>
                <c:pt idx="175">
                  <c:v>5215.3</c:v>
                </c:pt>
                <c:pt idx="176">
                  <c:v>5654.7</c:v>
                </c:pt>
                <c:pt idx="177">
                  <c:v>5595.4</c:v>
                </c:pt>
                <c:pt idx="178">
                  <c:v>5355.7</c:v>
                </c:pt>
                <c:pt idx="179">
                  <c:v>5572.1</c:v>
                </c:pt>
                <c:pt idx="180">
                  <c:v>5650.3</c:v>
                </c:pt>
                <c:pt idx="181">
                  <c:v>6339.8</c:v>
                </c:pt>
                <c:pt idx="182">
                  <c:v>6533.1</c:v>
                </c:pt>
                <c:pt idx="183">
                  <c:v>6754.1</c:v>
                </c:pt>
                <c:pt idx="184">
                  <c:v>6567.8</c:v>
                </c:pt>
                <c:pt idx="185">
                  <c:v>6247.2</c:v>
                </c:pt>
                <c:pt idx="186">
                  <c:v>6144.2</c:v>
                </c:pt>
                <c:pt idx="187">
                  <c:v>6274.9</c:v>
                </c:pt>
                <c:pt idx="188">
                  <c:v>6313.5</c:v>
                </c:pt>
                <c:pt idx="189">
                  <c:v>6166</c:v>
                </c:pt>
                <c:pt idx="190">
                  <c:v>5995</c:v>
                </c:pt>
                <c:pt idx="191">
                  <c:v>5832.5</c:v>
                </c:pt>
                <c:pt idx="192">
                  <c:v>5773.4</c:v>
                </c:pt>
                <c:pt idx="193">
                  <c:v>5669.9</c:v>
                </c:pt>
                <c:pt idx="194">
                  <c:v>5482.1</c:v>
                </c:pt>
                <c:pt idx="195">
                  <c:v>5384.4</c:v>
                </c:pt>
                <c:pt idx="196">
                  <c:v>5154.1000000000004</c:v>
                </c:pt>
                <c:pt idx="197">
                  <c:v>5115.3999999999996</c:v>
                </c:pt>
                <c:pt idx="198">
                  <c:v>4986</c:v>
                </c:pt>
                <c:pt idx="199">
                  <c:v>5073.8999999999996</c:v>
                </c:pt>
                <c:pt idx="200">
                  <c:v>5001.7</c:v>
                </c:pt>
                <c:pt idx="201">
                  <c:v>5258.8</c:v>
                </c:pt>
                <c:pt idx="202">
                  <c:v>5129.7</c:v>
                </c:pt>
                <c:pt idx="203">
                  <c:v>4921.3</c:v>
                </c:pt>
                <c:pt idx="204">
                  <c:v>2929.6</c:v>
                </c:pt>
                <c:pt idx="205">
                  <c:v>4763.3999999999996</c:v>
                </c:pt>
                <c:pt idx="206">
                  <c:v>4634.8</c:v>
                </c:pt>
                <c:pt idx="207">
                  <c:v>4459.7</c:v>
                </c:pt>
                <c:pt idx="208">
                  <c:v>4641.2</c:v>
                </c:pt>
                <c:pt idx="209">
                  <c:v>4446.8</c:v>
                </c:pt>
                <c:pt idx="210">
                  <c:v>4388.8</c:v>
                </c:pt>
                <c:pt idx="211">
                  <c:v>4277.5</c:v>
                </c:pt>
                <c:pt idx="212">
                  <c:v>4106.3999999999996</c:v>
                </c:pt>
                <c:pt idx="213">
                  <c:v>3983.2</c:v>
                </c:pt>
                <c:pt idx="214">
                  <c:v>4109.8</c:v>
                </c:pt>
                <c:pt idx="215">
                  <c:v>4172.8</c:v>
                </c:pt>
                <c:pt idx="216">
                  <c:v>4107.3</c:v>
                </c:pt>
                <c:pt idx="217">
                  <c:v>4050.6</c:v>
                </c:pt>
                <c:pt idx="218">
                  <c:v>3931.3</c:v>
                </c:pt>
                <c:pt idx="219">
                  <c:v>3778.6</c:v>
                </c:pt>
                <c:pt idx="220">
                  <c:v>3665</c:v>
                </c:pt>
                <c:pt idx="221">
                  <c:v>3552.7</c:v>
                </c:pt>
                <c:pt idx="222">
                  <c:v>3536.1</c:v>
                </c:pt>
                <c:pt idx="223">
                  <c:v>3532.9</c:v>
                </c:pt>
                <c:pt idx="224">
                  <c:v>3460.2</c:v>
                </c:pt>
                <c:pt idx="225">
                  <c:v>3400.8</c:v>
                </c:pt>
                <c:pt idx="226">
                  <c:v>3415.3</c:v>
                </c:pt>
                <c:pt idx="227">
                  <c:v>3360.6</c:v>
                </c:pt>
                <c:pt idx="228">
                  <c:v>3272</c:v>
                </c:pt>
                <c:pt idx="229">
                  <c:v>3299.8</c:v>
                </c:pt>
                <c:pt idx="230">
                  <c:v>3186.4</c:v>
                </c:pt>
                <c:pt idx="231">
                  <c:v>3272</c:v>
                </c:pt>
                <c:pt idx="232">
                  <c:v>3169.5</c:v>
                </c:pt>
                <c:pt idx="233">
                  <c:v>3199.7</c:v>
                </c:pt>
                <c:pt idx="234">
                  <c:v>3122.3</c:v>
                </c:pt>
                <c:pt idx="235">
                  <c:v>3026.9</c:v>
                </c:pt>
                <c:pt idx="236">
                  <c:v>3011</c:v>
                </c:pt>
                <c:pt idx="237">
                  <c:v>3007.5</c:v>
                </c:pt>
                <c:pt idx="238">
                  <c:v>2885.2</c:v>
                </c:pt>
                <c:pt idx="239">
                  <c:v>2800.9</c:v>
                </c:pt>
                <c:pt idx="240">
                  <c:v>2956.9</c:v>
                </c:pt>
                <c:pt idx="241">
                  <c:v>3007.1</c:v>
                </c:pt>
                <c:pt idx="242">
                  <c:v>3061.4</c:v>
                </c:pt>
                <c:pt idx="243">
                  <c:v>3042.9</c:v>
                </c:pt>
                <c:pt idx="244">
                  <c:v>2970.9</c:v>
                </c:pt>
                <c:pt idx="245">
                  <c:v>3120.1</c:v>
                </c:pt>
                <c:pt idx="246">
                  <c:v>3086.2</c:v>
                </c:pt>
                <c:pt idx="247">
                  <c:v>3216</c:v>
                </c:pt>
                <c:pt idx="248">
                  <c:v>3373.6</c:v>
                </c:pt>
                <c:pt idx="249">
                  <c:v>3350</c:v>
                </c:pt>
                <c:pt idx="250">
                  <c:v>3414.8</c:v>
                </c:pt>
                <c:pt idx="251">
                  <c:v>3414.3</c:v>
                </c:pt>
                <c:pt idx="252">
                  <c:v>3464.2</c:v>
                </c:pt>
                <c:pt idx="253">
                  <c:v>3422.3</c:v>
                </c:pt>
                <c:pt idx="254">
                  <c:v>3337.5</c:v>
                </c:pt>
                <c:pt idx="255">
                  <c:v>3429.6</c:v>
                </c:pt>
                <c:pt idx="256">
                  <c:v>3049.5</c:v>
                </c:pt>
                <c:pt idx="257">
                  <c:v>3275.6</c:v>
                </c:pt>
                <c:pt idx="258">
                  <c:v>3324.5</c:v>
                </c:pt>
                <c:pt idx="259">
                  <c:v>3490.3</c:v>
                </c:pt>
                <c:pt idx="260">
                  <c:v>3379.1</c:v>
                </c:pt>
                <c:pt idx="261">
                  <c:v>3329.4</c:v>
                </c:pt>
                <c:pt idx="262">
                  <c:v>3147.2</c:v>
                </c:pt>
                <c:pt idx="263">
                  <c:v>3326.5</c:v>
                </c:pt>
                <c:pt idx="264">
                  <c:v>3341.7</c:v>
                </c:pt>
                <c:pt idx="265">
                  <c:v>3206.2</c:v>
                </c:pt>
                <c:pt idx="266">
                  <c:v>3247.6</c:v>
                </c:pt>
                <c:pt idx="267">
                  <c:v>3254.6</c:v>
                </c:pt>
                <c:pt idx="268">
                  <c:v>3298.8</c:v>
                </c:pt>
                <c:pt idx="269">
                  <c:v>3297.8</c:v>
                </c:pt>
                <c:pt idx="270">
                  <c:v>3251.1</c:v>
                </c:pt>
                <c:pt idx="271">
                  <c:v>3311.2</c:v>
                </c:pt>
                <c:pt idx="272">
                  <c:v>3081</c:v>
                </c:pt>
                <c:pt idx="273">
                  <c:v>3115.8</c:v>
                </c:pt>
                <c:pt idx="274">
                  <c:v>3133.3</c:v>
                </c:pt>
                <c:pt idx="275">
                  <c:v>3214.6</c:v>
                </c:pt>
                <c:pt idx="276">
                  <c:v>3080.2</c:v>
                </c:pt>
                <c:pt idx="277">
                  <c:v>3117.7</c:v>
                </c:pt>
                <c:pt idx="278">
                  <c:v>2970.3</c:v>
                </c:pt>
                <c:pt idx="279">
                  <c:v>2821.4</c:v>
                </c:pt>
                <c:pt idx="280">
                  <c:v>2817</c:v>
                </c:pt>
                <c:pt idx="281">
                  <c:v>2875.7</c:v>
                </c:pt>
                <c:pt idx="282">
                  <c:v>2951</c:v>
                </c:pt>
                <c:pt idx="283">
                  <c:v>2903.7</c:v>
                </c:pt>
                <c:pt idx="284">
                  <c:v>2831.9</c:v>
                </c:pt>
                <c:pt idx="285">
                  <c:v>3027.8</c:v>
                </c:pt>
                <c:pt idx="286">
                  <c:v>2867</c:v>
                </c:pt>
                <c:pt idx="287">
                  <c:v>2768.4</c:v>
                </c:pt>
                <c:pt idx="288">
                  <c:v>2781.7</c:v>
                </c:pt>
                <c:pt idx="289">
                  <c:v>2717.6</c:v>
                </c:pt>
                <c:pt idx="290">
                  <c:v>2685.6</c:v>
                </c:pt>
                <c:pt idx="291">
                  <c:v>2563</c:v>
                </c:pt>
                <c:pt idx="292">
                  <c:v>2511.3000000000002</c:v>
                </c:pt>
                <c:pt idx="293">
                  <c:v>2430.1</c:v>
                </c:pt>
                <c:pt idx="294">
                  <c:v>2661.3</c:v>
                </c:pt>
                <c:pt idx="295">
                  <c:v>2620.1</c:v>
                </c:pt>
                <c:pt idx="296">
                  <c:v>2655.3</c:v>
                </c:pt>
                <c:pt idx="297">
                  <c:v>2709</c:v>
                </c:pt>
                <c:pt idx="298">
                  <c:v>2686</c:v>
                </c:pt>
                <c:pt idx="299">
                  <c:v>2626.9</c:v>
                </c:pt>
                <c:pt idx="300">
                  <c:v>2600.8000000000002</c:v>
                </c:pt>
                <c:pt idx="301">
                  <c:v>2567.4</c:v>
                </c:pt>
                <c:pt idx="302">
                  <c:v>2424.1</c:v>
                </c:pt>
                <c:pt idx="303">
                  <c:v>2415</c:v>
                </c:pt>
                <c:pt idx="304">
                  <c:v>2703.1</c:v>
                </c:pt>
                <c:pt idx="305">
                  <c:v>2526.8000000000002</c:v>
                </c:pt>
                <c:pt idx="306">
                  <c:v>2673.7</c:v>
                </c:pt>
                <c:pt idx="307">
                  <c:v>2664.7</c:v>
                </c:pt>
                <c:pt idx="308">
                  <c:v>2544.9</c:v>
                </c:pt>
                <c:pt idx="309">
                  <c:v>2424.1</c:v>
                </c:pt>
                <c:pt idx="310">
                  <c:v>2360.5</c:v>
                </c:pt>
                <c:pt idx="311">
                  <c:v>2386</c:v>
                </c:pt>
                <c:pt idx="312">
                  <c:v>2370.6999999999998</c:v>
                </c:pt>
                <c:pt idx="313">
                  <c:v>2367.8000000000002</c:v>
                </c:pt>
                <c:pt idx="314">
                  <c:v>2325.9</c:v>
                </c:pt>
                <c:pt idx="315">
                  <c:v>2286.1999999999998</c:v>
                </c:pt>
                <c:pt idx="316">
                  <c:v>2218.6</c:v>
                </c:pt>
                <c:pt idx="317">
                  <c:v>2196.1</c:v>
                </c:pt>
                <c:pt idx="318">
                  <c:v>2114.1</c:v>
                </c:pt>
                <c:pt idx="319">
                  <c:v>2171.8000000000002</c:v>
                </c:pt>
                <c:pt idx="320">
                  <c:v>2198</c:v>
                </c:pt>
                <c:pt idx="321">
                  <c:v>2248.6999999999998</c:v>
                </c:pt>
                <c:pt idx="322">
                  <c:v>2164</c:v>
                </c:pt>
                <c:pt idx="323">
                  <c:v>2228.1999999999998</c:v>
                </c:pt>
                <c:pt idx="324">
                  <c:v>2227.8000000000002</c:v>
                </c:pt>
                <c:pt idx="325">
                  <c:v>2154.9</c:v>
                </c:pt>
                <c:pt idx="326">
                  <c:v>2113.1999999999998</c:v>
                </c:pt>
                <c:pt idx="327">
                  <c:v>2029.7</c:v>
                </c:pt>
                <c:pt idx="328">
                  <c:v>2091.3000000000002</c:v>
                </c:pt>
                <c:pt idx="329">
                  <c:v>2904.3</c:v>
                </c:pt>
                <c:pt idx="330">
                  <c:v>2083.3000000000002</c:v>
                </c:pt>
                <c:pt idx="331">
                  <c:v>1981</c:v>
                </c:pt>
                <c:pt idx="332">
                  <c:v>1981.4</c:v>
                </c:pt>
                <c:pt idx="333">
                  <c:v>2006.5</c:v>
                </c:pt>
                <c:pt idx="334">
                  <c:v>1867.1</c:v>
                </c:pt>
                <c:pt idx="335">
                  <c:v>1881.1</c:v>
                </c:pt>
                <c:pt idx="336">
                  <c:v>1784.7</c:v>
                </c:pt>
                <c:pt idx="337">
                  <c:v>1857.4</c:v>
                </c:pt>
                <c:pt idx="338">
                  <c:v>1833.8</c:v>
                </c:pt>
                <c:pt idx="339">
                  <c:v>1980.9</c:v>
                </c:pt>
                <c:pt idx="340">
                  <c:v>1967.7</c:v>
                </c:pt>
                <c:pt idx="341">
                  <c:v>2063.9</c:v>
                </c:pt>
                <c:pt idx="342">
                  <c:v>2003.5</c:v>
                </c:pt>
                <c:pt idx="343">
                  <c:v>1931.1</c:v>
                </c:pt>
                <c:pt idx="344">
                  <c:v>2021.2</c:v>
                </c:pt>
                <c:pt idx="345">
                  <c:v>2004.2</c:v>
                </c:pt>
                <c:pt idx="346">
                  <c:v>1980.1</c:v>
                </c:pt>
                <c:pt idx="347">
                  <c:v>2112</c:v>
                </c:pt>
                <c:pt idx="348">
                  <c:v>2244.4</c:v>
                </c:pt>
                <c:pt idx="349">
                  <c:v>2113.6</c:v>
                </c:pt>
                <c:pt idx="350">
                  <c:v>1953.7</c:v>
                </c:pt>
                <c:pt idx="351">
                  <c:v>2027.6</c:v>
                </c:pt>
                <c:pt idx="352">
                  <c:v>1919.8</c:v>
                </c:pt>
                <c:pt idx="353">
                  <c:v>1961.6</c:v>
                </c:pt>
                <c:pt idx="354">
                  <c:v>1837.1</c:v>
                </c:pt>
                <c:pt idx="355">
                  <c:v>1734.6</c:v>
                </c:pt>
                <c:pt idx="356">
                  <c:v>1737.4</c:v>
                </c:pt>
                <c:pt idx="357">
                  <c:v>1685.2</c:v>
                </c:pt>
                <c:pt idx="358">
                  <c:v>1674.5</c:v>
                </c:pt>
                <c:pt idx="359">
                  <c:v>1620.2</c:v>
                </c:pt>
                <c:pt idx="360">
                  <c:v>1536.5</c:v>
                </c:pt>
                <c:pt idx="361">
                  <c:v>1564.7</c:v>
                </c:pt>
              </c:numCache>
            </c:numRef>
          </c:val>
          <c:smooth val="0"/>
          <c:extLst>
            <c:ext xmlns:c16="http://schemas.microsoft.com/office/drawing/2014/chart" uri="{C3380CC4-5D6E-409C-BE32-E72D297353CC}">
              <c16:uniqueId val="{00000001-C164-0744-B432-03E0C68022C9}"/>
            </c:ext>
          </c:extLst>
        </c:ser>
        <c:dLbls>
          <c:showLegendKey val="0"/>
          <c:showVal val="0"/>
          <c:showCatName val="0"/>
          <c:showSerName val="0"/>
          <c:showPercent val="0"/>
          <c:showBubbleSize val="0"/>
        </c:dLbls>
        <c:marker val="1"/>
        <c:smooth val="0"/>
        <c:axId val="459757888"/>
        <c:axId val="459755440"/>
      </c:lineChart>
      <c:dateAx>
        <c:axId val="337030720"/>
        <c:scaling>
          <c:orientation val="minMax"/>
        </c:scaling>
        <c:delete val="0"/>
        <c:axPos val="b"/>
        <c:numFmt formatCode="[$-809]dd\ mmmm\ 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337032368"/>
        <c:crosses val="autoZero"/>
        <c:auto val="1"/>
        <c:lblOffset val="100"/>
        <c:baseTimeUnit val="days"/>
      </c:dateAx>
      <c:valAx>
        <c:axId val="33703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337030720"/>
        <c:crosses val="autoZero"/>
        <c:crossBetween val="between"/>
      </c:valAx>
      <c:valAx>
        <c:axId val="459755440"/>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59757888"/>
        <c:crosses val="max"/>
        <c:crossBetween val="between"/>
      </c:valAx>
      <c:dateAx>
        <c:axId val="459757888"/>
        <c:scaling>
          <c:orientation val="minMax"/>
        </c:scaling>
        <c:delete val="1"/>
        <c:axPos val="b"/>
        <c:numFmt formatCode="[$-809]dd\ mmmm\ yyyy;@" sourceLinked="1"/>
        <c:majorTickMark val="out"/>
        <c:minorTickMark val="none"/>
        <c:tickLblPos val="nextTo"/>
        <c:crossAx val="459755440"/>
        <c:crosses val="autoZero"/>
        <c:auto val="1"/>
        <c:lblOffset val="100"/>
        <c:baseTimeUnit val="days"/>
      </c:date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tx1"/>
              </a:solidFill>
              <a:latin typeface="+mn-lt"/>
              <a:ea typeface="+mn-ea"/>
              <a:cs typeface="+mn-cs"/>
            </a:defRPr>
          </a:pPr>
          <a:endParaRPr lang="zh-HK"/>
        </a:p>
      </c:txPr>
    </c:title>
    <c:autoTitleDeleted val="0"/>
    <c:plotArea>
      <c:layout/>
      <c:pieChart>
        <c:varyColors val="1"/>
        <c:ser>
          <c:idx val="0"/>
          <c:order val="0"/>
          <c:tx>
            <c:strRef>
              <c:f>'ASX200 pipe'!$B$1</c:f>
              <c:strCache>
                <c:ptCount val="1"/>
                <c:pt idx="0">
                  <c:v>Index Weight (%) of The Countries/regions distribution of constituent stocks of ASX200 </c:v>
                </c:pt>
              </c:strCache>
            </c:strRef>
          </c:tx>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095A-544B-A42B-3237B6DA3B42}"/>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095A-544B-A42B-3237B6DA3B42}"/>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095A-544B-A42B-3237B6DA3B42}"/>
              </c:ext>
            </c:extLst>
          </c:dPt>
          <c:dPt>
            <c:idx val="3"/>
            <c:bubble3D val="0"/>
            <c:spPr>
              <a:solidFill>
                <a:schemeClr val="lt1"/>
              </a:solidFill>
              <a:ln w="19050">
                <a:solidFill>
                  <a:schemeClr val="accent1"/>
                </a:solidFill>
              </a:ln>
              <a:effectLst/>
            </c:spPr>
            <c:extLst>
              <c:ext xmlns:c16="http://schemas.microsoft.com/office/drawing/2014/chart" uri="{C3380CC4-5D6E-409C-BE32-E72D297353CC}">
                <c16:uniqueId val="{00000007-095A-544B-A42B-3237B6DA3B42}"/>
              </c:ext>
            </c:extLst>
          </c:dPt>
          <c:dPt>
            <c:idx val="4"/>
            <c:bubble3D val="0"/>
            <c:spPr>
              <a:solidFill>
                <a:schemeClr val="lt1"/>
              </a:solidFill>
              <a:ln w="19050">
                <a:solidFill>
                  <a:schemeClr val="accent1"/>
                </a:solidFill>
              </a:ln>
              <a:effectLst/>
            </c:spPr>
            <c:extLst>
              <c:ext xmlns:c16="http://schemas.microsoft.com/office/drawing/2014/chart" uri="{C3380CC4-5D6E-409C-BE32-E72D297353CC}">
                <c16:uniqueId val="{00000009-095A-544B-A42B-3237B6DA3B42}"/>
              </c:ext>
            </c:extLst>
          </c:dPt>
          <c:dPt>
            <c:idx val="5"/>
            <c:bubble3D val="0"/>
            <c:spPr>
              <a:solidFill>
                <a:schemeClr val="lt1"/>
              </a:solidFill>
              <a:ln w="19050">
                <a:solidFill>
                  <a:schemeClr val="accent1"/>
                </a:solidFill>
              </a:ln>
              <a:effectLst/>
            </c:spPr>
            <c:extLst>
              <c:ext xmlns:c16="http://schemas.microsoft.com/office/drawing/2014/chart" uri="{C3380CC4-5D6E-409C-BE32-E72D297353CC}">
                <c16:uniqueId val="{0000000B-095A-544B-A42B-3237B6DA3B42}"/>
              </c:ext>
            </c:extLst>
          </c:dPt>
          <c:dPt>
            <c:idx val="6"/>
            <c:bubble3D val="0"/>
            <c:spPr>
              <a:solidFill>
                <a:schemeClr val="lt1"/>
              </a:solidFill>
              <a:ln w="19050">
                <a:solidFill>
                  <a:schemeClr val="accent1"/>
                </a:solidFill>
              </a:ln>
              <a:effectLst/>
            </c:spPr>
            <c:extLst>
              <c:ext xmlns:c16="http://schemas.microsoft.com/office/drawing/2014/chart" uri="{C3380CC4-5D6E-409C-BE32-E72D297353CC}">
                <c16:uniqueId val="{0000000D-095A-544B-A42B-3237B6DA3B42}"/>
              </c:ext>
            </c:extLst>
          </c:dPt>
          <c:dPt>
            <c:idx val="7"/>
            <c:bubble3D val="0"/>
            <c:spPr>
              <a:solidFill>
                <a:schemeClr val="lt1"/>
              </a:solidFill>
              <a:ln w="19050">
                <a:solidFill>
                  <a:schemeClr val="accent1"/>
                </a:solidFill>
              </a:ln>
              <a:effectLst/>
            </c:spPr>
            <c:extLst>
              <c:ext xmlns:c16="http://schemas.microsoft.com/office/drawing/2014/chart" uri="{C3380CC4-5D6E-409C-BE32-E72D297353CC}">
                <c16:uniqueId val="{0000000F-095A-544B-A42B-3237B6DA3B42}"/>
              </c:ext>
            </c:extLst>
          </c:dPt>
          <c:dPt>
            <c:idx val="8"/>
            <c:bubble3D val="0"/>
            <c:spPr>
              <a:solidFill>
                <a:schemeClr val="lt1"/>
              </a:solidFill>
              <a:ln w="19050">
                <a:solidFill>
                  <a:schemeClr val="accent1"/>
                </a:solidFill>
              </a:ln>
              <a:effectLst/>
            </c:spPr>
            <c:extLst>
              <c:ext xmlns:c16="http://schemas.microsoft.com/office/drawing/2014/chart" uri="{C3380CC4-5D6E-409C-BE32-E72D297353CC}">
                <c16:uniqueId val="{00000011-095A-544B-A42B-3237B6DA3B42}"/>
              </c:ext>
            </c:extLst>
          </c:dPt>
          <c:dPt>
            <c:idx val="9"/>
            <c:bubble3D val="0"/>
            <c:spPr>
              <a:solidFill>
                <a:schemeClr val="lt1"/>
              </a:solidFill>
              <a:ln w="19050">
                <a:solidFill>
                  <a:schemeClr val="accent1"/>
                </a:solidFill>
              </a:ln>
              <a:effectLst/>
            </c:spPr>
            <c:extLst>
              <c:ext xmlns:c16="http://schemas.microsoft.com/office/drawing/2014/chart" uri="{C3380CC4-5D6E-409C-BE32-E72D297353CC}">
                <c16:uniqueId val="{00000013-095A-544B-A42B-3237B6DA3B42}"/>
              </c:ext>
            </c:extLst>
          </c:dPt>
          <c:dPt>
            <c:idx val="10"/>
            <c:bubble3D val="0"/>
            <c:spPr>
              <a:solidFill>
                <a:schemeClr val="lt1"/>
              </a:solidFill>
              <a:ln w="19050">
                <a:solidFill>
                  <a:schemeClr val="accent1"/>
                </a:solidFill>
              </a:ln>
              <a:effectLst/>
            </c:spPr>
            <c:extLst>
              <c:ext xmlns:c16="http://schemas.microsoft.com/office/drawing/2014/chart" uri="{C3380CC4-5D6E-409C-BE32-E72D297353CC}">
                <c16:uniqueId val="{00000015-095A-544B-A42B-3237B6DA3B42}"/>
              </c:ext>
            </c:extLst>
          </c:dPt>
          <c:dLbls>
            <c:spPr>
              <a:noFill/>
              <a:ln>
                <a:noFill/>
              </a:ln>
              <a:effectLst/>
            </c:spPr>
            <c:txPr>
              <a:bodyPr rot="0" spcFirstLastPara="1" vertOverflow="ellipsis" vert="horz" wrap="square" anchor="ctr" anchorCtr="1"/>
              <a:lstStyle/>
              <a:p>
                <a:pPr>
                  <a:defRPr sz="900" b="1" i="0" u="none" strike="noStrike" kern="1200" baseline="0">
                    <a:solidFill>
                      <a:schemeClr val="tx1"/>
                    </a:solidFill>
                    <a:latin typeface="+mn-lt"/>
                    <a:ea typeface="+mn-ea"/>
                    <a:cs typeface="+mn-cs"/>
                  </a:defRPr>
                </a:pPr>
                <a:endParaRPr lang="zh-HK"/>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'ASX200 pipe'!$A$2:$A$12</c:f>
              <c:strCache>
                <c:ptCount val="8"/>
                <c:pt idx="0">
                  <c:v>Financials</c:v>
                </c:pt>
                <c:pt idx="1">
                  <c:v>Materials</c:v>
                </c:pt>
                <c:pt idx="2">
                  <c:v>Health Care </c:v>
                </c:pt>
                <c:pt idx="3">
                  <c:v>Consumer Discretionary</c:v>
                </c:pt>
                <c:pt idx="4">
                  <c:v>Real Estate</c:v>
                </c:pt>
                <c:pt idx="5">
                  <c:v>Energy </c:v>
                </c:pt>
                <c:pt idx="6">
                  <c:v>Industrials</c:v>
                </c:pt>
                <c:pt idx="7">
                  <c:v>Others (&lt; 5%)</c:v>
                </c:pt>
              </c:strCache>
            </c:strRef>
          </c:cat>
          <c:val>
            <c:numRef>
              <c:f>'ASX200 pipe'!$B$2:$B$12</c:f>
              <c:numCache>
                <c:formatCode>General</c:formatCode>
                <c:ptCount val="11"/>
                <c:pt idx="0">
                  <c:v>28.4</c:v>
                </c:pt>
                <c:pt idx="1">
                  <c:v>25.4</c:v>
                </c:pt>
                <c:pt idx="2">
                  <c:v>9.6999999999999993</c:v>
                </c:pt>
                <c:pt idx="3">
                  <c:v>6.3</c:v>
                </c:pt>
                <c:pt idx="4">
                  <c:v>6.2</c:v>
                </c:pt>
                <c:pt idx="5">
                  <c:v>5.9</c:v>
                </c:pt>
                <c:pt idx="6">
                  <c:v>5.7</c:v>
                </c:pt>
                <c:pt idx="7">
                  <c:v>12.6</c:v>
                </c:pt>
              </c:numCache>
            </c:numRef>
          </c:val>
          <c:extLst>
            <c:ext xmlns:c16="http://schemas.microsoft.com/office/drawing/2014/chart" uri="{C3380CC4-5D6E-409C-BE32-E72D297353CC}">
              <c16:uniqueId val="{00000016-095A-544B-A42B-3237B6DA3B42}"/>
            </c:ext>
          </c:extLst>
        </c:ser>
        <c:dLbls>
          <c:dLblPos val="inEnd"/>
          <c:showLegendKey val="0"/>
          <c:showVal val="0"/>
          <c:showCatName val="1"/>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a:lstStyle/>
    <a:p>
      <a:pPr>
        <a:defRPr>
          <a:solidFill>
            <a:schemeClr val="tx1"/>
          </a:solidFill>
        </a:defRPr>
      </a:pPr>
      <a:endParaRPr lang="zh-HK"/>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200"/>
              <a:t>Weighting OF</a:t>
            </a:r>
            <a:r>
              <a:rPr lang="en-US" sz="1200" baseline="0"/>
              <a:t> COMPONENT STOCKS OF HANG SENG INDEX</a:t>
            </a:r>
            <a:r>
              <a:rPr lang="en-US" sz="1200"/>
              <a:t>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zh-HK"/>
        </a:p>
      </c:txPr>
    </c:title>
    <c:autoTitleDeleted val="0"/>
    <c:plotArea>
      <c:layout/>
      <c:pieChart>
        <c:varyColors val="1"/>
        <c:ser>
          <c:idx val="0"/>
          <c:order val="0"/>
          <c:tx>
            <c:strRef>
              <c:f>工作表1!$O$1</c:f>
              <c:strCache>
                <c:ptCount val="1"/>
                <c:pt idx="0">
                  <c:v>Weighting  (in %) </c:v>
                </c:pt>
              </c:strCache>
            </c:strRef>
          </c:tx>
          <c:dPt>
            <c:idx val="0"/>
            <c:bubble3D val="0"/>
            <c:spPr>
              <a:pattFill prst="pct5">
                <a:fgClr>
                  <a:schemeClr val="tx1"/>
                </a:fgClr>
                <a:bgClr>
                  <a:schemeClr val="bg1"/>
                </a:bgClr>
              </a:pattFill>
              <a:ln>
                <a:solidFill>
                  <a:schemeClr val="tx1"/>
                </a:solid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D458-A544-8065-DDAD5209EF46}"/>
              </c:ext>
            </c:extLst>
          </c:dPt>
          <c:dPt>
            <c:idx val="1"/>
            <c:bubble3D val="0"/>
            <c:spPr>
              <a:solidFill>
                <a:schemeClr val="tx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D458-A544-8065-DDAD5209EF46}"/>
              </c:ext>
            </c:extLst>
          </c:dPt>
          <c:dPt>
            <c:idx val="2"/>
            <c:bubble3D val="0"/>
            <c:spPr>
              <a:solidFill>
                <a:schemeClr val="bg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D458-A544-8065-DDAD5209EF46}"/>
              </c:ext>
            </c:extLst>
          </c:dPt>
          <c:dPt>
            <c:idx val="3"/>
            <c:bubble3D val="0"/>
            <c:spPr>
              <a:pattFill prst="lgCheck">
                <a:fgClr>
                  <a:schemeClr val="tx1"/>
                </a:fgClr>
                <a:bgClr>
                  <a:schemeClr val="bg1"/>
                </a:bgClr>
              </a:patt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D458-A544-8065-DDAD5209EF46}"/>
              </c:ext>
            </c:extLst>
          </c:dPt>
          <c:dPt>
            <c:idx val="4"/>
            <c:bubble3D val="0"/>
            <c:spPr>
              <a:pattFill prst="wdDnDiag">
                <a:fgClr>
                  <a:schemeClr val="tx1"/>
                </a:fgClr>
                <a:bgClr>
                  <a:schemeClr val="bg1"/>
                </a:bgClr>
              </a:patt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D458-A544-8065-DDAD5209EF4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zh-HK"/>
                </a:p>
              </c:txPr>
              <c:dLblPos val="outEnd"/>
              <c:showLegendKey val="0"/>
              <c:showVal val="0"/>
              <c:showCatName val="1"/>
              <c:showSerName val="0"/>
              <c:showPercent val="1"/>
              <c:showBubbleSize val="0"/>
              <c:extLst>
                <c:ext xmlns:c16="http://schemas.microsoft.com/office/drawing/2014/chart" uri="{C3380CC4-5D6E-409C-BE32-E72D297353CC}">
                  <c16:uniqueId val="{00000001-D458-A544-8065-DDAD5209EF4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zh-HK"/>
                </a:p>
              </c:txPr>
              <c:dLblPos val="outEnd"/>
              <c:showLegendKey val="0"/>
              <c:showVal val="0"/>
              <c:showCatName val="1"/>
              <c:showSerName val="0"/>
              <c:showPercent val="1"/>
              <c:showBubbleSize val="0"/>
              <c:extLst>
                <c:ext xmlns:c16="http://schemas.microsoft.com/office/drawing/2014/chart" uri="{C3380CC4-5D6E-409C-BE32-E72D297353CC}">
                  <c16:uniqueId val="{00000003-D458-A544-8065-DDAD5209EF46}"/>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zh-HK"/>
                </a:p>
              </c:txPr>
              <c:dLblPos val="outEnd"/>
              <c:showLegendKey val="0"/>
              <c:showVal val="0"/>
              <c:showCatName val="1"/>
              <c:showSerName val="0"/>
              <c:showPercent val="1"/>
              <c:showBubbleSize val="0"/>
              <c:extLst>
                <c:ext xmlns:c16="http://schemas.microsoft.com/office/drawing/2014/chart" uri="{C3380CC4-5D6E-409C-BE32-E72D297353CC}">
                  <c16:uniqueId val="{00000005-D458-A544-8065-DDAD5209EF46}"/>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zh-HK"/>
                </a:p>
              </c:txPr>
              <c:dLblPos val="outEnd"/>
              <c:showLegendKey val="0"/>
              <c:showVal val="0"/>
              <c:showCatName val="1"/>
              <c:showSerName val="0"/>
              <c:showPercent val="1"/>
              <c:showBubbleSize val="0"/>
              <c:extLst>
                <c:ext xmlns:c16="http://schemas.microsoft.com/office/drawing/2014/chart" uri="{C3380CC4-5D6E-409C-BE32-E72D297353CC}">
                  <c16:uniqueId val="{00000007-D458-A544-8065-DDAD5209EF46}"/>
                </c:ext>
              </c:extLst>
            </c:dLbl>
            <c:dLbl>
              <c:idx val="4"/>
              <c:layout>
                <c:manualLayout>
                  <c:x val="6.615214994487321E-3"/>
                  <c:y val="2.6255333114538891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zh-HK"/>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D458-A544-8065-DDAD5209EF46}"/>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tx1"/>
                    </a:solidFill>
                    <a:latin typeface="+mn-lt"/>
                    <a:ea typeface="+mn-ea"/>
                    <a:cs typeface="+mn-cs"/>
                  </a:defRPr>
                </a:pPr>
                <a:endParaRPr lang="zh-HK"/>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工作表1!$N$2:$N$6</c:f>
              <c:strCache>
                <c:ptCount val="5"/>
                <c:pt idx="0">
                  <c:v>Others (each &lt;4%)</c:v>
                </c:pt>
                <c:pt idx="1">
                  <c:v>Information Technology</c:v>
                </c:pt>
                <c:pt idx="2">
                  <c:v>Financials</c:v>
                </c:pt>
                <c:pt idx="3">
                  <c:v>Consumer Discretionary</c:v>
                </c:pt>
                <c:pt idx="4">
                  <c:v>Properties &amp; Constructions</c:v>
                </c:pt>
              </c:strCache>
            </c:strRef>
          </c:cat>
          <c:val>
            <c:numRef>
              <c:f>工作表1!$O$2:$O$6</c:f>
              <c:numCache>
                <c:formatCode>General</c:formatCode>
                <c:ptCount val="5"/>
                <c:pt idx="0">
                  <c:v>14.48</c:v>
                </c:pt>
                <c:pt idx="1">
                  <c:v>30.07</c:v>
                </c:pt>
                <c:pt idx="2">
                  <c:v>34.03</c:v>
                </c:pt>
                <c:pt idx="3">
                  <c:v>9.17</c:v>
                </c:pt>
                <c:pt idx="4">
                  <c:v>4.95</c:v>
                </c:pt>
              </c:numCache>
            </c:numRef>
          </c:val>
          <c:extLst>
            <c:ext xmlns:c16="http://schemas.microsoft.com/office/drawing/2014/chart" uri="{C3380CC4-5D6E-409C-BE32-E72D297353CC}">
              <c16:uniqueId val="{0000000A-D458-A544-8065-DDAD5209EF46}"/>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Inflation rate, average consumer prices (Annual percent change)</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manualLayout>
          <c:layoutTarget val="inner"/>
          <c:xMode val="edge"/>
          <c:yMode val="edge"/>
          <c:x val="3.4637476673797275E-2"/>
          <c:y val="0.21229553124041314"/>
          <c:w val="0.92915573535667473"/>
          <c:h val="0.66404683505470918"/>
        </c:manualLayout>
      </c:layout>
      <c:lineChart>
        <c:grouping val="standard"/>
        <c:varyColors val="0"/>
        <c:ser>
          <c:idx val="0"/>
          <c:order val="0"/>
          <c:tx>
            <c:strRef>
              <c:f>PCPIPCH!$A$2</c:f>
              <c:strCache>
                <c:ptCount val="1"/>
                <c:pt idx="0">
                  <c:v>Australia</c:v>
                </c:pt>
              </c:strCache>
            </c:strRef>
          </c:tx>
          <c:spPr>
            <a:ln w="28575" cap="rnd">
              <a:solidFill>
                <a:schemeClr val="tx1"/>
              </a:solidFill>
              <a:prstDash val="lgDash"/>
              <a:round/>
            </a:ln>
            <a:effectLst/>
          </c:spPr>
          <c:marker>
            <c:symbol val="none"/>
          </c:marker>
          <c:cat>
            <c:numRef>
              <c:f>PCPIPCH!$B$1:$AF$1</c:f>
              <c:numCache>
                <c:formatCode>General</c:formatCode>
                <c:ptCount val="31"/>
                <c:pt idx="0">
                  <c:v>1992</c:v>
                </c:pt>
                <c:pt idx="1">
                  <c:v>1993</c:v>
                </c:pt>
                <c:pt idx="2">
                  <c:v>1994</c:v>
                </c:pt>
                <c:pt idx="3">
                  <c:v>1995</c:v>
                </c:pt>
                <c:pt idx="4">
                  <c:v>1996</c:v>
                </c:pt>
                <c:pt idx="5">
                  <c:v>1997</c:v>
                </c:pt>
                <c:pt idx="6">
                  <c:v>1998</c:v>
                </c:pt>
                <c:pt idx="7">
                  <c:v>1999</c:v>
                </c:pt>
                <c:pt idx="8">
                  <c:v>2000</c:v>
                </c:pt>
                <c:pt idx="9">
                  <c:v>2001</c:v>
                </c:pt>
                <c:pt idx="10">
                  <c:v>2002</c:v>
                </c:pt>
                <c:pt idx="11">
                  <c:v>2003</c:v>
                </c:pt>
                <c:pt idx="12">
                  <c:v>2004</c:v>
                </c:pt>
                <c:pt idx="13">
                  <c:v>2005</c:v>
                </c:pt>
                <c:pt idx="14">
                  <c:v>2006</c:v>
                </c:pt>
                <c:pt idx="15">
                  <c:v>2007</c:v>
                </c:pt>
                <c:pt idx="16">
                  <c:v>2008</c:v>
                </c:pt>
                <c:pt idx="17">
                  <c:v>2009</c:v>
                </c:pt>
                <c:pt idx="18">
                  <c:v>2010</c:v>
                </c:pt>
                <c:pt idx="19">
                  <c:v>2011</c:v>
                </c:pt>
                <c:pt idx="20">
                  <c:v>2012</c:v>
                </c:pt>
                <c:pt idx="21">
                  <c:v>2013</c:v>
                </c:pt>
                <c:pt idx="22">
                  <c:v>2014</c:v>
                </c:pt>
                <c:pt idx="23">
                  <c:v>2015</c:v>
                </c:pt>
                <c:pt idx="24">
                  <c:v>2016</c:v>
                </c:pt>
                <c:pt idx="25">
                  <c:v>2017</c:v>
                </c:pt>
                <c:pt idx="26">
                  <c:v>2018</c:v>
                </c:pt>
                <c:pt idx="27">
                  <c:v>2019</c:v>
                </c:pt>
                <c:pt idx="28">
                  <c:v>2020</c:v>
                </c:pt>
                <c:pt idx="29">
                  <c:v>2021</c:v>
                </c:pt>
                <c:pt idx="30">
                  <c:v>2022</c:v>
                </c:pt>
              </c:numCache>
            </c:numRef>
          </c:cat>
          <c:val>
            <c:numRef>
              <c:f>PCPIPCH!$B$2:$AF$2</c:f>
              <c:numCache>
                <c:formatCode>General</c:formatCode>
                <c:ptCount val="31"/>
                <c:pt idx="0">
                  <c:v>1</c:v>
                </c:pt>
                <c:pt idx="1">
                  <c:v>1.8</c:v>
                </c:pt>
                <c:pt idx="2">
                  <c:v>1.9</c:v>
                </c:pt>
                <c:pt idx="3">
                  <c:v>4.5999999999999996</c:v>
                </c:pt>
                <c:pt idx="4">
                  <c:v>2.7</c:v>
                </c:pt>
                <c:pt idx="5">
                  <c:v>0.2</c:v>
                </c:pt>
                <c:pt idx="6">
                  <c:v>0.9</c:v>
                </c:pt>
                <c:pt idx="7">
                  <c:v>1.4</c:v>
                </c:pt>
                <c:pt idx="8">
                  <c:v>4.5</c:v>
                </c:pt>
                <c:pt idx="9">
                  <c:v>4.4000000000000004</c:v>
                </c:pt>
                <c:pt idx="10">
                  <c:v>3</c:v>
                </c:pt>
                <c:pt idx="11">
                  <c:v>2.7</c:v>
                </c:pt>
                <c:pt idx="12">
                  <c:v>2.2999999999999998</c:v>
                </c:pt>
                <c:pt idx="13">
                  <c:v>2.7</c:v>
                </c:pt>
                <c:pt idx="14">
                  <c:v>3.6</c:v>
                </c:pt>
                <c:pt idx="15">
                  <c:v>2.4</c:v>
                </c:pt>
                <c:pt idx="16">
                  <c:v>4.3</c:v>
                </c:pt>
                <c:pt idx="17">
                  <c:v>1.8</c:v>
                </c:pt>
                <c:pt idx="18">
                  <c:v>2.9</c:v>
                </c:pt>
                <c:pt idx="19">
                  <c:v>3.4</c:v>
                </c:pt>
                <c:pt idx="20">
                  <c:v>1.7</c:v>
                </c:pt>
                <c:pt idx="21">
                  <c:v>2.5</c:v>
                </c:pt>
                <c:pt idx="22">
                  <c:v>2.5</c:v>
                </c:pt>
                <c:pt idx="23">
                  <c:v>1.5</c:v>
                </c:pt>
                <c:pt idx="24">
                  <c:v>1.3</c:v>
                </c:pt>
                <c:pt idx="25">
                  <c:v>2</c:v>
                </c:pt>
                <c:pt idx="26">
                  <c:v>1.9</c:v>
                </c:pt>
                <c:pt idx="27">
                  <c:v>1.6</c:v>
                </c:pt>
                <c:pt idx="28">
                  <c:v>0.9</c:v>
                </c:pt>
                <c:pt idx="29">
                  <c:v>2.8</c:v>
                </c:pt>
                <c:pt idx="30">
                  <c:v>6.5</c:v>
                </c:pt>
              </c:numCache>
            </c:numRef>
          </c:val>
          <c:smooth val="0"/>
          <c:extLst>
            <c:ext xmlns:c16="http://schemas.microsoft.com/office/drawing/2014/chart" uri="{C3380CC4-5D6E-409C-BE32-E72D297353CC}">
              <c16:uniqueId val="{00000000-59DF-4A40-B98F-AE6D43DC8C08}"/>
            </c:ext>
          </c:extLst>
        </c:ser>
        <c:ser>
          <c:idx val="1"/>
          <c:order val="1"/>
          <c:tx>
            <c:strRef>
              <c:f>PCPIPCH!$A$3</c:f>
              <c:strCache>
                <c:ptCount val="1"/>
                <c:pt idx="0">
                  <c:v>Hong Kong SAR</c:v>
                </c:pt>
              </c:strCache>
            </c:strRef>
          </c:tx>
          <c:spPr>
            <a:ln w="28575" cap="rnd">
              <a:solidFill>
                <a:schemeClr val="tx1"/>
              </a:solidFill>
              <a:prstDash val="dash"/>
              <a:round/>
            </a:ln>
            <a:effectLst/>
          </c:spPr>
          <c:marker>
            <c:symbol val="none"/>
          </c:marker>
          <c:dPt>
            <c:idx val="29"/>
            <c:marker>
              <c:symbol val="none"/>
            </c:marker>
            <c:bubble3D val="0"/>
            <c:spPr>
              <a:ln w="28575" cap="rnd">
                <a:solidFill>
                  <a:schemeClr val="tx1"/>
                </a:solidFill>
                <a:prstDash val="sysDot"/>
                <a:round/>
              </a:ln>
              <a:effectLst/>
            </c:spPr>
            <c:extLst>
              <c:ext xmlns:c16="http://schemas.microsoft.com/office/drawing/2014/chart" uri="{C3380CC4-5D6E-409C-BE32-E72D297353CC}">
                <c16:uniqueId val="{00000002-59DF-4A40-B98F-AE6D43DC8C08}"/>
              </c:ext>
            </c:extLst>
          </c:dPt>
          <c:cat>
            <c:numRef>
              <c:f>PCPIPCH!$B$1:$AF$1</c:f>
              <c:numCache>
                <c:formatCode>General</c:formatCode>
                <c:ptCount val="31"/>
                <c:pt idx="0">
                  <c:v>1992</c:v>
                </c:pt>
                <c:pt idx="1">
                  <c:v>1993</c:v>
                </c:pt>
                <c:pt idx="2">
                  <c:v>1994</c:v>
                </c:pt>
                <c:pt idx="3">
                  <c:v>1995</c:v>
                </c:pt>
                <c:pt idx="4">
                  <c:v>1996</c:v>
                </c:pt>
                <c:pt idx="5">
                  <c:v>1997</c:v>
                </c:pt>
                <c:pt idx="6">
                  <c:v>1998</c:v>
                </c:pt>
                <c:pt idx="7">
                  <c:v>1999</c:v>
                </c:pt>
                <c:pt idx="8">
                  <c:v>2000</c:v>
                </c:pt>
                <c:pt idx="9">
                  <c:v>2001</c:v>
                </c:pt>
                <c:pt idx="10">
                  <c:v>2002</c:v>
                </c:pt>
                <c:pt idx="11">
                  <c:v>2003</c:v>
                </c:pt>
                <c:pt idx="12">
                  <c:v>2004</c:v>
                </c:pt>
                <c:pt idx="13">
                  <c:v>2005</c:v>
                </c:pt>
                <c:pt idx="14">
                  <c:v>2006</c:v>
                </c:pt>
                <c:pt idx="15">
                  <c:v>2007</c:v>
                </c:pt>
                <c:pt idx="16">
                  <c:v>2008</c:v>
                </c:pt>
                <c:pt idx="17">
                  <c:v>2009</c:v>
                </c:pt>
                <c:pt idx="18">
                  <c:v>2010</c:v>
                </c:pt>
                <c:pt idx="19">
                  <c:v>2011</c:v>
                </c:pt>
                <c:pt idx="20">
                  <c:v>2012</c:v>
                </c:pt>
                <c:pt idx="21">
                  <c:v>2013</c:v>
                </c:pt>
                <c:pt idx="22">
                  <c:v>2014</c:v>
                </c:pt>
                <c:pt idx="23">
                  <c:v>2015</c:v>
                </c:pt>
                <c:pt idx="24">
                  <c:v>2016</c:v>
                </c:pt>
                <c:pt idx="25">
                  <c:v>2017</c:v>
                </c:pt>
                <c:pt idx="26">
                  <c:v>2018</c:v>
                </c:pt>
                <c:pt idx="27">
                  <c:v>2019</c:v>
                </c:pt>
                <c:pt idx="28">
                  <c:v>2020</c:v>
                </c:pt>
                <c:pt idx="29">
                  <c:v>2021</c:v>
                </c:pt>
                <c:pt idx="30">
                  <c:v>2022</c:v>
                </c:pt>
              </c:numCache>
            </c:numRef>
          </c:cat>
          <c:val>
            <c:numRef>
              <c:f>PCPIPCH!$B$3:$AF$3</c:f>
              <c:numCache>
                <c:formatCode>General</c:formatCode>
                <c:ptCount val="31"/>
                <c:pt idx="0">
                  <c:v>9.6</c:v>
                </c:pt>
                <c:pt idx="1">
                  <c:v>8.8000000000000007</c:v>
                </c:pt>
                <c:pt idx="2">
                  <c:v>8.8000000000000007</c:v>
                </c:pt>
                <c:pt idx="3">
                  <c:v>9</c:v>
                </c:pt>
                <c:pt idx="4">
                  <c:v>6.3</c:v>
                </c:pt>
                <c:pt idx="5">
                  <c:v>5.8</c:v>
                </c:pt>
                <c:pt idx="6">
                  <c:v>2.8</c:v>
                </c:pt>
                <c:pt idx="7">
                  <c:v>-4</c:v>
                </c:pt>
                <c:pt idx="8">
                  <c:v>-3.7</c:v>
                </c:pt>
                <c:pt idx="9">
                  <c:v>-1.6</c:v>
                </c:pt>
                <c:pt idx="10">
                  <c:v>-3</c:v>
                </c:pt>
                <c:pt idx="11">
                  <c:v>-2.6</c:v>
                </c:pt>
                <c:pt idx="12">
                  <c:v>-0.4</c:v>
                </c:pt>
                <c:pt idx="13">
                  <c:v>0.9</c:v>
                </c:pt>
                <c:pt idx="14">
                  <c:v>2</c:v>
                </c:pt>
                <c:pt idx="15">
                  <c:v>2</c:v>
                </c:pt>
                <c:pt idx="16">
                  <c:v>4.3</c:v>
                </c:pt>
                <c:pt idx="17">
                  <c:v>0.6</c:v>
                </c:pt>
                <c:pt idx="18">
                  <c:v>2.2999999999999998</c:v>
                </c:pt>
                <c:pt idx="19">
                  <c:v>5.3</c:v>
                </c:pt>
                <c:pt idx="20">
                  <c:v>4.0999999999999996</c:v>
                </c:pt>
                <c:pt idx="21">
                  <c:v>4.3</c:v>
                </c:pt>
                <c:pt idx="22">
                  <c:v>4.4000000000000004</c:v>
                </c:pt>
                <c:pt idx="23">
                  <c:v>3</c:v>
                </c:pt>
                <c:pt idx="24">
                  <c:v>2.4</c:v>
                </c:pt>
                <c:pt idx="25">
                  <c:v>1.5</c:v>
                </c:pt>
                <c:pt idx="26">
                  <c:v>2.4</c:v>
                </c:pt>
                <c:pt idx="27">
                  <c:v>2.9</c:v>
                </c:pt>
                <c:pt idx="28">
                  <c:v>0.3</c:v>
                </c:pt>
                <c:pt idx="29">
                  <c:v>1.6</c:v>
                </c:pt>
                <c:pt idx="30">
                  <c:v>1.9</c:v>
                </c:pt>
              </c:numCache>
            </c:numRef>
          </c:val>
          <c:smooth val="0"/>
          <c:extLst>
            <c:ext xmlns:c16="http://schemas.microsoft.com/office/drawing/2014/chart" uri="{C3380CC4-5D6E-409C-BE32-E72D297353CC}">
              <c16:uniqueId val="{00000003-59DF-4A40-B98F-AE6D43DC8C08}"/>
            </c:ext>
          </c:extLst>
        </c:ser>
        <c:ser>
          <c:idx val="2"/>
          <c:order val="2"/>
          <c:tx>
            <c:strRef>
              <c:f>PCPIPCH!$A$4</c:f>
              <c:strCache>
                <c:ptCount val="1"/>
                <c:pt idx="0">
                  <c:v>World</c:v>
                </c:pt>
              </c:strCache>
            </c:strRef>
          </c:tx>
          <c:spPr>
            <a:ln w="28575" cap="rnd">
              <a:solidFill>
                <a:schemeClr val="tx1"/>
              </a:solidFill>
              <a:round/>
            </a:ln>
            <a:effectLst/>
          </c:spPr>
          <c:marker>
            <c:symbol val="none"/>
          </c:marker>
          <c:cat>
            <c:numRef>
              <c:f>PCPIPCH!$B$1:$AF$1</c:f>
              <c:numCache>
                <c:formatCode>General</c:formatCode>
                <c:ptCount val="31"/>
                <c:pt idx="0">
                  <c:v>1992</c:v>
                </c:pt>
                <c:pt idx="1">
                  <c:v>1993</c:v>
                </c:pt>
                <c:pt idx="2">
                  <c:v>1994</c:v>
                </c:pt>
                <c:pt idx="3">
                  <c:v>1995</c:v>
                </c:pt>
                <c:pt idx="4">
                  <c:v>1996</c:v>
                </c:pt>
                <c:pt idx="5">
                  <c:v>1997</c:v>
                </c:pt>
                <c:pt idx="6">
                  <c:v>1998</c:v>
                </c:pt>
                <c:pt idx="7">
                  <c:v>1999</c:v>
                </c:pt>
                <c:pt idx="8">
                  <c:v>2000</c:v>
                </c:pt>
                <c:pt idx="9">
                  <c:v>2001</c:v>
                </c:pt>
                <c:pt idx="10">
                  <c:v>2002</c:v>
                </c:pt>
                <c:pt idx="11">
                  <c:v>2003</c:v>
                </c:pt>
                <c:pt idx="12">
                  <c:v>2004</c:v>
                </c:pt>
                <c:pt idx="13">
                  <c:v>2005</c:v>
                </c:pt>
                <c:pt idx="14">
                  <c:v>2006</c:v>
                </c:pt>
                <c:pt idx="15">
                  <c:v>2007</c:v>
                </c:pt>
                <c:pt idx="16">
                  <c:v>2008</c:v>
                </c:pt>
                <c:pt idx="17">
                  <c:v>2009</c:v>
                </c:pt>
                <c:pt idx="18">
                  <c:v>2010</c:v>
                </c:pt>
                <c:pt idx="19">
                  <c:v>2011</c:v>
                </c:pt>
                <c:pt idx="20">
                  <c:v>2012</c:v>
                </c:pt>
                <c:pt idx="21">
                  <c:v>2013</c:v>
                </c:pt>
                <c:pt idx="22">
                  <c:v>2014</c:v>
                </c:pt>
                <c:pt idx="23">
                  <c:v>2015</c:v>
                </c:pt>
                <c:pt idx="24">
                  <c:v>2016</c:v>
                </c:pt>
                <c:pt idx="25">
                  <c:v>2017</c:v>
                </c:pt>
                <c:pt idx="26">
                  <c:v>2018</c:v>
                </c:pt>
                <c:pt idx="27">
                  <c:v>2019</c:v>
                </c:pt>
                <c:pt idx="28">
                  <c:v>2020</c:v>
                </c:pt>
                <c:pt idx="29">
                  <c:v>2021</c:v>
                </c:pt>
                <c:pt idx="30">
                  <c:v>2022</c:v>
                </c:pt>
              </c:numCache>
            </c:numRef>
          </c:cat>
          <c:val>
            <c:numRef>
              <c:f>PCPIPCH!$B$4:$AF$4</c:f>
              <c:numCache>
                <c:formatCode>General</c:formatCode>
                <c:ptCount val="31"/>
                <c:pt idx="0">
                  <c:v>38.4</c:v>
                </c:pt>
                <c:pt idx="1">
                  <c:v>39.4</c:v>
                </c:pt>
                <c:pt idx="2">
                  <c:v>31.1</c:v>
                </c:pt>
                <c:pt idx="3">
                  <c:v>16.100000000000001</c:v>
                </c:pt>
                <c:pt idx="4">
                  <c:v>9.3000000000000007</c:v>
                </c:pt>
                <c:pt idx="5">
                  <c:v>6.5</c:v>
                </c:pt>
                <c:pt idx="6">
                  <c:v>6.3</c:v>
                </c:pt>
                <c:pt idx="7">
                  <c:v>6.2</c:v>
                </c:pt>
                <c:pt idx="8">
                  <c:v>4.8</c:v>
                </c:pt>
                <c:pt idx="9">
                  <c:v>4.5999999999999996</c:v>
                </c:pt>
                <c:pt idx="10">
                  <c:v>3.7</c:v>
                </c:pt>
                <c:pt idx="11">
                  <c:v>3.9</c:v>
                </c:pt>
                <c:pt idx="12">
                  <c:v>3.8</c:v>
                </c:pt>
                <c:pt idx="13">
                  <c:v>4</c:v>
                </c:pt>
                <c:pt idx="14">
                  <c:v>4</c:v>
                </c:pt>
                <c:pt idx="15">
                  <c:v>4.3</c:v>
                </c:pt>
                <c:pt idx="16">
                  <c:v>6.3</c:v>
                </c:pt>
                <c:pt idx="17">
                  <c:v>2.8</c:v>
                </c:pt>
                <c:pt idx="18">
                  <c:v>3.7</c:v>
                </c:pt>
                <c:pt idx="19">
                  <c:v>5.0999999999999996</c:v>
                </c:pt>
                <c:pt idx="20">
                  <c:v>4.0999999999999996</c:v>
                </c:pt>
                <c:pt idx="21">
                  <c:v>3.6</c:v>
                </c:pt>
                <c:pt idx="22">
                  <c:v>3.2</c:v>
                </c:pt>
                <c:pt idx="23">
                  <c:v>2.7</c:v>
                </c:pt>
                <c:pt idx="24">
                  <c:v>2.7</c:v>
                </c:pt>
                <c:pt idx="25">
                  <c:v>3.3</c:v>
                </c:pt>
                <c:pt idx="26">
                  <c:v>3.6</c:v>
                </c:pt>
                <c:pt idx="27">
                  <c:v>3.5</c:v>
                </c:pt>
                <c:pt idx="28">
                  <c:v>3.2</c:v>
                </c:pt>
                <c:pt idx="29">
                  <c:v>4.7</c:v>
                </c:pt>
                <c:pt idx="30">
                  <c:v>8.8000000000000007</c:v>
                </c:pt>
              </c:numCache>
            </c:numRef>
          </c:val>
          <c:smooth val="0"/>
          <c:extLst>
            <c:ext xmlns:c16="http://schemas.microsoft.com/office/drawing/2014/chart" uri="{C3380CC4-5D6E-409C-BE32-E72D297353CC}">
              <c16:uniqueId val="{00000004-59DF-4A40-B98F-AE6D43DC8C08}"/>
            </c:ext>
          </c:extLst>
        </c:ser>
        <c:dLbls>
          <c:showLegendKey val="0"/>
          <c:showVal val="0"/>
          <c:showCatName val="0"/>
          <c:showSerName val="0"/>
          <c:showPercent val="0"/>
          <c:showBubbleSize val="0"/>
        </c:dLbls>
        <c:smooth val="0"/>
        <c:axId val="586209488"/>
        <c:axId val="586436480"/>
      </c:lineChart>
      <c:catAx>
        <c:axId val="586209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86436480"/>
        <c:crosses val="autoZero"/>
        <c:auto val="1"/>
        <c:lblAlgn val="ctr"/>
        <c:lblOffset val="100"/>
        <c:noMultiLvlLbl val="0"/>
      </c:catAx>
      <c:valAx>
        <c:axId val="586436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86209488"/>
        <c:crosses val="autoZero"/>
        <c:crossBetween val="between"/>
      </c:valAx>
      <c:spPr>
        <a:noFill/>
        <a:ln>
          <a:solidFill>
            <a:schemeClr val="accent2"/>
          </a:solidFill>
          <a:prstDash val="sysDash"/>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Goods and sevices credit</a:t>
            </a:r>
            <a:r>
              <a:rPr lang="en-US" altLang="zh-TW" baseline="0"/>
              <a:t>s (exports) </a:t>
            </a:r>
            <a:r>
              <a:rPr lang="en-US" altLang="zh-TW"/>
              <a:t>Seasonally Adjusted (A$m)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lineChart>
        <c:grouping val="standard"/>
        <c:varyColors val="0"/>
        <c:ser>
          <c:idx val="0"/>
          <c:order val="0"/>
          <c:tx>
            <c:strRef>
              <c:f>Sheet1!$B$1</c:f>
              <c:strCache>
                <c:ptCount val="1"/>
                <c:pt idx="0">
                  <c:v>Seasonally Adjusted ($m)</c:v>
                </c:pt>
              </c:strCache>
            </c:strRef>
          </c:tx>
          <c:spPr>
            <a:ln w="28575" cap="rnd">
              <a:solidFill>
                <a:schemeClr val="dk1">
                  <a:tint val="88500"/>
                </a:schemeClr>
              </a:solidFill>
              <a:round/>
            </a:ln>
            <a:effectLst/>
          </c:spPr>
          <c:marker>
            <c:symbol val="none"/>
          </c:marker>
          <c:cat>
            <c:strRef>
              <c:f>Sheet1!$A$2:$A$50</c:f>
              <c:strCache>
                <c:ptCount val="49"/>
                <c:pt idx="0">
                  <c:v>Dec-18</c:v>
                </c:pt>
                <c:pt idx="1">
                  <c:v>Jan-19</c:v>
                </c:pt>
                <c:pt idx="2">
                  <c:v>Feb-19</c:v>
                </c:pt>
                <c:pt idx="3">
                  <c:v>Mar-19</c:v>
                </c:pt>
                <c:pt idx="4">
                  <c:v>Apr-19</c:v>
                </c:pt>
                <c:pt idx="5">
                  <c:v>May-19</c:v>
                </c:pt>
                <c:pt idx="6">
                  <c:v>Jun-19</c:v>
                </c:pt>
                <c:pt idx="7">
                  <c:v>Jul-19</c:v>
                </c:pt>
                <c:pt idx="8">
                  <c:v>Aug-19</c:v>
                </c:pt>
                <c:pt idx="9">
                  <c:v>Sep-19</c:v>
                </c:pt>
                <c:pt idx="10">
                  <c:v>Oct-19</c:v>
                </c:pt>
                <c:pt idx="11">
                  <c:v>Nov-19</c:v>
                </c:pt>
                <c:pt idx="12">
                  <c:v>Dec-19</c:v>
                </c:pt>
                <c:pt idx="13">
                  <c:v>Jan-20</c:v>
                </c:pt>
                <c:pt idx="14">
                  <c:v>Feb-20</c:v>
                </c:pt>
                <c:pt idx="15">
                  <c:v>Mar-20</c:v>
                </c:pt>
                <c:pt idx="16">
                  <c:v>Apr-20</c:v>
                </c:pt>
                <c:pt idx="17">
                  <c:v>May-20</c:v>
                </c:pt>
                <c:pt idx="18">
                  <c:v>Jun-20</c:v>
                </c:pt>
                <c:pt idx="19">
                  <c:v>Jul-20</c:v>
                </c:pt>
                <c:pt idx="20">
                  <c:v>Aug-20</c:v>
                </c:pt>
                <c:pt idx="21">
                  <c:v>Sep-20</c:v>
                </c:pt>
                <c:pt idx="22">
                  <c:v>Oct-20</c:v>
                </c:pt>
                <c:pt idx="23">
                  <c:v>Nov-20</c:v>
                </c:pt>
                <c:pt idx="24">
                  <c:v>Dec-20</c:v>
                </c:pt>
                <c:pt idx="25">
                  <c:v>Jan-21</c:v>
                </c:pt>
                <c:pt idx="26">
                  <c:v>Feb-21</c:v>
                </c:pt>
                <c:pt idx="27">
                  <c:v>Mar-21</c:v>
                </c:pt>
                <c:pt idx="28">
                  <c:v>Apr-21</c:v>
                </c:pt>
                <c:pt idx="29">
                  <c:v>May-21</c:v>
                </c:pt>
                <c:pt idx="30">
                  <c:v>Jun-21</c:v>
                </c:pt>
                <c:pt idx="31">
                  <c:v>Jul-21</c:v>
                </c:pt>
                <c:pt idx="32">
                  <c:v>Aug-21</c:v>
                </c:pt>
                <c:pt idx="33">
                  <c:v>Sep-21</c:v>
                </c:pt>
                <c:pt idx="34">
                  <c:v>Oct-21</c:v>
                </c:pt>
                <c:pt idx="35">
                  <c:v>Nov-21</c:v>
                </c:pt>
                <c:pt idx="36">
                  <c:v>Dec-21</c:v>
                </c:pt>
                <c:pt idx="37">
                  <c:v>Jan-22</c:v>
                </c:pt>
                <c:pt idx="38">
                  <c:v>Feb-22</c:v>
                </c:pt>
                <c:pt idx="39">
                  <c:v>Mar-22</c:v>
                </c:pt>
                <c:pt idx="40">
                  <c:v>Apr-22</c:v>
                </c:pt>
                <c:pt idx="41">
                  <c:v>May-22</c:v>
                </c:pt>
                <c:pt idx="42">
                  <c:v>Jun-22</c:v>
                </c:pt>
                <c:pt idx="43">
                  <c:v>Jul-22</c:v>
                </c:pt>
                <c:pt idx="44">
                  <c:v>Aug-22</c:v>
                </c:pt>
                <c:pt idx="45">
                  <c:v>Sep-22</c:v>
                </c:pt>
                <c:pt idx="46">
                  <c:v>Oct-22</c:v>
                </c:pt>
                <c:pt idx="47">
                  <c:v>Nov-22</c:v>
                </c:pt>
                <c:pt idx="48">
                  <c:v>Dec-22</c:v>
                </c:pt>
              </c:strCache>
            </c:strRef>
          </c:cat>
          <c:val>
            <c:numRef>
              <c:f>Sheet1!$B$2:$B$50</c:f>
              <c:numCache>
                <c:formatCode>#,##0</c:formatCode>
                <c:ptCount val="49"/>
                <c:pt idx="0">
                  <c:v>30245</c:v>
                </c:pt>
                <c:pt idx="1">
                  <c:v>31519</c:v>
                </c:pt>
                <c:pt idx="2">
                  <c:v>31632</c:v>
                </c:pt>
                <c:pt idx="3">
                  <c:v>30517</c:v>
                </c:pt>
                <c:pt idx="4">
                  <c:v>31725</c:v>
                </c:pt>
                <c:pt idx="5">
                  <c:v>33856</c:v>
                </c:pt>
                <c:pt idx="6">
                  <c:v>33753</c:v>
                </c:pt>
                <c:pt idx="7">
                  <c:v>35647</c:v>
                </c:pt>
                <c:pt idx="8">
                  <c:v>33133</c:v>
                </c:pt>
                <c:pt idx="9">
                  <c:v>33364</c:v>
                </c:pt>
                <c:pt idx="10">
                  <c:v>31388</c:v>
                </c:pt>
                <c:pt idx="11">
                  <c:v>31966</c:v>
                </c:pt>
                <c:pt idx="12">
                  <c:v>32203</c:v>
                </c:pt>
                <c:pt idx="13">
                  <c:v>30705</c:v>
                </c:pt>
                <c:pt idx="14">
                  <c:v>28939</c:v>
                </c:pt>
                <c:pt idx="15">
                  <c:v>34369</c:v>
                </c:pt>
                <c:pt idx="16">
                  <c:v>31826</c:v>
                </c:pt>
                <c:pt idx="17">
                  <c:v>29219</c:v>
                </c:pt>
                <c:pt idx="18">
                  <c:v>29149</c:v>
                </c:pt>
                <c:pt idx="19">
                  <c:v>29258</c:v>
                </c:pt>
                <c:pt idx="20">
                  <c:v>27755</c:v>
                </c:pt>
                <c:pt idx="21">
                  <c:v>28521</c:v>
                </c:pt>
                <c:pt idx="22">
                  <c:v>30344</c:v>
                </c:pt>
                <c:pt idx="23">
                  <c:v>30974</c:v>
                </c:pt>
                <c:pt idx="24">
                  <c:v>33607</c:v>
                </c:pt>
                <c:pt idx="25">
                  <c:v>34565</c:v>
                </c:pt>
                <c:pt idx="26">
                  <c:v>34915</c:v>
                </c:pt>
                <c:pt idx="27">
                  <c:v>34787</c:v>
                </c:pt>
                <c:pt idx="28">
                  <c:v>35664</c:v>
                </c:pt>
                <c:pt idx="29">
                  <c:v>37278</c:v>
                </c:pt>
                <c:pt idx="30">
                  <c:v>38323</c:v>
                </c:pt>
                <c:pt idx="31">
                  <c:v>42309</c:v>
                </c:pt>
                <c:pt idx="32">
                  <c:v>41769</c:v>
                </c:pt>
                <c:pt idx="33">
                  <c:v>38398</c:v>
                </c:pt>
                <c:pt idx="34">
                  <c:v>38460</c:v>
                </c:pt>
                <c:pt idx="35">
                  <c:v>40597</c:v>
                </c:pt>
                <c:pt idx="36">
                  <c:v>41552</c:v>
                </c:pt>
                <c:pt idx="37">
                  <c:v>45163</c:v>
                </c:pt>
                <c:pt idx="38">
                  <c:v>45483</c:v>
                </c:pt>
                <c:pt idx="39">
                  <c:v>45664</c:v>
                </c:pt>
                <c:pt idx="40">
                  <c:v>48216</c:v>
                </c:pt>
                <c:pt idx="41">
                  <c:v>52300</c:v>
                </c:pt>
                <c:pt idx="42">
                  <c:v>54768</c:v>
                </c:pt>
                <c:pt idx="43">
                  <c:v>48352</c:v>
                </c:pt>
                <c:pt idx="44">
                  <c:v>49892</c:v>
                </c:pt>
                <c:pt idx="45">
                  <c:v>53347</c:v>
                </c:pt>
                <c:pt idx="46">
                  <c:v>52297</c:v>
                </c:pt>
                <c:pt idx="47">
                  <c:v>51331</c:v>
                </c:pt>
                <c:pt idx="48">
                  <c:v>50565</c:v>
                </c:pt>
              </c:numCache>
            </c:numRef>
          </c:val>
          <c:smooth val="0"/>
          <c:extLst>
            <c:ext xmlns:c16="http://schemas.microsoft.com/office/drawing/2014/chart" uri="{C3380CC4-5D6E-409C-BE32-E72D297353CC}">
              <c16:uniqueId val="{00000000-0AE2-F246-8783-D47AFDB949DB}"/>
            </c:ext>
          </c:extLst>
        </c:ser>
        <c:dLbls>
          <c:showLegendKey val="0"/>
          <c:showVal val="0"/>
          <c:showCatName val="0"/>
          <c:showSerName val="0"/>
          <c:showPercent val="0"/>
          <c:showBubbleSize val="0"/>
        </c:dLbls>
        <c:smooth val="0"/>
        <c:axId val="450966992"/>
        <c:axId val="450968672"/>
      </c:lineChart>
      <c:catAx>
        <c:axId val="450966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50968672"/>
        <c:crosses val="autoZero"/>
        <c:auto val="1"/>
        <c:lblAlgn val="ctr"/>
        <c:lblOffset val="100"/>
        <c:noMultiLvlLbl val="0"/>
      </c:catAx>
      <c:valAx>
        <c:axId val="4509686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4509669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TW"/>
              <a:t>Real GDP growth (Annual percent change)</a:t>
            </a:r>
            <a:endParaRPr lang="zh-TW"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HK"/>
        </a:p>
      </c:txPr>
    </c:title>
    <c:autoTitleDeleted val="0"/>
    <c:plotArea>
      <c:layout/>
      <c:lineChart>
        <c:grouping val="standard"/>
        <c:varyColors val="0"/>
        <c:ser>
          <c:idx val="0"/>
          <c:order val="0"/>
          <c:tx>
            <c:strRef>
              <c:f>NGDP_RPCH!$A$2</c:f>
              <c:strCache>
                <c:ptCount val="1"/>
                <c:pt idx="0">
                  <c:v>Australia</c:v>
                </c:pt>
              </c:strCache>
            </c:strRef>
          </c:tx>
          <c:spPr>
            <a:ln w="28575" cap="rnd">
              <a:solidFill>
                <a:schemeClr val="tx1"/>
              </a:solidFill>
              <a:prstDash val="dash"/>
              <a:round/>
            </a:ln>
            <a:effectLst/>
          </c:spPr>
          <c:marker>
            <c:symbol val="none"/>
          </c:marker>
          <c:cat>
            <c:numRef>
              <c:f>NGDP_RPCH!$B$1:$AF$1</c:f>
              <c:numCache>
                <c:formatCode>General</c:formatCode>
                <c:ptCount val="31"/>
                <c:pt idx="0">
                  <c:v>1992</c:v>
                </c:pt>
                <c:pt idx="1">
                  <c:v>1993</c:v>
                </c:pt>
                <c:pt idx="2">
                  <c:v>1994</c:v>
                </c:pt>
                <c:pt idx="3">
                  <c:v>1995</c:v>
                </c:pt>
                <c:pt idx="4">
                  <c:v>1996</c:v>
                </c:pt>
                <c:pt idx="5">
                  <c:v>1997</c:v>
                </c:pt>
                <c:pt idx="6">
                  <c:v>1998</c:v>
                </c:pt>
                <c:pt idx="7">
                  <c:v>1999</c:v>
                </c:pt>
                <c:pt idx="8">
                  <c:v>2000</c:v>
                </c:pt>
                <c:pt idx="9">
                  <c:v>2001</c:v>
                </c:pt>
                <c:pt idx="10">
                  <c:v>2002</c:v>
                </c:pt>
                <c:pt idx="11">
                  <c:v>2003</c:v>
                </c:pt>
                <c:pt idx="12">
                  <c:v>2004</c:v>
                </c:pt>
                <c:pt idx="13">
                  <c:v>2005</c:v>
                </c:pt>
                <c:pt idx="14">
                  <c:v>2006</c:v>
                </c:pt>
                <c:pt idx="15">
                  <c:v>2007</c:v>
                </c:pt>
                <c:pt idx="16">
                  <c:v>2008</c:v>
                </c:pt>
                <c:pt idx="17">
                  <c:v>2009</c:v>
                </c:pt>
                <c:pt idx="18">
                  <c:v>2010</c:v>
                </c:pt>
                <c:pt idx="19">
                  <c:v>2011</c:v>
                </c:pt>
                <c:pt idx="20">
                  <c:v>2012</c:v>
                </c:pt>
                <c:pt idx="21">
                  <c:v>2013</c:v>
                </c:pt>
                <c:pt idx="22">
                  <c:v>2014</c:v>
                </c:pt>
                <c:pt idx="23">
                  <c:v>2015</c:v>
                </c:pt>
                <c:pt idx="24">
                  <c:v>2016</c:v>
                </c:pt>
                <c:pt idx="25">
                  <c:v>2017</c:v>
                </c:pt>
                <c:pt idx="26">
                  <c:v>2018</c:v>
                </c:pt>
                <c:pt idx="27">
                  <c:v>2019</c:v>
                </c:pt>
                <c:pt idx="28">
                  <c:v>2020</c:v>
                </c:pt>
                <c:pt idx="29">
                  <c:v>2021</c:v>
                </c:pt>
                <c:pt idx="30">
                  <c:v>2022</c:v>
                </c:pt>
              </c:numCache>
            </c:numRef>
          </c:cat>
          <c:val>
            <c:numRef>
              <c:f>NGDP_RPCH!$B$2:$AF$2</c:f>
              <c:numCache>
                <c:formatCode>General</c:formatCode>
                <c:ptCount val="31"/>
                <c:pt idx="0">
                  <c:v>2.6</c:v>
                </c:pt>
                <c:pt idx="1">
                  <c:v>3.9</c:v>
                </c:pt>
                <c:pt idx="2">
                  <c:v>4.8</c:v>
                </c:pt>
                <c:pt idx="3">
                  <c:v>3</c:v>
                </c:pt>
                <c:pt idx="4">
                  <c:v>4</c:v>
                </c:pt>
                <c:pt idx="5">
                  <c:v>4.5999999999999996</c:v>
                </c:pt>
                <c:pt idx="6">
                  <c:v>4.5999999999999996</c:v>
                </c:pt>
                <c:pt idx="7">
                  <c:v>4.3</c:v>
                </c:pt>
                <c:pt idx="8">
                  <c:v>3.1</c:v>
                </c:pt>
                <c:pt idx="9">
                  <c:v>2.7</c:v>
                </c:pt>
                <c:pt idx="10">
                  <c:v>4.2</c:v>
                </c:pt>
                <c:pt idx="11">
                  <c:v>3</c:v>
                </c:pt>
                <c:pt idx="12">
                  <c:v>4.0999999999999996</c:v>
                </c:pt>
                <c:pt idx="13">
                  <c:v>3</c:v>
                </c:pt>
                <c:pt idx="14">
                  <c:v>2.6</c:v>
                </c:pt>
                <c:pt idx="15">
                  <c:v>4.4000000000000004</c:v>
                </c:pt>
                <c:pt idx="16">
                  <c:v>2.6</c:v>
                </c:pt>
                <c:pt idx="17">
                  <c:v>1.9</c:v>
                </c:pt>
                <c:pt idx="18">
                  <c:v>2.4</c:v>
                </c:pt>
                <c:pt idx="19">
                  <c:v>2.8</c:v>
                </c:pt>
                <c:pt idx="20">
                  <c:v>3.8</c:v>
                </c:pt>
                <c:pt idx="21">
                  <c:v>2.2000000000000002</c:v>
                </c:pt>
                <c:pt idx="22">
                  <c:v>2.6</c:v>
                </c:pt>
                <c:pt idx="23">
                  <c:v>2.2999999999999998</c:v>
                </c:pt>
                <c:pt idx="24">
                  <c:v>2.7</c:v>
                </c:pt>
                <c:pt idx="25">
                  <c:v>2.4</c:v>
                </c:pt>
                <c:pt idx="26">
                  <c:v>2.8</c:v>
                </c:pt>
                <c:pt idx="27">
                  <c:v>2</c:v>
                </c:pt>
                <c:pt idx="28">
                  <c:v>-2.1</c:v>
                </c:pt>
                <c:pt idx="29">
                  <c:v>4.9000000000000004</c:v>
                </c:pt>
                <c:pt idx="30">
                  <c:v>3.8</c:v>
                </c:pt>
              </c:numCache>
            </c:numRef>
          </c:val>
          <c:smooth val="0"/>
          <c:extLst>
            <c:ext xmlns:c16="http://schemas.microsoft.com/office/drawing/2014/chart" uri="{C3380CC4-5D6E-409C-BE32-E72D297353CC}">
              <c16:uniqueId val="{00000000-09EB-114A-9B7A-47A275DE5727}"/>
            </c:ext>
          </c:extLst>
        </c:ser>
        <c:ser>
          <c:idx val="1"/>
          <c:order val="1"/>
          <c:tx>
            <c:strRef>
              <c:f>NGDP_RPCH!$A$3</c:f>
              <c:strCache>
                <c:ptCount val="1"/>
                <c:pt idx="0">
                  <c:v>Hong Kong SAR</c:v>
                </c:pt>
              </c:strCache>
            </c:strRef>
          </c:tx>
          <c:spPr>
            <a:ln w="28575" cap="rnd">
              <a:solidFill>
                <a:schemeClr val="tx1"/>
              </a:solidFill>
              <a:round/>
            </a:ln>
            <a:effectLst/>
          </c:spPr>
          <c:marker>
            <c:symbol val="none"/>
          </c:marker>
          <c:cat>
            <c:numRef>
              <c:f>NGDP_RPCH!$B$1:$AF$1</c:f>
              <c:numCache>
                <c:formatCode>General</c:formatCode>
                <c:ptCount val="31"/>
                <c:pt idx="0">
                  <c:v>1992</c:v>
                </c:pt>
                <c:pt idx="1">
                  <c:v>1993</c:v>
                </c:pt>
                <c:pt idx="2">
                  <c:v>1994</c:v>
                </c:pt>
                <c:pt idx="3">
                  <c:v>1995</c:v>
                </c:pt>
                <c:pt idx="4">
                  <c:v>1996</c:v>
                </c:pt>
                <c:pt idx="5">
                  <c:v>1997</c:v>
                </c:pt>
                <c:pt idx="6">
                  <c:v>1998</c:v>
                </c:pt>
                <c:pt idx="7">
                  <c:v>1999</c:v>
                </c:pt>
                <c:pt idx="8">
                  <c:v>2000</c:v>
                </c:pt>
                <c:pt idx="9">
                  <c:v>2001</c:v>
                </c:pt>
                <c:pt idx="10">
                  <c:v>2002</c:v>
                </c:pt>
                <c:pt idx="11">
                  <c:v>2003</c:v>
                </c:pt>
                <c:pt idx="12">
                  <c:v>2004</c:v>
                </c:pt>
                <c:pt idx="13">
                  <c:v>2005</c:v>
                </c:pt>
                <c:pt idx="14">
                  <c:v>2006</c:v>
                </c:pt>
                <c:pt idx="15">
                  <c:v>2007</c:v>
                </c:pt>
                <c:pt idx="16">
                  <c:v>2008</c:v>
                </c:pt>
                <c:pt idx="17">
                  <c:v>2009</c:v>
                </c:pt>
                <c:pt idx="18">
                  <c:v>2010</c:v>
                </c:pt>
                <c:pt idx="19">
                  <c:v>2011</c:v>
                </c:pt>
                <c:pt idx="20">
                  <c:v>2012</c:v>
                </c:pt>
                <c:pt idx="21">
                  <c:v>2013</c:v>
                </c:pt>
                <c:pt idx="22">
                  <c:v>2014</c:v>
                </c:pt>
                <c:pt idx="23">
                  <c:v>2015</c:v>
                </c:pt>
                <c:pt idx="24">
                  <c:v>2016</c:v>
                </c:pt>
                <c:pt idx="25">
                  <c:v>2017</c:v>
                </c:pt>
                <c:pt idx="26">
                  <c:v>2018</c:v>
                </c:pt>
                <c:pt idx="27">
                  <c:v>2019</c:v>
                </c:pt>
                <c:pt idx="28">
                  <c:v>2020</c:v>
                </c:pt>
                <c:pt idx="29">
                  <c:v>2021</c:v>
                </c:pt>
                <c:pt idx="30">
                  <c:v>2022</c:v>
                </c:pt>
              </c:numCache>
            </c:numRef>
          </c:cat>
          <c:val>
            <c:numRef>
              <c:f>NGDP_RPCH!$B$3:$AF$3</c:f>
              <c:numCache>
                <c:formatCode>General</c:formatCode>
                <c:ptCount val="31"/>
                <c:pt idx="0">
                  <c:v>6.2</c:v>
                </c:pt>
                <c:pt idx="1">
                  <c:v>6.2</c:v>
                </c:pt>
                <c:pt idx="2">
                  <c:v>6</c:v>
                </c:pt>
                <c:pt idx="3">
                  <c:v>2.4</c:v>
                </c:pt>
                <c:pt idx="4">
                  <c:v>4.3</c:v>
                </c:pt>
                <c:pt idx="5">
                  <c:v>5.0999999999999996</c:v>
                </c:pt>
                <c:pt idx="6">
                  <c:v>-5.9</c:v>
                </c:pt>
                <c:pt idx="7">
                  <c:v>2.5</c:v>
                </c:pt>
                <c:pt idx="8">
                  <c:v>7.7</c:v>
                </c:pt>
                <c:pt idx="9">
                  <c:v>0.6</c:v>
                </c:pt>
                <c:pt idx="10">
                  <c:v>1.7</c:v>
                </c:pt>
                <c:pt idx="11">
                  <c:v>3.1</c:v>
                </c:pt>
                <c:pt idx="12">
                  <c:v>8.6999999999999993</c:v>
                </c:pt>
                <c:pt idx="13">
                  <c:v>7.4</c:v>
                </c:pt>
                <c:pt idx="14">
                  <c:v>7</c:v>
                </c:pt>
                <c:pt idx="15">
                  <c:v>6.5</c:v>
                </c:pt>
                <c:pt idx="16">
                  <c:v>2.1</c:v>
                </c:pt>
                <c:pt idx="17">
                  <c:v>-2.5</c:v>
                </c:pt>
                <c:pt idx="18">
                  <c:v>6.8</c:v>
                </c:pt>
                <c:pt idx="19">
                  <c:v>4.8</c:v>
                </c:pt>
                <c:pt idx="20">
                  <c:v>1.7</c:v>
                </c:pt>
                <c:pt idx="21">
                  <c:v>3.1</c:v>
                </c:pt>
                <c:pt idx="22">
                  <c:v>2.8</c:v>
                </c:pt>
                <c:pt idx="23">
                  <c:v>2.4</c:v>
                </c:pt>
                <c:pt idx="24">
                  <c:v>2.2000000000000002</c:v>
                </c:pt>
                <c:pt idx="25">
                  <c:v>3.8</c:v>
                </c:pt>
                <c:pt idx="26">
                  <c:v>2.8</c:v>
                </c:pt>
                <c:pt idx="27">
                  <c:v>-1.7</c:v>
                </c:pt>
                <c:pt idx="28">
                  <c:v>-6.5</c:v>
                </c:pt>
                <c:pt idx="29">
                  <c:v>6.3</c:v>
                </c:pt>
                <c:pt idx="30">
                  <c:v>-0.8</c:v>
                </c:pt>
              </c:numCache>
            </c:numRef>
          </c:val>
          <c:smooth val="0"/>
          <c:extLst>
            <c:ext xmlns:c16="http://schemas.microsoft.com/office/drawing/2014/chart" uri="{C3380CC4-5D6E-409C-BE32-E72D297353CC}">
              <c16:uniqueId val="{00000001-09EB-114A-9B7A-47A275DE5727}"/>
            </c:ext>
          </c:extLst>
        </c:ser>
        <c:ser>
          <c:idx val="2"/>
          <c:order val="2"/>
          <c:tx>
            <c:strRef>
              <c:f>NGDP_RPCH!$A$4</c:f>
              <c:strCache>
                <c:ptCount val="1"/>
                <c:pt idx="0">
                  <c:v>World</c:v>
                </c:pt>
              </c:strCache>
            </c:strRef>
          </c:tx>
          <c:spPr>
            <a:ln w="28575" cap="rnd">
              <a:solidFill>
                <a:schemeClr val="tx1"/>
              </a:solidFill>
              <a:prstDash val="lgDashDot"/>
              <a:round/>
            </a:ln>
            <a:effectLst/>
          </c:spPr>
          <c:marker>
            <c:symbol val="none"/>
          </c:marker>
          <c:cat>
            <c:numRef>
              <c:f>NGDP_RPCH!$B$1:$AF$1</c:f>
              <c:numCache>
                <c:formatCode>General</c:formatCode>
                <c:ptCount val="31"/>
                <c:pt idx="0">
                  <c:v>1992</c:v>
                </c:pt>
                <c:pt idx="1">
                  <c:v>1993</c:v>
                </c:pt>
                <c:pt idx="2">
                  <c:v>1994</c:v>
                </c:pt>
                <c:pt idx="3">
                  <c:v>1995</c:v>
                </c:pt>
                <c:pt idx="4">
                  <c:v>1996</c:v>
                </c:pt>
                <c:pt idx="5">
                  <c:v>1997</c:v>
                </c:pt>
                <c:pt idx="6">
                  <c:v>1998</c:v>
                </c:pt>
                <c:pt idx="7">
                  <c:v>1999</c:v>
                </c:pt>
                <c:pt idx="8">
                  <c:v>2000</c:v>
                </c:pt>
                <c:pt idx="9">
                  <c:v>2001</c:v>
                </c:pt>
                <c:pt idx="10">
                  <c:v>2002</c:v>
                </c:pt>
                <c:pt idx="11">
                  <c:v>2003</c:v>
                </c:pt>
                <c:pt idx="12">
                  <c:v>2004</c:v>
                </c:pt>
                <c:pt idx="13">
                  <c:v>2005</c:v>
                </c:pt>
                <c:pt idx="14">
                  <c:v>2006</c:v>
                </c:pt>
                <c:pt idx="15">
                  <c:v>2007</c:v>
                </c:pt>
                <c:pt idx="16">
                  <c:v>2008</c:v>
                </c:pt>
                <c:pt idx="17">
                  <c:v>2009</c:v>
                </c:pt>
                <c:pt idx="18">
                  <c:v>2010</c:v>
                </c:pt>
                <c:pt idx="19">
                  <c:v>2011</c:v>
                </c:pt>
                <c:pt idx="20">
                  <c:v>2012</c:v>
                </c:pt>
                <c:pt idx="21">
                  <c:v>2013</c:v>
                </c:pt>
                <c:pt idx="22">
                  <c:v>2014</c:v>
                </c:pt>
                <c:pt idx="23">
                  <c:v>2015</c:v>
                </c:pt>
                <c:pt idx="24">
                  <c:v>2016</c:v>
                </c:pt>
                <c:pt idx="25">
                  <c:v>2017</c:v>
                </c:pt>
                <c:pt idx="26">
                  <c:v>2018</c:v>
                </c:pt>
                <c:pt idx="27">
                  <c:v>2019</c:v>
                </c:pt>
                <c:pt idx="28">
                  <c:v>2020</c:v>
                </c:pt>
                <c:pt idx="29">
                  <c:v>2021</c:v>
                </c:pt>
                <c:pt idx="30">
                  <c:v>2022</c:v>
                </c:pt>
              </c:numCache>
            </c:numRef>
          </c:cat>
          <c:val>
            <c:numRef>
              <c:f>NGDP_RPCH!$B$4:$AF$4</c:f>
              <c:numCache>
                <c:formatCode>General</c:formatCode>
                <c:ptCount val="31"/>
                <c:pt idx="0">
                  <c:v>2.2999999999999998</c:v>
                </c:pt>
                <c:pt idx="1">
                  <c:v>2</c:v>
                </c:pt>
                <c:pt idx="2">
                  <c:v>3.2</c:v>
                </c:pt>
                <c:pt idx="3">
                  <c:v>3.4</c:v>
                </c:pt>
                <c:pt idx="4">
                  <c:v>3.9</c:v>
                </c:pt>
                <c:pt idx="5">
                  <c:v>4</c:v>
                </c:pt>
                <c:pt idx="6">
                  <c:v>2.6</c:v>
                </c:pt>
                <c:pt idx="7">
                  <c:v>3.5</c:v>
                </c:pt>
                <c:pt idx="8">
                  <c:v>4.8</c:v>
                </c:pt>
                <c:pt idx="9">
                  <c:v>2.5</c:v>
                </c:pt>
                <c:pt idx="10">
                  <c:v>2.9</c:v>
                </c:pt>
                <c:pt idx="11">
                  <c:v>4.3</c:v>
                </c:pt>
                <c:pt idx="12">
                  <c:v>5.4</c:v>
                </c:pt>
                <c:pt idx="13">
                  <c:v>4.9000000000000004</c:v>
                </c:pt>
                <c:pt idx="14">
                  <c:v>5.4</c:v>
                </c:pt>
                <c:pt idx="15">
                  <c:v>5.6</c:v>
                </c:pt>
                <c:pt idx="16">
                  <c:v>3.1</c:v>
                </c:pt>
                <c:pt idx="17">
                  <c:v>-0.1</c:v>
                </c:pt>
                <c:pt idx="18">
                  <c:v>5.4</c:v>
                </c:pt>
                <c:pt idx="19">
                  <c:v>4.3</c:v>
                </c:pt>
                <c:pt idx="20">
                  <c:v>3.5</c:v>
                </c:pt>
                <c:pt idx="21">
                  <c:v>3.4</c:v>
                </c:pt>
                <c:pt idx="22">
                  <c:v>3.5</c:v>
                </c:pt>
                <c:pt idx="23">
                  <c:v>3.4</c:v>
                </c:pt>
                <c:pt idx="24">
                  <c:v>3.3</c:v>
                </c:pt>
                <c:pt idx="25">
                  <c:v>3.8</c:v>
                </c:pt>
                <c:pt idx="26">
                  <c:v>3.6</c:v>
                </c:pt>
                <c:pt idx="27">
                  <c:v>2.8</c:v>
                </c:pt>
                <c:pt idx="28">
                  <c:v>-3</c:v>
                </c:pt>
                <c:pt idx="29">
                  <c:v>6</c:v>
                </c:pt>
                <c:pt idx="30">
                  <c:v>3.2</c:v>
                </c:pt>
              </c:numCache>
            </c:numRef>
          </c:val>
          <c:smooth val="0"/>
          <c:extLst>
            <c:ext xmlns:c16="http://schemas.microsoft.com/office/drawing/2014/chart" uri="{C3380CC4-5D6E-409C-BE32-E72D297353CC}">
              <c16:uniqueId val="{00000002-09EB-114A-9B7A-47A275DE5727}"/>
            </c:ext>
          </c:extLst>
        </c:ser>
        <c:dLbls>
          <c:showLegendKey val="0"/>
          <c:showVal val="0"/>
          <c:showCatName val="0"/>
          <c:showSerName val="0"/>
          <c:showPercent val="0"/>
          <c:showBubbleSize val="0"/>
        </c:dLbls>
        <c:smooth val="0"/>
        <c:axId val="588663072"/>
        <c:axId val="588664752"/>
      </c:lineChart>
      <c:catAx>
        <c:axId val="588663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88664752"/>
        <c:crosses val="autoZero"/>
        <c:auto val="1"/>
        <c:lblAlgn val="ctr"/>
        <c:lblOffset val="100"/>
        <c:noMultiLvlLbl val="0"/>
      </c:catAx>
      <c:valAx>
        <c:axId val="588664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crossAx val="588663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27B90B-D27C-1649-A044-2E24ECE25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35</Pages>
  <Words>5928</Words>
  <Characters>33790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39639</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YAT HEI AU YEUNG</cp:lastModifiedBy>
  <cp:revision>57</cp:revision>
  <cp:lastPrinted>2023-02-25T02:32:00Z</cp:lastPrinted>
  <dcterms:created xsi:type="dcterms:W3CDTF">2023-02-26T09:45:00Z</dcterms:created>
  <dcterms:modified xsi:type="dcterms:W3CDTF">2023-02-26T14:52:00Z</dcterms:modified>
</cp:coreProperties>
</file>