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B504814" w14:paraId="7A05970F" wp14:textId="7D3DACCF">
      <w:pPr>
        <w:spacing w:after="160" w:line="259" w:lineRule="auto"/>
        <w:jc w:val="center"/>
        <w:rPr>
          <w:rFonts w:ascii="Calibri" w:hAnsi="Calibri" w:eastAsia="Calibri" w:cs="Calibri"/>
          <w:b w:val="0"/>
          <w:bCs w:val="0"/>
          <w:i w:val="0"/>
          <w:iCs w:val="0"/>
          <w:noProof w:val="0"/>
          <w:color w:val="000000" w:themeColor="text1" w:themeTint="FF" w:themeShade="FF"/>
          <w:sz w:val="32"/>
          <w:szCs w:val="32"/>
          <w:lang w:val="en-GB"/>
        </w:rPr>
      </w:pPr>
      <w:r w:rsidRPr="2B504814" w:rsidR="1FF40869">
        <w:rPr>
          <w:rFonts w:ascii="Calibri" w:hAnsi="Calibri" w:eastAsia="Calibri" w:cs="Calibri"/>
          <w:b w:val="1"/>
          <w:bCs w:val="1"/>
          <w:i w:val="0"/>
          <w:iCs w:val="0"/>
          <w:noProof w:val="0"/>
          <w:color w:val="000000" w:themeColor="text1" w:themeTint="FF" w:themeShade="FF"/>
          <w:sz w:val="32"/>
          <w:szCs w:val="32"/>
          <w:lang w:val="en-GB"/>
        </w:rPr>
        <w:t>Assignment 2</w:t>
      </w:r>
    </w:p>
    <w:p xmlns:wp14="http://schemas.microsoft.com/office/word/2010/wordml" w:rsidP="2B504814" w14:paraId="2B433E8B" wp14:textId="09F4D0FE">
      <w:pPr>
        <w:spacing w:after="160" w:line="259" w:lineRule="auto"/>
        <w:jc w:val="center"/>
        <w:rPr>
          <w:rFonts w:ascii="Calibri" w:hAnsi="Calibri" w:eastAsia="Calibri" w:cs="Calibri"/>
          <w:b w:val="1"/>
          <w:bCs w:val="1"/>
          <w:i w:val="0"/>
          <w:iCs w:val="0"/>
          <w:noProof w:val="0"/>
          <w:color w:val="000000" w:themeColor="text1" w:themeTint="FF" w:themeShade="FF"/>
          <w:sz w:val="32"/>
          <w:szCs w:val="32"/>
          <w:lang w:val="en-GB"/>
        </w:rPr>
      </w:pPr>
      <w:r w:rsidRPr="2B504814" w:rsidR="1FF40869">
        <w:rPr>
          <w:rFonts w:ascii="Calibri" w:hAnsi="Calibri" w:eastAsia="Calibri" w:cs="Calibri"/>
          <w:b w:val="1"/>
          <w:bCs w:val="1"/>
          <w:i w:val="0"/>
          <w:iCs w:val="0"/>
          <w:noProof w:val="0"/>
          <w:color w:val="000000" w:themeColor="text1" w:themeTint="FF" w:themeShade="FF"/>
          <w:sz w:val="32"/>
          <w:szCs w:val="32"/>
          <w:lang w:val="en-GB"/>
        </w:rPr>
        <w:t>Public law</w:t>
      </w:r>
    </w:p>
    <w:p xmlns:wp14="http://schemas.microsoft.com/office/word/2010/wordml" w:rsidP="2B504814" w14:paraId="3B00604B" wp14:textId="343BCF62">
      <w:pPr>
        <w:spacing w:after="160" w:line="259" w:lineRule="auto"/>
        <w:jc w:val="center"/>
        <w:rPr>
          <w:rFonts w:ascii="Calibri" w:hAnsi="Calibri" w:eastAsia="Calibri" w:cs="Calibri"/>
          <w:b w:val="0"/>
          <w:bCs w:val="0"/>
          <w:i w:val="0"/>
          <w:iCs w:val="0"/>
          <w:noProof w:val="0"/>
          <w:color w:val="000000" w:themeColor="text1" w:themeTint="FF" w:themeShade="FF"/>
          <w:sz w:val="32"/>
          <w:szCs w:val="32"/>
          <w:lang w:val="en-GB"/>
        </w:rPr>
      </w:pPr>
      <w:r w:rsidRPr="2B504814" w:rsidR="1FF40869">
        <w:rPr>
          <w:rFonts w:ascii="Calibri" w:hAnsi="Calibri" w:eastAsia="Calibri" w:cs="Calibri"/>
          <w:b w:val="1"/>
          <w:bCs w:val="1"/>
          <w:i w:val="0"/>
          <w:iCs w:val="0"/>
          <w:noProof w:val="0"/>
          <w:color w:val="000000" w:themeColor="text1" w:themeTint="FF" w:themeShade="FF"/>
          <w:sz w:val="32"/>
          <w:szCs w:val="32"/>
          <w:lang w:val="en-GB"/>
        </w:rPr>
        <w:t>Submitted by:</w:t>
      </w:r>
    </w:p>
    <w:p xmlns:wp14="http://schemas.microsoft.com/office/word/2010/wordml" w:rsidP="2B504814" w14:paraId="46D1060A" wp14:textId="5F5B5527">
      <w:pPr>
        <w:spacing w:after="160" w:line="259" w:lineRule="auto"/>
        <w:jc w:val="center"/>
        <w:rPr>
          <w:rFonts w:ascii="Calibri" w:hAnsi="Calibri" w:eastAsia="Calibri" w:cs="Calibri"/>
          <w:b w:val="0"/>
          <w:bCs w:val="0"/>
          <w:i w:val="0"/>
          <w:iCs w:val="0"/>
          <w:noProof w:val="0"/>
          <w:color w:val="000000" w:themeColor="text1" w:themeTint="FF" w:themeShade="FF"/>
          <w:sz w:val="32"/>
          <w:szCs w:val="32"/>
          <w:lang w:val="en-GB"/>
        </w:rPr>
      </w:pPr>
      <w:r w:rsidRPr="2B504814" w:rsidR="1FF40869">
        <w:rPr>
          <w:rFonts w:ascii="Calibri" w:hAnsi="Calibri" w:eastAsia="Calibri" w:cs="Calibri"/>
          <w:b w:val="1"/>
          <w:bCs w:val="1"/>
          <w:i w:val="0"/>
          <w:iCs w:val="0"/>
          <w:noProof w:val="0"/>
          <w:color w:val="000000" w:themeColor="text1" w:themeTint="FF" w:themeShade="FF"/>
          <w:sz w:val="32"/>
          <w:szCs w:val="32"/>
          <w:lang w:val="en-GB"/>
        </w:rPr>
        <w:t>Amar Haddouche</w:t>
      </w:r>
    </w:p>
    <w:p xmlns:wp14="http://schemas.microsoft.com/office/word/2010/wordml" w:rsidP="2B504814" w14:paraId="4FAF2933" wp14:textId="0F7797BD">
      <w:pPr>
        <w:spacing w:after="160" w:line="259" w:lineRule="auto"/>
        <w:jc w:val="center"/>
        <w:rPr>
          <w:rFonts w:ascii="Calibri" w:hAnsi="Calibri" w:eastAsia="Calibri" w:cs="Calibri"/>
          <w:b w:val="0"/>
          <w:bCs w:val="0"/>
          <w:i w:val="0"/>
          <w:iCs w:val="0"/>
          <w:noProof w:val="0"/>
          <w:color w:val="000000" w:themeColor="text1" w:themeTint="FF" w:themeShade="FF"/>
          <w:sz w:val="32"/>
          <w:szCs w:val="32"/>
          <w:lang w:val="en-GB"/>
        </w:rPr>
      </w:pPr>
      <w:r w:rsidRPr="2B504814" w:rsidR="1FF40869">
        <w:rPr>
          <w:rFonts w:ascii="Calibri" w:hAnsi="Calibri" w:eastAsia="Calibri" w:cs="Calibri"/>
          <w:b w:val="1"/>
          <w:bCs w:val="1"/>
          <w:i w:val="0"/>
          <w:iCs w:val="0"/>
          <w:noProof w:val="0"/>
          <w:color w:val="000000" w:themeColor="text1" w:themeTint="FF" w:themeShade="FF"/>
          <w:sz w:val="32"/>
          <w:szCs w:val="32"/>
          <w:lang w:val="en-GB"/>
        </w:rPr>
        <w:t>2017328</w:t>
      </w:r>
    </w:p>
    <w:p xmlns:wp14="http://schemas.microsoft.com/office/word/2010/wordml" w:rsidP="2B504814" w14:paraId="53AB2509" wp14:textId="249130F1">
      <w:pPr>
        <w:pStyle w:val="Normal"/>
        <w:jc w:val="center"/>
        <w:rPr>
          <w:rFonts w:ascii="Calibri" w:hAnsi="Calibri" w:eastAsia="Calibri" w:cs="Calibri"/>
          <w:noProof w:val="0"/>
          <w:sz w:val="22"/>
          <w:szCs w:val="22"/>
          <w:lang w:val="en-GB"/>
        </w:rPr>
      </w:pPr>
    </w:p>
    <w:p xmlns:wp14="http://schemas.microsoft.com/office/word/2010/wordml" w:rsidP="2B504814" w14:paraId="1DA7746C" wp14:textId="7F50EE85">
      <w:pPr>
        <w:pStyle w:val="Normal"/>
        <w:jc w:val="left"/>
        <w:rPr>
          <w:rFonts w:ascii="Calibri" w:hAnsi="Calibri" w:eastAsia="Calibri" w:cs="Calibri"/>
          <w:noProof w:val="0"/>
          <w:sz w:val="22"/>
          <w:szCs w:val="22"/>
          <w:lang w:val="en-GB"/>
        </w:rPr>
      </w:pPr>
      <w:r w:rsidRPr="2B504814" w:rsidR="037A7183">
        <w:rPr>
          <w:rFonts w:ascii="Calibri" w:hAnsi="Calibri" w:eastAsia="Calibri" w:cs="Calibri"/>
          <w:noProof w:val="0"/>
          <w:sz w:val="22"/>
          <w:szCs w:val="22"/>
          <w:lang w:val="en-GB"/>
        </w:rPr>
        <w:t>TASK 1:</w:t>
      </w:r>
    </w:p>
    <w:p xmlns:wp14="http://schemas.microsoft.com/office/word/2010/wordml" w:rsidP="2B504814" w14:paraId="5F23622D" wp14:textId="5C2CBACF">
      <w:pPr>
        <w:pStyle w:val="Normal"/>
      </w:pPr>
      <w:r w:rsidRPr="2B504814" w:rsidR="037A7183">
        <w:rPr>
          <w:rFonts w:ascii="Calibri" w:hAnsi="Calibri" w:eastAsia="Calibri" w:cs="Calibri"/>
          <w:noProof w:val="0"/>
          <w:sz w:val="22"/>
          <w:szCs w:val="22"/>
          <w:lang w:val="en-GB"/>
        </w:rPr>
        <w:t xml:space="preserve">Defamation happens when words of an untrue nature against another person or company that belittle or tarnish their reputation are published for a third party to view or verbally communicated. The publication or communication can serve to undermine the integrity and reputation of the subject and can lead to ridicule, contempt or mistrust which in turn, can have a severe impact on the wellbeing and security of an individual or business.[1] </w:t>
      </w:r>
    </w:p>
    <w:p xmlns:wp14="http://schemas.microsoft.com/office/word/2010/wordml" w:rsidP="2B504814" w14:paraId="327BFEE6" wp14:textId="0B4403CB">
      <w:pPr>
        <w:pStyle w:val="Normal"/>
      </w:pPr>
      <w:r w:rsidRPr="2B504814" w:rsidR="037A7183">
        <w:rPr>
          <w:rFonts w:ascii="Calibri" w:hAnsi="Calibri" w:eastAsia="Calibri" w:cs="Calibri"/>
          <w:noProof w:val="0"/>
          <w:sz w:val="22"/>
          <w:szCs w:val="22"/>
          <w:lang w:val="en-GB"/>
        </w:rPr>
        <w:t>The act of defamation to damage the reputation of the claimant can fall into one of two areas: slander and libel. Slander occurs when the defamation is an act of a temporary nature, such as that of spoken words. Libel, on the other hand, is a permanent form of defamatory publication, such as written words or recorded material. The requirements of each type of defamation include:</w:t>
      </w:r>
    </w:p>
    <w:p xmlns:wp14="http://schemas.microsoft.com/office/word/2010/wordml" w:rsidP="2B504814" w14:paraId="609ACB94" wp14:textId="38C68F60">
      <w:pPr>
        <w:pStyle w:val="Normal"/>
      </w:pPr>
      <w:r w:rsidRPr="2B504814" w:rsidR="037A7183">
        <w:rPr>
          <w:rFonts w:ascii="Calibri" w:hAnsi="Calibri" w:eastAsia="Calibri" w:cs="Calibri"/>
          <w:noProof w:val="0"/>
          <w:sz w:val="22"/>
          <w:szCs w:val="22"/>
          <w:lang w:val="en-GB"/>
        </w:rPr>
        <w:t>Slander: Slander must be made against a person or group who are identifiable, it must be an accusation or a statement that has or could cause harm to the reputation of the subject or subjects.</w:t>
      </w:r>
    </w:p>
    <w:p xmlns:wp14="http://schemas.microsoft.com/office/word/2010/wordml" w:rsidP="2B504814" w14:paraId="79A68975" wp14:textId="7A822024">
      <w:pPr>
        <w:pStyle w:val="Normal"/>
      </w:pPr>
      <w:r w:rsidRPr="2B504814" w:rsidR="037A7183">
        <w:rPr>
          <w:rFonts w:ascii="Calibri" w:hAnsi="Calibri" w:eastAsia="Calibri" w:cs="Calibri"/>
          <w:noProof w:val="0"/>
          <w:sz w:val="22"/>
          <w:szCs w:val="22"/>
          <w:lang w:val="en-GB"/>
        </w:rPr>
        <w:t>Libel: Libel statements do not need to be written, but they must be made against a person or group of individuals who are identifiable and must have the potential to cause harm to their reputation.</w:t>
      </w:r>
    </w:p>
    <w:p xmlns:wp14="http://schemas.microsoft.com/office/word/2010/wordml" w:rsidP="2B504814" w14:paraId="3E201B9A" wp14:textId="5F6CE5F5">
      <w:pPr>
        <w:pStyle w:val="Normal"/>
      </w:pPr>
      <w:r w:rsidRPr="2B504814" w:rsidR="037A7183">
        <w:rPr>
          <w:rFonts w:ascii="Calibri" w:hAnsi="Calibri" w:eastAsia="Calibri" w:cs="Calibri"/>
          <w:noProof w:val="0"/>
          <w:sz w:val="22"/>
          <w:szCs w:val="22"/>
          <w:lang w:val="en-GB"/>
        </w:rPr>
        <w:t xml:space="preserve">Section 4 of the Defamation Act (2013), when referencing the publication on matter of interest, states ‘It is a </w:t>
      </w:r>
      <w:r w:rsidRPr="2B504814" w:rsidR="5E2E190E">
        <w:rPr>
          <w:rFonts w:ascii="Calibri" w:hAnsi="Calibri" w:eastAsia="Calibri" w:cs="Calibri"/>
          <w:noProof w:val="0"/>
          <w:sz w:val="22"/>
          <w:szCs w:val="22"/>
          <w:lang w:val="en-GB"/>
        </w:rPr>
        <w:t>defence</w:t>
      </w:r>
      <w:r w:rsidRPr="2B504814" w:rsidR="037A7183">
        <w:rPr>
          <w:rFonts w:ascii="Calibri" w:hAnsi="Calibri" w:eastAsia="Calibri" w:cs="Calibri"/>
          <w:noProof w:val="0"/>
          <w:sz w:val="22"/>
          <w:szCs w:val="22"/>
          <w:lang w:val="en-GB"/>
        </w:rPr>
        <w:t xml:space="preserve"> to an action for defamation for the defendant to show that the statement complained of was, or formed part of, a statement on a matter of public interest; and the defendant reasonably believed that publishing the statement complained of was in the public interest. Subject to subsections (3) and (4), in determining whether the defendant has shown the matters mentioned in subsection (1), the court must have regard to all the circumstances of the case. (3) If the statement complained of was, or formed part of, an accurate and impartial account of a dispute to which the claimant was a party, the court must in determining whether it was reasonable for the defendant to believe that publishing the statement was in the public interest disregard any omission of the defendant to take steps to verify the truth of the imputation conveyed by it. (4) In determining whether it was reasonable for the defendant to believe that publishing the statement complained of was in the public interest, the court must make such allowance for editorial judgement as it considers appropriate. (5) For the avoidance of doubt, the </w:t>
      </w:r>
      <w:r w:rsidRPr="2B504814" w:rsidR="49C9864D">
        <w:rPr>
          <w:rFonts w:ascii="Calibri" w:hAnsi="Calibri" w:eastAsia="Calibri" w:cs="Calibri"/>
          <w:noProof w:val="0"/>
          <w:sz w:val="22"/>
          <w:szCs w:val="22"/>
          <w:lang w:val="en-GB"/>
        </w:rPr>
        <w:t>defence</w:t>
      </w:r>
      <w:r w:rsidRPr="2B504814" w:rsidR="037A7183">
        <w:rPr>
          <w:rFonts w:ascii="Calibri" w:hAnsi="Calibri" w:eastAsia="Calibri" w:cs="Calibri"/>
          <w:noProof w:val="0"/>
          <w:sz w:val="22"/>
          <w:szCs w:val="22"/>
          <w:lang w:val="en-GB"/>
        </w:rPr>
        <w:t xml:space="preserve"> under this section may be relied upon irrespective of whether the statement complained of is a statement of fact or a statement of opinion. (6) The common law </w:t>
      </w:r>
      <w:r w:rsidRPr="2B504814" w:rsidR="6A3D5540">
        <w:rPr>
          <w:rFonts w:ascii="Calibri" w:hAnsi="Calibri" w:eastAsia="Calibri" w:cs="Calibri"/>
          <w:noProof w:val="0"/>
          <w:sz w:val="22"/>
          <w:szCs w:val="22"/>
          <w:lang w:val="en-GB"/>
        </w:rPr>
        <w:t>defence</w:t>
      </w:r>
      <w:r w:rsidRPr="2B504814" w:rsidR="037A7183">
        <w:rPr>
          <w:rFonts w:ascii="Calibri" w:hAnsi="Calibri" w:eastAsia="Calibri" w:cs="Calibri"/>
          <w:noProof w:val="0"/>
          <w:sz w:val="22"/>
          <w:szCs w:val="22"/>
          <w:lang w:val="en-GB"/>
        </w:rPr>
        <w:t xml:space="preserve"> known as the Reynolds </w:t>
      </w:r>
      <w:r w:rsidRPr="2B504814" w:rsidR="1B0113D4">
        <w:rPr>
          <w:rFonts w:ascii="Calibri" w:hAnsi="Calibri" w:eastAsia="Calibri" w:cs="Calibri"/>
          <w:noProof w:val="0"/>
          <w:sz w:val="22"/>
          <w:szCs w:val="22"/>
          <w:lang w:val="en-GB"/>
        </w:rPr>
        <w:t>defence</w:t>
      </w:r>
      <w:r w:rsidRPr="2B504814" w:rsidR="037A7183">
        <w:rPr>
          <w:rFonts w:ascii="Calibri" w:hAnsi="Calibri" w:eastAsia="Calibri" w:cs="Calibri"/>
          <w:noProof w:val="0"/>
          <w:sz w:val="22"/>
          <w:szCs w:val="22"/>
          <w:lang w:val="en-GB"/>
        </w:rPr>
        <w:t xml:space="preserve"> is abolished.</w:t>
      </w:r>
    </w:p>
    <w:p xmlns:wp14="http://schemas.microsoft.com/office/word/2010/wordml" w:rsidP="2B504814" w14:paraId="1099EC45" wp14:textId="58026BDE">
      <w:pPr>
        <w:pStyle w:val="Normal"/>
      </w:pPr>
      <w:r w:rsidRPr="2B504814" w:rsidR="037A7183">
        <w:rPr>
          <w:rFonts w:ascii="Calibri" w:hAnsi="Calibri" w:eastAsia="Calibri" w:cs="Calibri"/>
          <w:noProof w:val="0"/>
          <w:sz w:val="22"/>
          <w:szCs w:val="22"/>
          <w:lang w:val="en-GB"/>
        </w:rPr>
        <w:t xml:space="preserve">In the Contempt of Court Act (1981) [3] Section 10 provides some protection for journalists and their sources. It states that no court shall require anyone to disclose a source of information unless necessary in the interests of justice, national security or the prevention of disorder or crime. Whether any </w:t>
      </w:r>
      <w:r w:rsidRPr="2B504814" w:rsidR="04DF9A1F">
        <w:rPr>
          <w:rFonts w:ascii="Calibri" w:hAnsi="Calibri" w:eastAsia="Calibri" w:cs="Calibri"/>
          <w:noProof w:val="0"/>
          <w:sz w:val="22"/>
          <w:szCs w:val="22"/>
          <w:lang w:val="en-GB"/>
        </w:rPr>
        <w:t>circumstances</w:t>
      </w:r>
      <w:r w:rsidRPr="2B504814" w:rsidR="037A7183">
        <w:rPr>
          <w:rFonts w:ascii="Calibri" w:hAnsi="Calibri" w:eastAsia="Calibri" w:cs="Calibri"/>
          <w:noProof w:val="0"/>
          <w:sz w:val="22"/>
          <w:szCs w:val="22"/>
          <w:lang w:val="en-GB"/>
        </w:rPr>
        <w:t xml:space="preserve"> warrant disclosure is ultimately for the court to decide, taking into consideration the Human Rights Act 1998 and</w:t>
      </w:r>
      <w:r w:rsidRPr="2B504814" w:rsidR="0207D51B">
        <w:rPr>
          <w:rFonts w:ascii="Calibri" w:hAnsi="Calibri" w:eastAsia="Calibri" w:cs="Calibri"/>
          <w:noProof w:val="0"/>
          <w:sz w:val="22"/>
          <w:szCs w:val="22"/>
          <w:lang w:val="en-GB"/>
        </w:rPr>
        <w:t xml:space="preserve"> the</w:t>
      </w:r>
      <w:r w:rsidRPr="2B504814" w:rsidR="037A7183">
        <w:rPr>
          <w:rFonts w:ascii="Calibri" w:hAnsi="Calibri" w:eastAsia="Calibri" w:cs="Calibri"/>
          <w:noProof w:val="0"/>
          <w:sz w:val="22"/>
          <w:szCs w:val="22"/>
          <w:lang w:val="en-GB"/>
        </w:rPr>
        <w:t xml:space="preserve"> right to freedom of expression. The courts have held that disclosure orders should be made only in exceptional circumstances and where disclosure is justified by an overriding public interest.</w:t>
      </w:r>
    </w:p>
    <w:p xmlns:wp14="http://schemas.microsoft.com/office/word/2010/wordml" w:rsidP="2B504814" w14:paraId="08944CBB" wp14:textId="122B1D0C">
      <w:pPr>
        <w:pStyle w:val="Normal"/>
      </w:pPr>
      <w:r w:rsidRPr="2B504814" w:rsidR="037A7183">
        <w:rPr>
          <w:rFonts w:ascii="Calibri" w:hAnsi="Calibri" w:eastAsia="Calibri" w:cs="Calibri"/>
          <w:noProof w:val="0"/>
          <w:sz w:val="22"/>
          <w:szCs w:val="22"/>
          <w:lang w:val="en-GB"/>
        </w:rPr>
        <w:t>If any undertaking is given to a source by program-maker, once it appears that such an undertaking may also become binding on Channel 4, program-makers must immediately notify the commissioning editor who will consult with the program lawyer and, if necessary, refer the matter up in accordance with Channel 4's internal compliance procedures. See 'Issues Requiring Reference-up' and 'Areas of Potential Concern where Specific Procedures Apply'. Where there is the possibility that any undertaking may conflict with the law, for example, an unqualified undertaking of anonymity has been given to a source by a journalist, this must be referred up to the chief executives as the editor-in-chief will refer the matter to the board. Generally, program makers and journalists should not make such unqualified undertakings before consulting and seeking the approval of the broadcaster.</w:t>
      </w:r>
    </w:p>
    <w:p xmlns:wp14="http://schemas.microsoft.com/office/word/2010/wordml" w:rsidP="2B504814" w14:paraId="1F47039D" wp14:textId="72BEBC0C">
      <w:pPr>
        <w:pStyle w:val="Normal"/>
      </w:pPr>
      <w:r w:rsidRPr="2B504814" w:rsidR="037A7183">
        <w:rPr>
          <w:rFonts w:ascii="Calibri" w:hAnsi="Calibri" w:eastAsia="Calibri" w:cs="Calibri"/>
          <w:noProof w:val="0"/>
          <w:sz w:val="22"/>
          <w:szCs w:val="22"/>
          <w:lang w:val="en-GB"/>
        </w:rPr>
        <w:t xml:space="preserve">In Reynolds v Times (2012) allowed for the following to happen; P sued a newspaper </w:t>
      </w:r>
      <w:r w:rsidRPr="2B504814" w:rsidR="44473A2D">
        <w:rPr>
          <w:rFonts w:ascii="Calibri" w:hAnsi="Calibri" w:eastAsia="Calibri" w:cs="Calibri"/>
          <w:noProof w:val="0"/>
          <w:sz w:val="22"/>
          <w:szCs w:val="22"/>
          <w:lang w:val="en-GB"/>
        </w:rPr>
        <w:t>Ad</w:t>
      </w:r>
      <w:r w:rsidRPr="2B504814" w:rsidR="037A7183">
        <w:rPr>
          <w:rFonts w:ascii="Calibri" w:hAnsi="Calibri" w:eastAsia="Calibri" w:cs="Calibri"/>
          <w:noProof w:val="0"/>
          <w:sz w:val="22"/>
          <w:szCs w:val="22"/>
          <w:lang w:val="en-GB"/>
        </w:rPr>
        <w:t xml:space="preserve"> that accused him of lying when he had been PM of Ireland. D argued that all political matter should be covered by qualified privilege. HL rejected this since it would provide inadequate protection for reputation and it would be highly impractical to distinguish between political and non-political matter. The only common law protection was where D had a duty to publish the material (e. g. as with Hansard) and the recipients had an interest in receiving it. Here, the publication was not one which should in the public interest be protected by privilege in the absence of proof of malice (</w:t>
      </w:r>
      <w:r w:rsidRPr="2B504814" w:rsidR="2BF09F21">
        <w:rPr>
          <w:rFonts w:ascii="Calibri" w:hAnsi="Calibri" w:eastAsia="Calibri" w:cs="Calibri"/>
          <w:noProof w:val="0"/>
          <w:sz w:val="22"/>
          <w:szCs w:val="22"/>
          <w:lang w:val="en-GB"/>
        </w:rPr>
        <w:t>I</w:t>
      </w:r>
      <w:r w:rsidRPr="2B504814" w:rsidR="037A7183">
        <w:rPr>
          <w:rFonts w:ascii="Calibri" w:hAnsi="Calibri" w:eastAsia="Calibri" w:cs="Calibri"/>
          <w:noProof w:val="0"/>
          <w:sz w:val="22"/>
          <w:szCs w:val="22"/>
          <w:lang w:val="en-GB"/>
        </w:rPr>
        <w:t>. e. qualified privilege)</w:t>
      </w:r>
      <w:r w:rsidRPr="2B504814" w:rsidR="4F045178">
        <w:rPr>
          <w:rFonts w:ascii="Calibri" w:hAnsi="Calibri" w:eastAsia="Calibri" w:cs="Calibri"/>
          <w:noProof w:val="0"/>
          <w:sz w:val="22"/>
          <w:szCs w:val="22"/>
          <w:lang w:val="en-GB"/>
        </w:rPr>
        <w:t>.</w:t>
      </w:r>
      <w:r w:rsidRPr="2B504814" w:rsidR="037A7183">
        <w:rPr>
          <w:rFonts w:ascii="Calibri" w:hAnsi="Calibri" w:eastAsia="Calibri" w:cs="Calibri"/>
          <w:noProof w:val="0"/>
          <w:sz w:val="22"/>
          <w:szCs w:val="22"/>
          <w:lang w:val="en-GB"/>
        </w:rPr>
        <w:t>[4]</w:t>
      </w:r>
    </w:p>
    <w:p xmlns:wp14="http://schemas.microsoft.com/office/word/2010/wordml" w:rsidP="2B504814" w14:paraId="54837571" wp14:textId="4AA2E3BD">
      <w:pPr>
        <w:pStyle w:val="Normal"/>
      </w:pPr>
      <w:r w:rsidRPr="2B504814" w:rsidR="037A7183">
        <w:rPr>
          <w:rFonts w:ascii="Calibri" w:hAnsi="Calibri" w:eastAsia="Calibri" w:cs="Calibri"/>
          <w:noProof w:val="0"/>
          <w:sz w:val="22"/>
          <w:szCs w:val="22"/>
          <w:lang w:val="en-GB"/>
        </w:rPr>
        <w:t>Lord Nicholls says that in areas of public interest the default position is to give priority to freedom of speech. However, there were circumstances where the claim was so serious that priority should not be given to freedom of speech over defamation claim. He rejected the requirement of a circumstantial test that the CA had proposed (whether the circumstances merited a qualified privilege) in addition to simple interest and duty as it would cause unnecessary confusion. Whether there is a duty to publish or interest in publishing depends on (1) seriousness of the allegation/urgency of the matter; (2) sources of the information; (3) steps taken to verify info; (4) whether an investigation is already ongoing; (5) whether comment was sought from the plaintiff/contained the gist of P’s side of the story; (6) tone of the article (“it need not adopt allegations as statements of fact”)</w:t>
      </w:r>
      <w:r w:rsidRPr="2B504814" w:rsidR="1F8933DD">
        <w:rPr>
          <w:rFonts w:ascii="Calibri" w:hAnsi="Calibri" w:eastAsia="Calibri" w:cs="Calibri"/>
          <w:noProof w:val="0"/>
          <w:sz w:val="22"/>
          <w:szCs w:val="22"/>
          <w:lang w:val="en-GB"/>
        </w:rPr>
        <w:t>.</w:t>
      </w:r>
    </w:p>
    <w:p xmlns:wp14="http://schemas.microsoft.com/office/word/2010/wordml" w:rsidP="2B504814" w14:paraId="0D260FE6" wp14:textId="4A1B5C2C">
      <w:pPr>
        <w:pStyle w:val="Normal"/>
      </w:pPr>
      <w:r w:rsidRPr="2B504814" w:rsidR="037A7183">
        <w:rPr>
          <w:rFonts w:ascii="Calibri" w:hAnsi="Calibri" w:eastAsia="Calibri" w:cs="Calibri"/>
          <w:noProof w:val="0"/>
          <w:sz w:val="22"/>
          <w:szCs w:val="22"/>
          <w:lang w:val="en-GB"/>
        </w:rPr>
        <w:t xml:space="preserve">Lord Hope (dissenting on the result; not the method) says that a generic qualified privilege for political topics in the press was bad because of impossibility of definition and lack of protection for defamation victims. He </w:t>
      </w:r>
      <w:r w:rsidRPr="2B504814" w:rsidR="0BE62A4E">
        <w:rPr>
          <w:rFonts w:ascii="Calibri" w:hAnsi="Calibri" w:eastAsia="Calibri" w:cs="Calibri"/>
          <w:noProof w:val="0"/>
          <w:sz w:val="22"/>
          <w:szCs w:val="22"/>
          <w:lang w:val="en-GB"/>
        </w:rPr>
        <w:t>says,</w:t>
      </w:r>
      <w:r w:rsidRPr="2B504814" w:rsidR="037A7183">
        <w:rPr>
          <w:rFonts w:ascii="Calibri" w:hAnsi="Calibri" w:eastAsia="Calibri" w:cs="Calibri"/>
          <w:noProof w:val="0"/>
          <w:sz w:val="22"/>
          <w:szCs w:val="22"/>
          <w:lang w:val="en-GB"/>
        </w:rPr>
        <w:t xml:space="preserve"> “To attract privilege the report must have a qualitative content (public interest) sufficient to justify the </w:t>
      </w:r>
      <w:r w:rsidRPr="2B504814" w:rsidR="2B3172F9">
        <w:rPr>
          <w:rFonts w:ascii="Calibri" w:hAnsi="Calibri" w:eastAsia="Calibri" w:cs="Calibri"/>
          <w:noProof w:val="0"/>
          <w:sz w:val="22"/>
          <w:szCs w:val="22"/>
          <w:lang w:val="en-GB"/>
        </w:rPr>
        <w:t>defence</w:t>
      </w:r>
      <w:r w:rsidRPr="2B504814" w:rsidR="037A7183">
        <w:rPr>
          <w:rFonts w:ascii="Calibri" w:hAnsi="Calibri" w:eastAsia="Calibri" w:cs="Calibri"/>
          <w:noProof w:val="0"/>
          <w:sz w:val="22"/>
          <w:szCs w:val="22"/>
          <w:lang w:val="en-GB"/>
        </w:rPr>
        <w:t xml:space="preserve"> should the report turn out to have included some misstatement of fact.” He then says, and is supported by Lord Nicholls is asserting, that circumstances of the report and how it is made (</w:t>
      </w:r>
      <w:r w:rsidRPr="2B504814" w:rsidR="3960E47D">
        <w:rPr>
          <w:rFonts w:ascii="Calibri" w:hAnsi="Calibri" w:eastAsia="Calibri" w:cs="Calibri"/>
          <w:noProof w:val="0"/>
          <w:sz w:val="22"/>
          <w:szCs w:val="22"/>
          <w:lang w:val="en-GB"/>
        </w:rPr>
        <w:t>I</w:t>
      </w:r>
      <w:r w:rsidRPr="2B504814" w:rsidR="037A7183">
        <w:rPr>
          <w:rFonts w:ascii="Calibri" w:hAnsi="Calibri" w:eastAsia="Calibri" w:cs="Calibri"/>
          <w:noProof w:val="0"/>
          <w:sz w:val="22"/>
          <w:szCs w:val="22"/>
          <w:lang w:val="en-GB"/>
        </w:rPr>
        <w:t xml:space="preserve">. e. NOT a report based on hearsay) should be </w:t>
      </w:r>
      <w:r w:rsidRPr="2B504814" w:rsidR="3EA64BFA">
        <w:rPr>
          <w:rFonts w:ascii="Calibri" w:hAnsi="Calibri" w:eastAsia="Calibri" w:cs="Calibri"/>
          <w:noProof w:val="0"/>
          <w:sz w:val="22"/>
          <w:szCs w:val="22"/>
          <w:lang w:val="en-GB"/>
        </w:rPr>
        <w:t>considered</w:t>
      </w:r>
      <w:r w:rsidRPr="2B504814" w:rsidR="037A7183">
        <w:rPr>
          <w:rFonts w:ascii="Calibri" w:hAnsi="Calibri" w:eastAsia="Calibri" w:cs="Calibri"/>
          <w:noProof w:val="0"/>
          <w:sz w:val="22"/>
          <w:szCs w:val="22"/>
          <w:lang w:val="en-GB"/>
        </w:rPr>
        <w:t>. He dissented partly on principal because he though questions such as whether P’s side of the story had been heard were relevant to malice and not to whether privilege existed in the first case.</w:t>
      </w:r>
    </w:p>
    <w:p xmlns:wp14="http://schemas.microsoft.com/office/word/2010/wordml" w:rsidP="2B504814" w14:paraId="1B4A872F" wp14:textId="6C67BE8E">
      <w:pPr>
        <w:pStyle w:val="Normal"/>
        <w:rPr>
          <w:rFonts w:ascii="Calibri" w:hAnsi="Calibri" w:eastAsia="Calibri" w:cs="Calibri"/>
          <w:noProof w:val="0"/>
          <w:sz w:val="22"/>
          <w:szCs w:val="22"/>
          <w:lang w:val="en-GB"/>
        </w:rPr>
      </w:pPr>
    </w:p>
    <w:p xmlns:wp14="http://schemas.microsoft.com/office/word/2010/wordml" w:rsidP="2B504814" w14:paraId="2F081279" wp14:textId="44369583">
      <w:pPr>
        <w:pStyle w:val="Normal"/>
      </w:pPr>
      <w:r w:rsidRPr="2B504814" w:rsidR="037A7183">
        <w:rPr>
          <w:rFonts w:ascii="Calibri" w:hAnsi="Calibri" w:eastAsia="Calibri" w:cs="Calibri"/>
          <w:noProof w:val="0"/>
          <w:sz w:val="22"/>
          <w:szCs w:val="22"/>
          <w:lang w:val="en-GB"/>
        </w:rPr>
        <w:t>Referencing:</w:t>
      </w:r>
    </w:p>
    <w:p xmlns:wp14="http://schemas.microsoft.com/office/word/2010/wordml" w:rsidP="2B504814" w14:paraId="4E66A255" wp14:textId="1386B4AA">
      <w:pPr>
        <w:pStyle w:val="Normal"/>
      </w:pPr>
      <w:r w:rsidRPr="2B504814" w:rsidR="037A7183">
        <w:rPr>
          <w:rFonts w:ascii="Calibri" w:hAnsi="Calibri" w:eastAsia="Calibri" w:cs="Calibri"/>
          <w:noProof w:val="0"/>
          <w:sz w:val="22"/>
          <w:szCs w:val="22"/>
          <w:lang w:val="en-GB"/>
        </w:rPr>
        <w:t xml:space="preserve">[1] www.localsolicitors.com. (n.d.). Guide to Defamation Law in the UK - LocalSolicitors.com. [online] Available at: https://www.localsolicitors.com/libel-and-defamation-guides/guide-todefamation#:~:text=Defamation%20laws%20are%20defined%20by%20statute%20law%20and [Accessed 1 Jan. 2021]. </w:t>
      </w:r>
    </w:p>
    <w:p xmlns:wp14="http://schemas.microsoft.com/office/word/2010/wordml" w:rsidP="2B504814" w14:paraId="19D855FD" wp14:textId="4FA6ABE3">
      <w:pPr>
        <w:pStyle w:val="Normal"/>
      </w:pPr>
      <w:r w:rsidRPr="2B504814" w:rsidR="037A7183">
        <w:rPr>
          <w:rFonts w:ascii="Calibri" w:hAnsi="Calibri" w:eastAsia="Calibri" w:cs="Calibri"/>
          <w:noProof w:val="0"/>
          <w:sz w:val="22"/>
          <w:szCs w:val="22"/>
          <w:lang w:val="en-GB"/>
        </w:rPr>
        <w:t xml:space="preserve">[2] UK Public General Acts (2013). Defamation Act. (s.26). </w:t>
      </w:r>
    </w:p>
    <w:p xmlns:wp14="http://schemas.microsoft.com/office/word/2010/wordml" w:rsidP="2B504814" w14:paraId="2DEB94BB" wp14:textId="7581F5FF">
      <w:pPr>
        <w:pStyle w:val="Normal"/>
      </w:pPr>
      <w:r w:rsidRPr="2B504814" w:rsidR="037A7183">
        <w:rPr>
          <w:rFonts w:ascii="Calibri" w:hAnsi="Calibri" w:eastAsia="Calibri" w:cs="Calibri"/>
          <w:noProof w:val="0"/>
          <w:sz w:val="22"/>
          <w:szCs w:val="22"/>
          <w:lang w:val="en-GB"/>
        </w:rPr>
        <w:t xml:space="preserve">[3] (1981). Contempt of Court Act. s,10 Contempt of Court Act 1981. </w:t>
      </w:r>
    </w:p>
    <w:p xmlns:wp14="http://schemas.microsoft.com/office/word/2010/wordml" w:rsidP="2B504814" w14:paraId="5E5787A5" wp14:textId="271DF52C">
      <w:pPr>
        <w:pStyle w:val="Normal"/>
      </w:pPr>
      <w:r w:rsidRPr="2B504814" w:rsidR="037A7183">
        <w:rPr>
          <w:rFonts w:ascii="Calibri" w:hAnsi="Calibri" w:eastAsia="Calibri" w:cs="Calibri"/>
          <w:noProof w:val="0"/>
          <w:sz w:val="22"/>
          <w:szCs w:val="22"/>
          <w:lang w:val="en-GB"/>
        </w:rPr>
        <w:t>[4] (1999). Reynolds v Times.</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4AF1D9B"/>
  <w15:docId w15:val="{328d8e47-9974-450a-9901-b6f28c614762}"/>
  <w:rsids>
    <w:rsidRoot w:val="64AF1D9B"/>
    <w:rsid w:val="0207D51B"/>
    <w:rsid w:val="037A7183"/>
    <w:rsid w:val="04DF9A1F"/>
    <w:rsid w:val="0B432502"/>
    <w:rsid w:val="0BE62A4E"/>
    <w:rsid w:val="141A832B"/>
    <w:rsid w:val="1A709C52"/>
    <w:rsid w:val="1B0113D4"/>
    <w:rsid w:val="1C259510"/>
    <w:rsid w:val="1F8933DD"/>
    <w:rsid w:val="1FF40869"/>
    <w:rsid w:val="249487BD"/>
    <w:rsid w:val="2B3172F9"/>
    <w:rsid w:val="2B504814"/>
    <w:rsid w:val="2BF09F21"/>
    <w:rsid w:val="30FDEF26"/>
    <w:rsid w:val="31A6613B"/>
    <w:rsid w:val="3960E47D"/>
    <w:rsid w:val="39DBAE1B"/>
    <w:rsid w:val="3BF487A1"/>
    <w:rsid w:val="3EA64BFA"/>
    <w:rsid w:val="44473A2D"/>
    <w:rsid w:val="49C9864D"/>
    <w:rsid w:val="4F045178"/>
    <w:rsid w:val="4FB905FB"/>
    <w:rsid w:val="52B4E0B4"/>
    <w:rsid w:val="5728EF2B"/>
    <w:rsid w:val="5A608FED"/>
    <w:rsid w:val="5DF7E392"/>
    <w:rsid w:val="5E2E190E"/>
    <w:rsid w:val="5E3B46EA"/>
    <w:rsid w:val="611F459C"/>
    <w:rsid w:val="612F8454"/>
    <w:rsid w:val="64AF1D9B"/>
    <w:rsid w:val="664658CF"/>
    <w:rsid w:val="6A3D5540"/>
    <w:rsid w:val="6B00A195"/>
    <w:rsid w:val="6C9C71F6"/>
    <w:rsid w:val="6DB641FF"/>
    <w:rsid w:val="7BC724FA"/>
    <w:rsid w:val="7D8D3056"/>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Amar Haddouche (2017328)</dc:creator>
  <keywords/>
  <dc:description/>
  <lastModifiedBy>Amar Haddouche (2017328)</lastModifiedBy>
  <revision>2</revision>
  <dcterms:created xsi:type="dcterms:W3CDTF">2021-01-07T01:53:41.8479471Z</dcterms:created>
  <dcterms:modified xsi:type="dcterms:W3CDTF">2021-01-07T02:13:58.0749169Z</dcterms:modified>
</coreProperties>
</file>