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12F87" w14:textId="77777777" w:rsidR="00B61B7B" w:rsidRDefault="009529E2">
      <w:pPr>
        <w:spacing w:after="165" w:line="360" w:lineRule="auto"/>
        <w:rPr>
          <w:sz w:val="24"/>
          <w:szCs w:val="24"/>
        </w:rPr>
      </w:pPr>
      <w:r>
        <w:rPr>
          <w:noProof/>
          <w:sz w:val="24"/>
          <w:szCs w:val="24"/>
        </w:rPr>
        <w:drawing>
          <wp:inline distT="0" distB="0" distL="114300" distR="114300" wp14:anchorId="3EEA864F" wp14:editId="462F5D0A">
            <wp:extent cx="2209165" cy="74422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8"/>
                    <a:srcRect/>
                    <a:stretch>
                      <a:fillRect/>
                    </a:stretch>
                  </pic:blipFill>
                  <pic:spPr>
                    <a:xfrm>
                      <a:off x="0" y="0"/>
                      <a:ext cx="2209165" cy="744220"/>
                    </a:xfrm>
                    <a:prstGeom prst="rect">
                      <a:avLst/>
                    </a:prstGeom>
                    <a:ln/>
                  </pic:spPr>
                </pic:pic>
              </a:graphicData>
            </a:graphic>
          </wp:inline>
        </w:drawing>
      </w:r>
    </w:p>
    <w:p w14:paraId="51A0B8ED" w14:textId="77777777" w:rsidR="00A17F20" w:rsidRDefault="00A17F20">
      <w:pPr>
        <w:spacing w:after="165" w:line="360" w:lineRule="auto"/>
        <w:rPr>
          <w:sz w:val="24"/>
          <w:szCs w:val="24"/>
        </w:rPr>
      </w:pPr>
    </w:p>
    <w:p w14:paraId="09C560F1" w14:textId="77777777" w:rsidR="0023529D" w:rsidRPr="00432F7E" w:rsidRDefault="009529E2">
      <w:pPr>
        <w:spacing w:after="165" w:line="360" w:lineRule="auto"/>
        <w:rPr>
          <w:sz w:val="32"/>
          <w:szCs w:val="32"/>
        </w:rPr>
      </w:pPr>
      <w:r w:rsidRPr="00432F7E">
        <w:rPr>
          <w:sz w:val="32"/>
          <w:szCs w:val="32"/>
        </w:rPr>
        <w:t xml:space="preserve">Module Assignment Submission </w:t>
      </w:r>
    </w:p>
    <w:tbl>
      <w:tblPr>
        <w:tblStyle w:val="a"/>
        <w:tblpPr w:leftFromText="180" w:rightFromText="180" w:vertAnchor="text" w:horzAnchor="margin" w:tblpXSpec="center" w:tblpY="612"/>
        <w:tblW w:w="10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7235"/>
      </w:tblGrid>
      <w:tr w:rsidR="00083524" w14:paraId="5DD64BDD" w14:textId="77777777" w:rsidTr="00AA70F8">
        <w:tc>
          <w:tcPr>
            <w:tcW w:w="3256" w:type="dxa"/>
            <w:shd w:val="clear" w:color="auto" w:fill="D9D9D9"/>
          </w:tcPr>
          <w:p w14:paraId="354E5BC6" w14:textId="77777777" w:rsidR="00083524" w:rsidRDefault="00083524" w:rsidP="00083524">
            <w:pPr>
              <w:spacing w:before="120" w:after="120" w:line="360" w:lineRule="auto"/>
              <w:rPr>
                <w:sz w:val="24"/>
                <w:szCs w:val="24"/>
              </w:rPr>
            </w:pPr>
            <w:r>
              <w:rPr>
                <w:sz w:val="24"/>
                <w:szCs w:val="24"/>
              </w:rPr>
              <w:t>Student Name:</w:t>
            </w:r>
          </w:p>
        </w:tc>
        <w:tc>
          <w:tcPr>
            <w:tcW w:w="7235" w:type="dxa"/>
          </w:tcPr>
          <w:p w14:paraId="1A237899" w14:textId="77777777" w:rsidR="00083524" w:rsidRDefault="00083524" w:rsidP="00083524">
            <w:pPr>
              <w:spacing w:before="120" w:after="120" w:line="360" w:lineRule="auto"/>
              <w:rPr>
                <w:sz w:val="24"/>
                <w:szCs w:val="24"/>
              </w:rPr>
            </w:pPr>
            <w:r>
              <w:rPr>
                <w:sz w:val="24"/>
                <w:szCs w:val="24"/>
              </w:rPr>
              <w:t>Monir Ahmed</w:t>
            </w:r>
          </w:p>
        </w:tc>
      </w:tr>
      <w:tr w:rsidR="00083524" w14:paraId="7F1FB3C9" w14:textId="77777777" w:rsidTr="00AA70F8">
        <w:tc>
          <w:tcPr>
            <w:tcW w:w="3256" w:type="dxa"/>
            <w:shd w:val="clear" w:color="auto" w:fill="D9D9D9"/>
          </w:tcPr>
          <w:p w14:paraId="012945AA" w14:textId="77777777" w:rsidR="00083524" w:rsidRDefault="00083524" w:rsidP="00083524">
            <w:pPr>
              <w:spacing w:before="120" w:after="120" w:line="360" w:lineRule="auto"/>
              <w:rPr>
                <w:sz w:val="24"/>
                <w:szCs w:val="24"/>
              </w:rPr>
            </w:pPr>
            <w:r>
              <w:rPr>
                <w:sz w:val="24"/>
                <w:szCs w:val="24"/>
              </w:rPr>
              <w:t>Student Number:</w:t>
            </w:r>
          </w:p>
        </w:tc>
        <w:tc>
          <w:tcPr>
            <w:tcW w:w="7235" w:type="dxa"/>
          </w:tcPr>
          <w:p w14:paraId="27623F36" w14:textId="77777777" w:rsidR="00083524" w:rsidRDefault="00083524" w:rsidP="00083524">
            <w:pPr>
              <w:spacing w:before="120" w:after="120" w:line="360" w:lineRule="auto"/>
              <w:rPr>
                <w:sz w:val="24"/>
                <w:szCs w:val="24"/>
              </w:rPr>
            </w:pPr>
            <w:r>
              <w:rPr>
                <w:sz w:val="24"/>
                <w:szCs w:val="24"/>
              </w:rPr>
              <w:t>1806400@student.uwtsd.ac.co</w:t>
            </w:r>
          </w:p>
        </w:tc>
      </w:tr>
      <w:tr w:rsidR="00083524" w14:paraId="49781FB5" w14:textId="77777777" w:rsidTr="00AA70F8">
        <w:tc>
          <w:tcPr>
            <w:tcW w:w="3256" w:type="dxa"/>
            <w:shd w:val="clear" w:color="auto" w:fill="D9D9D9"/>
          </w:tcPr>
          <w:p w14:paraId="7E41220F" w14:textId="016531D8" w:rsidR="00083524" w:rsidRDefault="00083524" w:rsidP="00083524">
            <w:pPr>
              <w:spacing w:before="120" w:after="120" w:line="360" w:lineRule="auto"/>
              <w:rPr>
                <w:sz w:val="24"/>
                <w:szCs w:val="24"/>
              </w:rPr>
            </w:pPr>
            <w:r>
              <w:rPr>
                <w:sz w:val="24"/>
                <w:szCs w:val="24"/>
              </w:rPr>
              <w:t>Programme:</w:t>
            </w:r>
          </w:p>
        </w:tc>
        <w:tc>
          <w:tcPr>
            <w:tcW w:w="7235" w:type="dxa"/>
          </w:tcPr>
          <w:p w14:paraId="23C4A199" w14:textId="7498140C" w:rsidR="00083524" w:rsidRDefault="00083524" w:rsidP="00083524">
            <w:pPr>
              <w:spacing w:before="120" w:after="120" w:line="360" w:lineRule="auto"/>
              <w:rPr>
                <w:sz w:val="24"/>
                <w:szCs w:val="24"/>
              </w:rPr>
            </w:pPr>
            <w:r>
              <w:rPr>
                <w:sz w:val="24"/>
                <w:szCs w:val="24"/>
              </w:rPr>
              <w:t xml:space="preserve">Cert HE Law and Legal Practice </w:t>
            </w:r>
            <w:r w:rsidR="001313E1">
              <w:rPr>
                <w:sz w:val="24"/>
                <w:szCs w:val="24"/>
              </w:rPr>
              <w:t>(Level 4)</w:t>
            </w:r>
          </w:p>
        </w:tc>
      </w:tr>
      <w:tr w:rsidR="00083524" w14:paraId="5FED6E5A" w14:textId="77777777" w:rsidTr="00AA70F8">
        <w:trPr>
          <w:trHeight w:val="413"/>
        </w:trPr>
        <w:tc>
          <w:tcPr>
            <w:tcW w:w="3256" w:type="dxa"/>
            <w:shd w:val="clear" w:color="auto" w:fill="D9D9D9"/>
          </w:tcPr>
          <w:p w14:paraId="20653447" w14:textId="3055499E" w:rsidR="00083524" w:rsidRDefault="00083524" w:rsidP="00083524">
            <w:pPr>
              <w:spacing w:before="120" w:after="120" w:line="360" w:lineRule="auto"/>
              <w:rPr>
                <w:sz w:val="24"/>
                <w:szCs w:val="24"/>
              </w:rPr>
            </w:pPr>
            <w:r>
              <w:rPr>
                <w:sz w:val="24"/>
                <w:szCs w:val="24"/>
              </w:rPr>
              <w:t>Module:</w:t>
            </w:r>
          </w:p>
        </w:tc>
        <w:tc>
          <w:tcPr>
            <w:tcW w:w="7235" w:type="dxa"/>
          </w:tcPr>
          <w:p w14:paraId="6593533E" w14:textId="1D3BA1DC" w:rsidR="00083524" w:rsidRDefault="00AA70F8" w:rsidP="00083524">
            <w:pPr>
              <w:rPr>
                <w:sz w:val="24"/>
                <w:szCs w:val="24"/>
              </w:rPr>
            </w:pPr>
            <w:r>
              <w:rPr>
                <w:sz w:val="24"/>
                <w:szCs w:val="24"/>
              </w:rPr>
              <w:t>Principles of Professional Legal Practice</w:t>
            </w:r>
          </w:p>
        </w:tc>
      </w:tr>
      <w:tr w:rsidR="00083524" w14:paraId="168DAB1C" w14:textId="77777777" w:rsidTr="00AA70F8">
        <w:trPr>
          <w:trHeight w:val="413"/>
        </w:trPr>
        <w:tc>
          <w:tcPr>
            <w:tcW w:w="3256" w:type="dxa"/>
            <w:shd w:val="clear" w:color="auto" w:fill="D9D9D9"/>
          </w:tcPr>
          <w:p w14:paraId="32AF6410" w14:textId="043445CB" w:rsidR="00083524" w:rsidRDefault="00083524" w:rsidP="00083524">
            <w:pPr>
              <w:spacing w:before="120" w:after="120" w:line="360" w:lineRule="auto"/>
              <w:rPr>
                <w:sz w:val="24"/>
                <w:szCs w:val="24"/>
              </w:rPr>
            </w:pPr>
            <w:r>
              <w:rPr>
                <w:sz w:val="24"/>
                <w:szCs w:val="24"/>
              </w:rPr>
              <w:t>Module Code:</w:t>
            </w:r>
          </w:p>
        </w:tc>
        <w:tc>
          <w:tcPr>
            <w:tcW w:w="7235" w:type="dxa"/>
          </w:tcPr>
          <w:p w14:paraId="0D9E8CD6" w14:textId="3BA89103" w:rsidR="00083524" w:rsidRDefault="00AA70F8" w:rsidP="00083524">
            <w:pPr>
              <w:rPr>
                <w:sz w:val="24"/>
                <w:szCs w:val="24"/>
              </w:rPr>
            </w:pPr>
            <w:r>
              <w:rPr>
                <w:sz w:val="24"/>
                <w:szCs w:val="24"/>
              </w:rPr>
              <w:t>BMLW4001</w:t>
            </w:r>
          </w:p>
        </w:tc>
      </w:tr>
      <w:tr w:rsidR="00083524" w14:paraId="21667C76" w14:textId="77777777" w:rsidTr="00AA70F8">
        <w:trPr>
          <w:trHeight w:val="413"/>
        </w:trPr>
        <w:tc>
          <w:tcPr>
            <w:tcW w:w="3256" w:type="dxa"/>
            <w:shd w:val="clear" w:color="auto" w:fill="D9D9D9"/>
          </w:tcPr>
          <w:p w14:paraId="53EA21F2" w14:textId="6BAB2C72" w:rsidR="00083524" w:rsidRDefault="00083524" w:rsidP="00083524">
            <w:pPr>
              <w:spacing w:before="120" w:after="120" w:line="360" w:lineRule="auto"/>
              <w:rPr>
                <w:sz w:val="24"/>
                <w:szCs w:val="24"/>
              </w:rPr>
            </w:pPr>
            <w:r>
              <w:rPr>
                <w:sz w:val="24"/>
                <w:szCs w:val="24"/>
              </w:rPr>
              <w:t>Lecturer:</w:t>
            </w:r>
          </w:p>
        </w:tc>
        <w:tc>
          <w:tcPr>
            <w:tcW w:w="7235" w:type="dxa"/>
          </w:tcPr>
          <w:p w14:paraId="58251369" w14:textId="07391FD9" w:rsidR="00083524" w:rsidRDefault="00AA70F8" w:rsidP="00083524">
            <w:pPr>
              <w:rPr>
                <w:sz w:val="24"/>
                <w:szCs w:val="24"/>
              </w:rPr>
            </w:pPr>
            <w:r>
              <w:rPr>
                <w:sz w:val="24"/>
                <w:szCs w:val="24"/>
              </w:rPr>
              <w:t>Sian Turvey</w:t>
            </w:r>
          </w:p>
        </w:tc>
      </w:tr>
      <w:tr w:rsidR="00083524" w14:paraId="4B705B41" w14:textId="77777777" w:rsidTr="00AA70F8">
        <w:trPr>
          <w:trHeight w:val="413"/>
        </w:trPr>
        <w:tc>
          <w:tcPr>
            <w:tcW w:w="3256" w:type="dxa"/>
            <w:shd w:val="clear" w:color="auto" w:fill="D9D9D9"/>
          </w:tcPr>
          <w:p w14:paraId="73C1821F" w14:textId="69D8712C" w:rsidR="00083524" w:rsidRDefault="00083524" w:rsidP="00083524">
            <w:pPr>
              <w:spacing w:before="120" w:after="120" w:line="360" w:lineRule="auto"/>
              <w:rPr>
                <w:sz w:val="24"/>
                <w:szCs w:val="24"/>
              </w:rPr>
            </w:pPr>
            <w:r>
              <w:rPr>
                <w:sz w:val="24"/>
                <w:szCs w:val="24"/>
              </w:rPr>
              <w:t>Assignment Title:</w:t>
            </w:r>
          </w:p>
        </w:tc>
        <w:tc>
          <w:tcPr>
            <w:tcW w:w="7235" w:type="dxa"/>
          </w:tcPr>
          <w:p w14:paraId="61A9D57F" w14:textId="340245FC" w:rsidR="00083524" w:rsidRDefault="00AA70F8" w:rsidP="00083524">
            <w:pPr>
              <w:rPr>
                <w:sz w:val="24"/>
                <w:szCs w:val="24"/>
              </w:rPr>
            </w:pPr>
            <w:r>
              <w:rPr>
                <w:sz w:val="24"/>
                <w:szCs w:val="24"/>
              </w:rPr>
              <w:t>Assignment 2</w:t>
            </w:r>
          </w:p>
        </w:tc>
      </w:tr>
      <w:tr w:rsidR="00083524" w14:paraId="1C555C2F" w14:textId="77777777" w:rsidTr="00AA70F8">
        <w:trPr>
          <w:trHeight w:val="413"/>
        </w:trPr>
        <w:tc>
          <w:tcPr>
            <w:tcW w:w="3256" w:type="dxa"/>
            <w:shd w:val="clear" w:color="auto" w:fill="D9D9D9"/>
          </w:tcPr>
          <w:p w14:paraId="30699898" w14:textId="05752686" w:rsidR="00083524" w:rsidRDefault="001313E1" w:rsidP="00083524">
            <w:pPr>
              <w:spacing w:before="120" w:after="120" w:line="360" w:lineRule="auto"/>
              <w:rPr>
                <w:sz w:val="24"/>
                <w:szCs w:val="24"/>
              </w:rPr>
            </w:pPr>
            <w:r>
              <w:rPr>
                <w:sz w:val="24"/>
                <w:szCs w:val="24"/>
              </w:rPr>
              <w:t xml:space="preserve">Word count </w:t>
            </w:r>
            <w:r w:rsidR="00AA70F8">
              <w:rPr>
                <w:sz w:val="24"/>
                <w:szCs w:val="24"/>
              </w:rPr>
              <w:t>(or equivalent) :</w:t>
            </w:r>
          </w:p>
        </w:tc>
        <w:tc>
          <w:tcPr>
            <w:tcW w:w="7235" w:type="dxa"/>
          </w:tcPr>
          <w:p w14:paraId="5E0FB9BC" w14:textId="73D8CFC5" w:rsidR="00083524" w:rsidRDefault="00AA70F8" w:rsidP="00083524">
            <w:pPr>
              <w:rPr>
                <w:sz w:val="24"/>
                <w:szCs w:val="24"/>
              </w:rPr>
            </w:pPr>
            <w:r>
              <w:rPr>
                <w:sz w:val="24"/>
                <w:szCs w:val="24"/>
              </w:rPr>
              <w:t>2000</w:t>
            </w:r>
          </w:p>
        </w:tc>
      </w:tr>
    </w:tbl>
    <w:p w14:paraId="7C491D77" w14:textId="13343289" w:rsidR="00B61B7B" w:rsidRPr="00432F7E" w:rsidRDefault="0023529D">
      <w:pPr>
        <w:spacing w:after="165" w:line="360" w:lineRule="auto"/>
        <w:rPr>
          <w:sz w:val="28"/>
          <w:szCs w:val="28"/>
        </w:rPr>
      </w:pPr>
      <w:r w:rsidRPr="00432F7E">
        <w:rPr>
          <w:sz w:val="28"/>
          <w:szCs w:val="28"/>
        </w:rPr>
        <w:t>Assignment</w:t>
      </w:r>
      <w:r w:rsidR="00083524" w:rsidRPr="00432F7E">
        <w:rPr>
          <w:sz w:val="28"/>
          <w:szCs w:val="28"/>
        </w:rPr>
        <w:t xml:space="preserve"> </w:t>
      </w:r>
      <w:r w:rsidR="00AA70F8" w:rsidRPr="00432F7E">
        <w:rPr>
          <w:sz w:val="28"/>
          <w:szCs w:val="28"/>
        </w:rPr>
        <w:t>2</w:t>
      </w:r>
      <w:r w:rsidR="009529E2" w:rsidRPr="00432F7E">
        <w:rPr>
          <w:sz w:val="28"/>
          <w:szCs w:val="28"/>
        </w:rPr>
        <w:br/>
      </w:r>
    </w:p>
    <w:p w14:paraId="2232807C" w14:textId="77777777" w:rsidR="00B61B7B" w:rsidRDefault="00B61B7B">
      <w:pPr>
        <w:spacing w:before="120" w:after="120" w:line="360" w:lineRule="auto"/>
        <w:rPr>
          <w:sz w:val="24"/>
          <w:szCs w:val="24"/>
        </w:rPr>
      </w:pPr>
    </w:p>
    <w:p w14:paraId="0677ECCB" w14:textId="77777777" w:rsidR="00B61B7B" w:rsidRDefault="009529E2">
      <w:pPr>
        <w:spacing w:before="120" w:after="120" w:line="360" w:lineRule="auto"/>
        <w:rPr>
          <w:sz w:val="24"/>
          <w:szCs w:val="24"/>
        </w:rPr>
      </w:pPr>
      <w:r>
        <w:rPr>
          <w:sz w:val="24"/>
          <w:szCs w:val="24"/>
        </w:rPr>
        <w:t>Statement of Confirmation of Authenticity</w:t>
      </w:r>
    </w:p>
    <w:p w14:paraId="10061F2B" w14:textId="0A59E4B5" w:rsidR="00B61B7B" w:rsidRDefault="009529E2">
      <w:pPr>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83524">
        <w:rPr>
          <w:sz w:val="24"/>
          <w:szCs w:val="24"/>
        </w:rPr>
        <w:t xml:space="preserve"> </w:t>
      </w:r>
      <w:r>
        <w:rPr>
          <w:sz w:val="24"/>
          <w:szCs w:val="24"/>
        </w:rPr>
        <w:t>Attention is drawn to the plagiarism and unfair practice policies of both the University and of ILM.</w:t>
      </w:r>
    </w:p>
    <w:bookmarkStart w:id="0" w:name="_Toc509481826" w:displacedByCustomXml="next"/>
    <w:bookmarkStart w:id="1" w:name="_Toc512285724" w:displacedByCustomXml="next"/>
    <w:sdt>
      <w:sdtPr>
        <w:rPr>
          <w:rFonts w:eastAsiaTheme="minorHAnsi"/>
          <w:lang w:val="en-GB"/>
        </w:rPr>
        <w:id w:val="401494223"/>
        <w:docPartObj>
          <w:docPartGallery w:val="Cover Pages"/>
          <w:docPartUnique/>
        </w:docPartObj>
      </w:sdtPr>
      <w:sdtEndPr>
        <w:rPr>
          <w:rFonts w:ascii="Times New Roman" w:eastAsiaTheme="minorEastAsia" w:hAnsi="Times New Roman" w:cs="Times New Roman"/>
          <w:sz w:val="28"/>
          <w:szCs w:val="28"/>
          <w:lang w:val="en-US"/>
        </w:rPr>
      </w:sdtEndPr>
      <w:sdtContent>
        <w:p w14:paraId="32C48727" w14:textId="3615AABD" w:rsidR="00083524" w:rsidRDefault="00083524" w:rsidP="00083524">
          <w:pPr>
            <w:pStyle w:val="NoSpacing"/>
          </w:pPr>
          <w:r>
            <w:rPr>
              <w:noProof/>
            </w:rPr>
            <mc:AlternateContent>
              <mc:Choice Requires="wps">
                <w:drawing>
                  <wp:anchor distT="0" distB="0" distL="114300" distR="114300" simplePos="0" relativeHeight="251661312" behindDoc="0" locked="0" layoutInCell="1" allowOverlap="1" wp14:anchorId="6A71E5B9" wp14:editId="601342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8B41F7"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71E5B9"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8C5E53"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v:textbox>
                    <w10:wrap anchorx="page" anchory="page"/>
                  </v:shape>
                </w:pict>
              </mc:Fallback>
            </mc:AlternateContent>
          </w:r>
        </w:p>
        <w:p w14:paraId="0B59317B" w14:textId="77777777" w:rsidR="00294A19" w:rsidRDefault="00083524" w:rsidP="00F32CAC">
          <w:pPr>
            <w:pStyle w:val="NoSpacing"/>
            <w:jc w:val="right"/>
            <w:rPr>
              <w:rFonts w:ascii="Times New Roman" w:hAnsi="Times New Roman" w:cs="Times New Roman"/>
              <w:sz w:val="28"/>
              <w:szCs w:val="28"/>
            </w:rPr>
          </w:pPr>
          <w:r>
            <w:rPr>
              <w:noProof/>
            </w:rPr>
            <mc:AlternateContent>
              <mc:Choice Requires="wps">
                <w:drawing>
                  <wp:anchor distT="0" distB="0" distL="114300" distR="114300" simplePos="0" relativeHeight="251660288" behindDoc="0" locked="0" layoutInCell="1" allowOverlap="1" wp14:anchorId="04272602" wp14:editId="5FE283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5286375"/>
                    <wp:effectExtent l="0" t="0" r="7620" b="9525"/>
                    <wp:wrapNone/>
                    <wp:docPr id="11" name="Text Box 11"/>
                    <wp:cNvGraphicFramePr/>
                    <a:graphic xmlns:a="http://schemas.openxmlformats.org/drawingml/2006/main">
                      <a:graphicData uri="http://schemas.microsoft.com/office/word/2010/wordprocessingShape">
                        <wps:wsp>
                          <wps:cNvSpPr txBox="1"/>
                          <wps:spPr>
                            <a:xfrm>
                              <a:off x="0" y="0"/>
                              <a:ext cx="3657600" cy="5286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1A354" w14:textId="77777777" w:rsidR="00083524" w:rsidRPr="00C3453F" w:rsidRDefault="008B41F7"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83524">
                                      <w:rPr>
                                        <w:rFonts w:asciiTheme="majorHAnsi" w:eastAsiaTheme="majorEastAsia" w:hAnsiTheme="majorHAnsi" w:cstheme="majorBidi"/>
                                        <w:color w:val="FF0000"/>
                                        <w:sz w:val="48"/>
                                        <w:szCs w:val="48"/>
                                      </w:rPr>
                                      <w:t xml:space="preserve">     </w:t>
                                    </w:r>
                                  </w:sdtContent>
                                </w:sdt>
                              </w:p>
                              <w:p w14:paraId="210392FA" w14:textId="3CD09D7C" w:rsidR="00083524" w:rsidRPr="00C3453F" w:rsidRDefault="008B41F7"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83524">
                                      <w:rPr>
                                        <w:color w:val="8064A2" w:themeColor="accent4"/>
                                        <w:sz w:val="28"/>
                                        <w:szCs w:val="28"/>
                                      </w:rPr>
                                      <w:t xml:space="preserve">     </w:t>
                                    </w:r>
                                  </w:sdtContent>
                                </w:sdt>
                                <w:r w:rsidR="00083524" w:rsidRPr="00C3453F">
                                  <w:rPr>
                                    <w:color w:val="8064A2" w:themeColor="accent4"/>
                                    <w:sz w:val="28"/>
                                    <w:szCs w:val="28"/>
                                  </w:rPr>
                                  <w:t xml:space="preserve"> </w:t>
                                </w:r>
                                <w:bookmarkStart w:id="2" w:name="_Hlk62933924"/>
                              </w:p>
                              <w:bookmarkEnd w:id="2"/>
                              <w:p w14:paraId="212A42E9" w14:textId="77777777" w:rsidR="00083524" w:rsidRDefault="00083524" w:rsidP="00083524"/>
                              <w:p w14:paraId="6D55A00F" w14:textId="77777777" w:rsidR="00083524" w:rsidRDefault="00083524" w:rsidP="00083524"/>
                              <w:p w14:paraId="08EA613B" w14:textId="77777777" w:rsidR="00083524" w:rsidRDefault="00083524" w:rsidP="00083524"/>
                              <w:p w14:paraId="22A0B8A0" w14:textId="77777777" w:rsidR="00083524" w:rsidRDefault="00083524" w:rsidP="00083524"/>
                              <w:p w14:paraId="0AD7A1B4" w14:textId="77777777" w:rsidR="00083524" w:rsidRDefault="00083524" w:rsidP="00083524"/>
                              <w:p w14:paraId="0D632620" w14:textId="77777777" w:rsidR="00083524" w:rsidRDefault="00083524" w:rsidP="00083524"/>
                              <w:p w14:paraId="2FBA41CA" w14:textId="77777777" w:rsidR="00083524" w:rsidRDefault="00083524" w:rsidP="00083524"/>
                              <w:p w14:paraId="2ACEF734" w14:textId="0F0BE8D9" w:rsidR="00083524" w:rsidRDefault="00083524" w:rsidP="00083524">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4272602" id="Text Box 11" o:spid="_x0000_s1027" type="#_x0000_t202" style="position:absolute;left:0;text-align:left;margin-left:0;margin-top:0;width:4in;height:416.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FedgIAAFwFAAAOAAAAZHJzL2Uyb0RvYy54bWysVN9P2zAQfp+0/8Hy+0gBtaCKFHUgpkkI&#10;0MrEs+vYNJrj82y3SffX77OTFMT2wrQX53L33fl+fOeLy64xbKd8qMmW/PhowpmykqraPpf8++PN&#10;p3POQhS2EoasKvleBX65+PjhonVzdUIbMpXyDEFsmLeu5JsY3bwogtyoRoQjcsrCqMk3IuLXPxeV&#10;Fy2iN6Y4mUxmRUu+cp6kCgHa697IFzm+1krGe62DisyUHLnFfPp8rtNZLC7E/NkLt6nlkIb4hywa&#10;UVtcegh1LaJgW1//EaqppadAOh5JagrSupYq14BqjidvqllthFO5FjQnuEObwv8LK+92D57VFWZ3&#10;zJkVDWb0qLrIPlPHoEJ/WhfmgK0cgLGDHthRH6BMZXfaN+mLghjs6PT+0N0UTUJ5OpuezSYwSdim&#10;J+ez07NpilO8uDsf4hdFDUtCyT3Gl7sqdrch9tARkm6zdFMbk0doLGtLPjudTrLDwYLgxiasymQY&#10;wqSS+tSzFPdGJYyx35RGM3IFSZFpqK6MZzsBAgkplY25+BwX6ITSSOI9jgP+Jav3OPd1jDeTjQfn&#10;prbkc/Vv0q5+jCnrHo+ev6o7ibFbdz0Lxsmuqdpj4J76lQlO3tQYyq0I8UF47AgGib2P9zi0ITSf&#10;BomzDflff9MnPKgLK2ctdq7k4edWeMWZ+WpB6rSgo+BHYT0KdttcEaYAniKbLMLBRzOK2lPzhOdg&#10;mW6BSViJu0oeR/Eq9puP50Sq5TKDsIZOxFu7cjKFTkNJFHvsnoR3Aw8jKHxH4zaK+Rs69tjkaWm5&#10;jaTrzNXU176LQ7+xwpntw3OT3ojX/xn18igufgMAAP//AwBQSwMEFAAGAAgAAAAhANpr2O/eAAAA&#10;BQEAAA8AAABkcnMvZG93bnJldi54bWxMj0tPwzAQhO9I/AdrkbhRh5Y+CHEqBCpwAlqex228TSLi&#10;dRS7beDXs3CBy0ijWc18m81716gddaH2bOB0kIAiLrytuTTw/LQ4mYEKEdli45kMfFKAeX54kGFq&#10;/Z6XtFvFUkkJhxQNVDG2qdahqMhhGPiWWLKN7xxGsV2pbYd7KXeNHibJRDusWRYqbOmqouJjtXUG&#10;iundzetmefb+pRePb+cvD6PreH9rzPFRf3kBKlIf/47hB1/QIRemtd+yDaoxII/EX5VsPJ2IXRuY&#10;jYZj0Hmm/9Pn3wAAAP//AwBQSwECLQAUAAYACAAAACEAtoM4kv4AAADhAQAAEwAAAAAAAAAAAAAA&#10;AAAAAAAAW0NvbnRlbnRfVHlwZXNdLnhtbFBLAQItABQABgAIAAAAIQA4/SH/1gAAAJQBAAALAAAA&#10;AAAAAAAAAAAAAC8BAABfcmVscy8ucmVsc1BLAQItABQABgAIAAAAIQCgNGFedgIAAFwFAAAOAAAA&#10;AAAAAAAAAAAAAC4CAABkcnMvZTJvRG9jLnhtbFBLAQItABQABgAIAAAAIQDaa9jv3gAAAAUBAAAP&#10;AAAAAAAAAAAAAAAAANAEAABkcnMvZG93bnJldi54bWxQSwUGAAAAAAQABADzAAAA2wUAAAAA&#10;" filled="f" stroked="f" strokeweight=".5pt">
                    <v:textbox inset="0,0,0,0">
                      <w:txbxContent>
                        <w:p w14:paraId="31A1A354" w14:textId="77777777" w:rsidR="00083524" w:rsidRPr="00C3453F" w:rsidRDefault="008C5E53"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83524">
                                <w:rPr>
                                  <w:rFonts w:asciiTheme="majorHAnsi" w:eastAsiaTheme="majorEastAsia" w:hAnsiTheme="majorHAnsi" w:cstheme="majorBidi"/>
                                  <w:color w:val="FF0000"/>
                                  <w:sz w:val="48"/>
                                  <w:szCs w:val="48"/>
                                </w:rPr>
                                <w:t xml:space="preserve">     </w:t>
                              </w:r>
                            </w:sdtContent>
                          </w:sdt>
                        </w:p>
                        <w:p w14:paraId="210392FA" w14:textId="3CD09D7C" w:rsidR="00083524" w:rsidRPr="00C3453F" w:rsidRDefault="008C5E53"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83524">
                                <w:rPr>
                                  <w:color w:val="8064A2" w:themeColor="accent4"/>
                                  <w:sz w:val="28"/>
                                  <w:szCs w:val="28"/>
                                </w:rPr>
                                <w:t xml:space="preserve">     </w:t>
                              </w:r>
                            </w:sdtContent>
                          </w:sdt>
                          <w:r w:rsidR="00083524" w:rsidRPr="00C3453F">
                            <w:rPr>
                              <w:color w:val="8064A2" w:themeColor="accent4"/>
                              <w:sz w:val="28"/>
                              <w:szCs w:val="28"/>
                            </w:rPr>
                            <w:t xml:space="preserve"> </w:t>
                          </w:r>
                          <w:bookmarkStart w:id="3" w:name="_Hlk62933924"/>
                        </w:p>
                        <w:bookmarkEnd w:id="3"/>
                        <w:p w14:paraId="212A42E9" w14:textId="77777777" w:rsidR="00083524" w:rsidRDefault="00083524" w:rsidP="00083524"/>
                        <w:p w14:paraId="6D55A00F" w14:textId="77777777" w:rsidR="00083524" w:rsidRDefault="00083524" w:rsidP="00083524"/>
                        <w:p w14:paraId="08EA613B" w14:textId="77777777" w:rsidR="00083524" w:rsidRDefault="00083524" w:rsidP="00083524"/>
                        <w:p w14:paraId="22A0B8A0" w14:textId="77777777" w:rsidR="00083524" w:rsidRDefault="00083524" w:rsidP="00083524"/>
                        <w:p w14:paraId="0AD7A1B4" w14:textId="77777777" w:rsidR="00083524" w:rsidRDefault="00083524" w:rsidP="00083524"/>
                        <w:p w14:paraId="0D632620" w14:textId="77777777" w:rsidR="00083524" w:rsidRDefault="00083524" w:rsidP="00083524"/>
                        <w:p w14:paraId="2FBA41CA" w14:textId="77777777" w:rsidR="00083524" w:rsidRDefault="00083524" w:rsidP="00083524"/>
                        <w:p w14:paraId="2ACEF734" w14:textId="0F0BE8D9" w:rsidR="00083524" w:rsidRDefault="00083524" w:rsidP="00083524">
                          <w:pPr>
                            <w:jc w:val="center"/>
                          </w:pPr>
                        </w:p>
                      </w:txbxContent>
                    </v:textbox>
                    <w10:wrap anchorx="page" anchory="page"/>
                  </v:shape>
                </w:pict>
              </mc:Fallback>
            </mc:AlternateContent>
          </w:r>
        </w:p>
        <w:p w14:paraId="687728F9" w14:textId="77777777" w:rsidR="00294A19" w:rsidRPr="00294A19" w:rsidRDefault="00294A19" w:rsidP="00294A19">
          <w:pPr>
            <w:rPr>
              <w:lang w:val="en-US" w:eastAsia="en-US"/>
            </w:rPr>
          </w:pPr>
        </w:p>
        <w:p w14:paraId="49F0A23D" w14:textId="77777777" w:rsidR="00294A19" w:rsidRPr="00294A19" w:rsidRDefault="00294A19" w:rsidP="00294A19">
          <w:pPr>
            <w:rPr>
              <w:lang w:val="en-US" w:eastAsia="en-US"/>
            </w:rPr>
          </w:pPr>
        </w:p>
        <w:p w14:paraId="4AEAF6CA" w14:textId="77777777" w:rsidR="00294A19" w:rsidRPr="00294A19" w:rsidRDefault="00294A19" w:rsidP="00294A19">
          <w:pPr>
            <w:rPr>
              <w:lang w:val="en-US" w:eastAsia="en-US"/>
            </w:rPr>
          </w:pPr>
        </w:p>
        <w:p w14:paraId="325BC30B" w14:textId="301539D4" w:rsidR="00294A19" w:rsidRPr="00670E42" w:rsidRDefault="00294A19" w:rsidP="00294A19">
          <w:pPr>
            <w:spacing w:line="360" w:lineRule="auto"/>
            <w:jc w:val="both"/>
            <w:rPr>
              <w:rFonts w:ascii="Arial" w:hAnsi="Arial" w:cs="Arial"/>
              <w:color w:val="000000"/>
            </w:rPr>
          </w:pPr>
        </w:p>
        <w:p w14:paraId="05564215" w14:textId="77777777" w:rsidR="00294A19" w:rsidRDefault="00294A19" w:rsidP="00294A19">
          <w:pPr>
            <w:pStyle w:val="TOCHeading"/>
            <w:spacing w:line="360" w:lineRule="auto"/>
            <w:jc w:val="center"/>
            <w:rPr>
              <w:rFonts w:ascii="Arial" w:hAnsi="Arial" w:cs="Arial"/>
              <w:color w:val="000000"/>
            </w:rPr>
          </w:pPr>
          <w:r w:rsidRPr="00EF127A">
            <w:rPr>
              <w:rFonts w:ascii="Arial" w:hAnsi="Arial" w:cs="Arial"/>
              <w:color w:val="000000"/>
            </w:rPr>
            <w:t>Table of Contents</w:t>
          </w:r>
        </w:p>
        <w:p w14:paraId="5931E53C" w14:textId="77777777" w:rsidR="00294A19" w:rsidRPr="006C55CC" w:rsidRDefault="00294A19" w:rsidP="00294A19">
          <w:pPr>
            <w:rPr>
              <w:lang w:eastAsia="en-US"/>
            </w:rPr>
          </w:pPr>
        </w:p>
        <w:p w14:paraId="6A34252E" w14:textId="73236637" w:rsidR="00294A19" w:rsidRPr="00E119E1" w:rsidRDefault="008927B5" w:rsidP="00294A19">
          <w:pPr>
            <w:pStyle w:val="TOC1"/>
            <w:spacing w:line="360" w:lineRule="auto"/>
            <w:rPr>
              <w:rFonts w:ascii="Arial" w:eastAsia="Times New Roman" w:hAnsi="Arial" w:cs="Arial"/>
              <w:b w:val="0"/>
              <w:bCs w:val="0"/>
              <w:i w:val="0"/>
              <w:iCs w:val="0"/>
              <w:noProof/>
              <w:color w:val="000000"/>
              <w:lang w:val="en-GB" w:eastAsia="en-GB"/>
            </w:rPr>
          </w:pPr>
          <w:r w:rsidRPr="008927B5">
            <w:rPr>
              <w:rFonts w:ascii="Arial" w:hAnsi="Arial" w:cs="Arial"/>
              <w:i w:val="0"/>
              <w:iCs w:val="0"/>
              <w:color w:val="000000"/>
            </w:rPr>
            <w:t>SRA</w:t>
          </w:r>
          <w:r>
            <w:rPr>
              <w:rFonts w:ascii="Arial" w:hAnsi="Arial" w:cs="Arial"/>
              <w:b w:val="0"/>
              <w:bCs w:val="0"/>
              <w:i w:val="0"/>
              <w:iCs w:val="0"/>
              <w:color w:val="000000"/>
            </w:rPr>
            <w:t xml:space="preserve"> </w:t>
          </w:r>
          <w:r w:rsidR="00294A19" w:rsidRPr="00E119E1">
            <w:rPr>
              <w:rFonts w:ascii="Arial" w:hAnsi="Arial" w:cs="Arial"/>
              <w:b w:val="0"/>
              <w:bCs w:val="0"/>
              <w:i w:val="0"/>
              <w:iCs w:val="0"/>
              <w:color w:val="000000"/>
            </w:rPr>
            <w:fldChar w:fldCharType="begin"/>
          </w:r>
          <w:r w:rsidR="00294A19" w:rsidRPr="00E119E1">
            <w:rPr>
              <w:rFonts w:ascii="Arial" w:hAnsi="Arial" w:cs="Arial"/>
              <w:i w:val="0"/>
              <w:iCs w:val="0"/>
              <w:color w:val="000000"/>
            </w:rPr>
            <w:instrText xml:space="preserve"> TOC \o "1-3" \h \z \u </w:instrText>
          </w:r>
          <w:r w:rsidR="00294A19" w:rsidRPr="00E119E1">
            <w:rPr>
              <w:rFonts w:ascii="Arial" w:hAnsi="Arial" w:cs="Arial"/>
              <w:b w:val="0"/>
              <w:bCs w:val="0"/>
              <w:i w:val="0"/>
              <w:iCs w:val="0"/>
              <w:color w:val="000000"/>
            </w:rPr>
            <w:fldChar w:fldCharType="separate"/>
          </w:r>
          <w:hyperlink w:anchor="_Toc70378537" w:history="1">
            <w:r w:rsidR="00294A19" w:rsidRPr="00E119E1">
              <w:rPr>
                <w:rStyle w:val="Hyperlink"/>
                <w:rFonts w:ascii="Arial" w:hAnsi="Arial" w:cs="Arial"/>
                <w:i w:val="0"/>
                <w:iCs w:val="0"/>
                <w:smallCaps/>
                <w:noProof/>
                <w:color w:val="000000"/>
                <w:spacing w:val="5"/>
                <w:lang w:val="en-GB"/>
              </w:rPr>
              <w:t>CODE OF CONDUCT</w:t>
            </w:r>
            <w:r w:rsidR="00294A19" w:rsidRPr="00E119E1">
              <w:rPr>
                <w:rFonts w:ascii="Arial" w:hAnsi="Arial" w:cs="Arial"/>
                <w:i w:val="0"/>
                <w:iCs w:val="0"/>
                <w:noProof/>
                <w:webHidden/>
                <w:color w:val="000000"/>
              </w:rPr>
              <w:tab/>
            </w:r>
            <w:r w:rsidR="00294A19" w:rsidRPr="00E119E1">
              <w:rPr>
                <w:rFonts w:ascii="Arial" w:hAnsi="Arial" w:cs="Arial"/>
                <w:i w:val="0"/>
                <w:iCs w:val="0"/>
                <w:noProof/>
                <w:webHidden/>
                <w:color w:val="000000"/>
              </w:rPr>
              <w:fldChar w:fldCharType="begin"/>
            </w:r>
            <w:r w:rsidR="00294A19" w:rsidRPr="00E119E1">
              <w:rPr>
                <w:rFonts w:ascii="Arial" w:hAnsi="Arial" w:cs="Arial"/>
                <w:i w:val="0"/>
                <w:iCs w:val="0"/>
                <w:noProof/>
                <w:webHidden/>
                <w:color w:val="000000"/>
              </w:rPr>
              <w:instrText xml:space="preserve"> PAGEREF _Toc70378537 \h </w:instrText>
            </w:r>
            <w:r w:rsidR="00294A19" w:rsidRPr="00E119E1">
              <w:rPr>
                <w:rFonts w:ascii="Arial" w:hAnsi="Arial" w:cs="Arial"/>
                <w:i w:val="0"/>
                <w:iCs w:val="0"/>
                <w:noProof/>
                <w:webHidden/>
                <w:color w:val="000000"/>
              </w:rPr>
            </w:r>
            <w:r w:rsidR="00294A19" w:rsidRPr="00E119E1">
              <w:rPr>
                <w:rFonts w:ascii="Arial" w:hAnsi="Arial" w:cs="Arial"/>
                <w:i w:val="0"/>
                <w:iCs w:val="0"/>
                <w:noProof/>
                <w:webHidden/>
                <w:color w:val="000000"/>
              </w:rPr>
              <w:fldChar w:fldCharType="separate"/>
            </w:r>
            <w:r w:rsidR="00294A19" w:rsidRPr="00E119E1">
              <w:rPr>
                <w:rFonts w:ascii="Arial" w:hAnsi="Arial" w:cs="Arial"/>
                <w:i w:val="0"/>
                <w:iCs w:val="0"/>
                <w:noProof/>
                <w:webHidden/>
                <w:color w:val="000000"/>
              </w:rPr>
              <w:t>3</w:t>
            </w:r>
            <w:r w:rsidR="00294A19" w:rsidRPr="00E119E1">
              <w:rPr>
                <w:rFonts w:ascii="Arial" w:hAnsi="Arial" w:cs="Arial"/>
                <w:i w:val="0"/>
                <w:iCs w:val="0"/>
                <w:noProof/>
                <w:webHidden/>
                <w:color w:val="000000"/>
              </w:rPr>
              <w:fldChar w:fldCharType="end"/>
            </w:r>
          </w:hyperlink>
        </w:p>
        <w:p w14:paraId="6D83559C" w14:textId="77777777" w:rsidR="00294A19" w:rsidRPr="00E119E1" w:rsidRDefault="008B41F7" w:rsidP="00294A19">
          <w:pPr>
            <w:pStyle w:val="TOC1"/>
            <w:tabs>
              <w:tab w:val="left" w:pos="480"/>
            </w:tabs>
            <w:spacing w:line="360" w:lineRule="auto"/>
            <w:rPr>
              <w:rFonts w:ascii="Arial" w:eastAsia="Times New Roman" w:hAnsi="Arial" w:cs="Arial"/>
              <w:b w:val="0"/>
              <w:bCs w:val="0"/>
              <w:i w:val="0"/>
              <w:iCs w:val="0"/>
              <w:noProof/>
              <w:color w:val="000000"/>
              <w:lang w:val="en-GB" w:eastAsia="en-GB"/>
            </w:rPr>
          </w:pPr>
          <w:hyperlink w:anchor="_Toc70378538" w:history="1">
            <w:r w:rsidR="00294A19" w:rsidRPr="00E119E1">
              <w:rPr>
                <w:rStyle w:val="Hyperlink"/>
                <w:rFonts w:ascii="Arial" w:hAnsi="Arial" w:cs="Arial"/>
                <w:i w:val="0"/>
                <w:iCs w:val="0"/>
                <w:noProof/>
                <w:color w:val="000000"/>
                <w:lang w:val="en-GB"/>
              </w:rPr>
              <w:t>I.</w:t>
            </w:r>
            <w:r w:rsidR="00294A19" w:rsidRPr="00E119E1">
              <w:rPr>
                <w:rFonts w:ascii="Arial" w:eastAsia="Times New Roman" w:hAnsi="Arial" w:cs="Arial"/>
                <w:b w:val="0"/>
                <w:bCs w:val="0"/>
                <w:i w:val="0"/>
                <w:iCs w:val="0"/>
                <w:noProof/>
                <w:color w:val="000000"/>
                <w:lang w:val="en-GB" w:eastAsia="en-GB"/>
              </w:rPr>
              <w:tab/>
            </w:r>
            <w:r w:rsidR="00294A19" w:rsidRPr="00E119E1">
              <w:rPr>
                <w:rStyle w:val="Hyperlink"/>
                <w:rFonts w:ascii="Arial" w:hAnsi="Arial" w:cs="Arial"/>
                <w:i w:val="0"/>
                <w:iCs w:val="0"/>
                <w:noProof/>
                <w:color w:val="000000"/>
                <w:lang w:val="en-GB"/>
              </w:rPr>
              <w:t>INTRODUCTION:</w:t>
            </w:r>
            <w:r w:rsidR="00294A19" w:rsidRPr="00E119E1">
              <w:rPr>
                <w:rFonts w:ascii="Arial" w:hAnsi="Arial" w:cs="Arial"/>
                <w:i w:val="0"/>
                <w:iCs w:val="0"/>
                <w:noProof/>
                <w:webHidden/>
                <w:color w:val="000000"/>
              </w:rPr>
              <w:tab/>
            </w:r>
            <w:r w:rsidR="00294A19" w:rsidRPr="00E119E1">
              <w:rPr>
                <w:rFonts w:ascii="Arial" w:hAnsi="Arial" w:cs="Arial"/>
                <w:i w:val="0"/>
                <w:iCs w:val="0"/>
                <w:noProof/>
                <w:webHidden/>
                <w:color w:val="000000"/>
              </w:rPr>
              <w:fldChar w:fldCharType="begin"/>
            </w:r>
            <w:r w:rsidR="00294A19" w:rsidRPr="00E119E1">
              <w:rPr>
                <w:rFonts w:ascii="Arial" w:hAnsi="Arial" w:cs="Arial"/>
                <w:i w:val="0"/>
                <w:iCs w:val="0"/>
                <w:noProof/>
                <w:webHidden/>
                <w:color w:val="000000"/>
              </w:rPr>
              <w:instrText xml:space="preserve"> PAGEREF _Toc70378538 \h </w:instrText>
            </w:r>
            <w:r w:rsidR="00294A19" w:rsidRPr="00E119E1">
              <w:rPr>
                <w:rFonts w:ascii="Arial" w:hAnsi="Arial" w:cs="Arial"/>
                <w:i w:val="0"/>
                <w:iCs w:val="0"/>
                <w:noProof/>
                <w:webHidden/>
                <w:color w:val="000000"/>
              </w:rPr>
            </w:r>
            <w:r w:rsidR="00294A19" w:rsidRPr="00E119E1">
              <w:rPr>
                <w:rFonts w:ascii="Arial" w:hAnsi="Arial" w:cs="Arial"/>
                <w:i w:val="0"/>
                <w:iCs w:val="0"/>
                <w:noProof/>
                <w:webHidden/>
                <w:color w:val="000000"/>
              </w:rPr>
              <w:fldChar w:fldCharType="separate"/>
            </w:r>
            <w:r w:rsidR="00294A19" w:rsidRPr="00E119E1">
              <w:rPr>
                <w:rFonts w:ascii="Arial" w:hAnsi="Arial" w:cs="Arial"/>
                <w:i w:val="0"/>
                <w:iCs w:val="0"/>
                <w:noProof/>
                <w:webHidden/>
                <w:color w:val="000000"/>
              </w:rPr>
              <w:t>3</w:t>
            </w:r>
            <w:r w:rsidR="00294A19" w:rsidRPr="00E119E1">
              <w:rPr>
                <w:rFonts w:ascii="Arial" w:hAnsi="Arial" w:cs="Arial"/>
                <w:i w:val="0"/>
                <w:iCs w:val="0"/>
                <w:noProof/>
                <w:webHidden/>
                <w:color w:val="000000"/>
              </w:rPr>
              <w:fldChar w:fldCharType="end"/>
            </w:r>
          </w:hyperlink>
        </w:p>
        <w:p w14:paraId="62784432" w14:textId="77777777" w:rsidR="00294A19" w:rsidRPr="00E119E1" w:rsidRDefault="008B41F7" w:rsidP="00294A19">
          <w:pPr>
            <w:pStyle w:val="TOC1"/>
            <w:tabs>
              <w:tab w:val="left" w:pos="720"/>
            </w:tabs>
            <w:spacing w:line="360" w:lineRule="auto"/>
            <w:rPr>
              <w:rFonts w:ascii="Arial" w:eastAsia="Times New Roman" w:hAnsi="Arial" w:cs="Arial"/>
              <w:b w:val="0"/>
              <w:bCs w:val="0"/>
              <w:i w:val="0"/>
              <w:iCs w:val="0"/>
              <w:noProof/>
              <w:color w:val="000000"/>
              <w:lang w:val="en-GB" w:eastAsia="en-GB"/>
            </w:rPr>
          </w:pPr>
          <w:hyperlink w:anchor="_Toc70378539" w:history="1">
            <w:r w:rsidR="00294A19" w:rsidRPr="00E119E1">
              <w:rPr>
                <w:rStyle w:val="Hyperlink"/>
                <w:rFonts w:ascii="Arial" w:hAnsi="Arial" w:cs="Arial"/>
                <w:i w:val="0"/>
                <w:iCs w:val="0"/>
                <w:noProof/>
                <w:color w:val="000000"/>
                <w:lang w:val="en-GB"/>
              </w:rPr>
              <w:t>II.</w:t>
            </w:r>
            <w:r w:rsidR="00294A19" w:rsidRPr="00E119E1">
              <w:rPr>
                <w:rFonts w:ascii="Arial" w:eastAsia="Times New Roman" w:hAnsi="Arial" w:cs="Arial"/>
                <w:b w:val="0"/>
                <w:bCs w:val="0"/>
                <w:i w:val="0"/>
                <w:iCs w:val="0"/>
                <w:noProof/>
                <w:color w:val="000000"/>
                <w:lang w:val="en-GB" w:eastAsia="en-GB"/>
              </w:rPr>
              <w:tab/>
            </w:r>
            <w:r w:rsidR="00294A19" w:rsidRPr="00E119E1">
              <w:rPr>
                <w:rStyle w:val="Hyperlink"/>
                <w:rFonts w:ascii="Arial" w:hAnsi="Arial" w:cs="Arial"/>
                <w:i w:val="0"/>
                <w:iCs w:val="0"/>
                <w:noProof/>
                <w:color w:val="000000"/>
                <w:lang w:val="en-GB"/>
              </w:rPr>
              <w:t>INTRODUCTION TO PRINCIPLES:</w:t>
            </w:r>
            <w:r w:rsidR="00294A19" w:rsidRPr="00E119E1">
              <w:rPr>
                <w:rFonts w:ascii="Arial" w:hAnsi="Arial" w:cs="Arial"/>
                <w:i w:val="0"/>
                <w:iCs w:val="0"/>
                <w:noProof/>
                <w:webHidden/>
                <w:color w:val="000000"/>
              </w:rPr>
              <w:tab/>
            </w:r>
            <w:r w:rsidR="00294A19" w:rsidRPr="00E119E1">
              <w:rPr>
                <w:rFonts w:ascii="Arial" w:hAnsi="Arial" w:cs="Arial"/>
                <w:i w:val="0"/>
                <w:iCs w:val="0"/>
                <w:noProof/>
                <w:webHidden/>
                <w:color w:val="000000"/>
              </w:rPr>
              <w:fldChar w:fldCharType="begin"/>
            </w:r>
            <w:r w:rsidR="00294A19" w:rsidRPr="00E119E1">
              <w:rPr>
                <w:rFonts w:ascii="Arial" w:hAnsi="Arial" w:cs="Arial"/>
                <w:i w:val="0"/>
                <w:iCs w:val="0"/>
                <w:noProof/>
                <w:webHidden/>
                <w:color w:val="000000"/>
              </w:rPr>
              <w:instrText xml:space="preserve"> PAGEREF _Toc70378539 \h </w:instrText>
            </w:r>
            <w:r w:rsidR="00294A19" w:rsidRPr="00E119E1">
              <w:rPr>
                <w:rFonts w:ascii="Arial" w:hAnsi="Arial" w:cs="Arial"/>
                <w:i w:val="0"/>
                <w:iCs w:val="0"/>
                <w:noProof/>
                <w:webHidden/>
                <w:color w:val="000000"/>
              </w:rPr>
            </w:r>
            <w:r w:rsidR="00294A19" w:rsidRPr="00E119E1">
              <w:rPr>
                <w:rFonts w:ascii="Arial" w:hAnsi="Arial" w:cs="Arial"/>
                <w:i w:val="0"/>
                <w:iCs w:val="0"/>
                <w:noProof/>
                <w:webHidden/>
                <w:color w:val="000000"/>
              </w:rPr>
              <w:fldChar w:fldCharType="separate"/>
            </w:r>
            <w:r w:rsidR="00294A19" w:rsidRPr="00E119E1">
              <w:rPr>
                <w:rFonts w:ascii="Arial" w:hAnsi="Arial" w:cs="Arial"/>
                <w:i w:val="0"/>
                <w:iCs w:val="0"/>
                <w:noProof/>
                <w:webHidden/>
                <w:color w:val="000000"/>
              </w:rPr>
              <w:t>3</w:t>
            </w:r>
            <w:r w:rsidR="00294A19" w:rsidRPr="00E119E1">
              <w:rPr>
                <w:rFonts w:ascii="Arial" w:hAnsi="Arial" w:cs="Arial"/>
                <w:i w:val="0"/>
                <w:iCs w:val="0"/>
                <w:noProof/>
                <w:webHidden/>
                <w:color w:val="000000"/>
              </w:rPr>
              <w:fldChar w:fldCharType="end"/>
            </w:r>
          </w:hyperlink>
        </w:p>
        <w:p w14:paraId="3ADD1C30"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0" w:history="1">
            <w:r w:rsidR="00294A19" w:rsidRPr="00E119E1">
              <w:rPr>
                <w:rStyle w:val="Hyperlink"/>
                <w:rFonts w:ascii="Arial" w:hAnsi="Arial" w:cs="Arial"/>
                <w:noProof/>
                <w:color w:val="000000"/>
                <w:sz w:val="24"/>
                <w:szCs w:val="24"/>
                <w:lang w:val="en-GB"/>
              </w:rPr>
              <w:t>i.</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Principles of SRA code of conduct:</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_Toc70378540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3</w:t>
            </w:r>
            <w:r w:rsidR="00294A19" w:rsidRPr="00E119E1">
              <w:rPr>
                <w:rFonts w:ascii="Arial" w:hAnsi="Arial" w:cs="Arial"/>
                <w:noProof/>
                <w:webHidden/>
                <w:color w:val="000000"/>
                <w:sz w:val="24"/>
                <w:szCs w:val="24"/>
              </w:rPr>
              <w:fldChar w:fldCharType="end"/>
            </w:r>
          </w:hyperlink>
        </w:p>
        <w:p w14:paraId="4F8F381A"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1" w:history="1">
            <w:r w:rsidR="00294A19" w:rsidRPr="00E119E1">
              <w:rPr>
                <w:rStyle w:val="Hyperlink"/>
                <w:rFonts w:ascii="Arial" w:hAnsi="Arial" w:cs="Arial"/>
                <w:noProof/>
                <w:color w:val="000000"/>
                <w:sz w:val="24"/>
                <w:szCs w:val="24"/>
                <w:lang w:val="en-GB"/>
              </w:rPr>
              <w:t>ii.</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Risks and compliance:</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_Toc70378541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3</w:t>
            </w:r>
            <w:r w:rsidR="00294A19" w:rsidRPr="00E119E1">
              <w:rPr>
                <w:rFonts w:ascii="Arial" w:hAnsi="Arial" w:cs="Arial"/>
                <w:noProof/>
                <w:webHidden/>
                <w:color w:val="000000"/>
                <w:sz w:val="24"/>
                <w:szCs w:val="24"/>
              </w:rPr>
              <w:fldChar w:fldCharType="end"/>
            </w:r>
          </w:hyperlink>
        </w:p>
        <w:p w14:paraId="44680F0B"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2" w:history="1">
            <w:r w:rsidR="00294A19" w:rsidRPr="00E119E1">
              <w:rPr>
                <w:rStyle w:val="Hyperlink"/>
                <w:rFonts w:ascii="Arial" w:hAnsi="Arial" w:cs="Arial"/>
                <w:noProof/>
                <w:color w:val="000000"/>
                <w:sz w:val="24"/>
                <w:szCs w:val="24"/>
                <w:lang w:val="en-GB"/>
              </w:rPr>
              <w:t>iii.</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Clients care requirements:</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_Toc70378542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4</w:t>
            </w:r>
            <w:r w:rsidR="00294A19" w:rsidRPr="00E119E1">
              <w:rPr>
                <w:rFonts w:ascii="Arial" w:hAnsi="Arial" w:cs="Arial"/>
                <w:noProof/>
                <w:webHidden/>
                <w:color w:val="000000"/>
                <w:sz w:val="24"/>
                <w:szCs w:val="24"/>
              </w:rPr>
              <w:fldChar w:fldCharType="end"/>
            </w:r>
          </w:hyperlink>
        </w:p>
        <w:p w14:paraId="6715EB6A"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3" w:history="1">
            <w:r w:rsidR="00294A19" w:rsidRPr="00E119E1">
              <w:rPr>
                <w:rStyle w:val="Hyperlink"/>
                <w:rFonts w:ascii="Arial" w:hAnsi="Arial" w:cs="Arial"/>
                <w:noProof/>
                <w:color w:val="000000"/>
                <w:sz w:val="24"/>
                <w:szCs w:val="24"/>
                <w:lang w:val="en-GB"/>
              </w:rPr>
              <w:t>iv.</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Conflicts of interest and Client’s confidentiality:</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_Toc70378543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4</w:t>
            </w:r>
            <w:r w:rsidR="00294A19" w:rsidRPr="00E119E1">
              <w:rPr>
                <w:rFonts w:ascii="Arial" w:hAnsi="Arial" w:cs="Arial"/>
                <w:noProof/>
                <w:webHidden/>
                <w:color w:val="000000"/>
                <w:sz w:val="24"/>
                <w:szCs w:val="24"/>
              </w:rPr>
              <w:fldChar w:fldCharType="end"/>
            </w:r>
          </w:hyperlink>
        </w:p>
        <w:p w14:paraId="4EF53A37"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4" w:history="1">
            <w:r w:rsidR="00294A19" w:rsidRPr="00E119E1">
              <w:rPr>
                <w:rStyle w:val="Hyperlink"/>
                <w:rFonts w:ascii="Arial" w:hAnsi="Arial" w:cs="Arial"/>
                <w:noProof/>
                <w:color w:val="000000"/>
                <w:sz w:val="24"/>
                <w:szCs w:val="24"/>
                <w:lang w:val="en-GB"/>
              </w:rPr>
              <w:t>v.</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Duties owed to client, parties, and court:</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_Toc70378544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5</w:t>
            </w:r>
            <w:r w:rsidR="00294A19" w:rsidRPr="00E119E1">
              <w:rPr>
                <w:rFonts w:ascii="Arial" w:hAnsi="Arial" w:cs="Arial"/>
                <w:noProof/>
                <w:webHidden/>
                <w:color w:val="000000"/>
                <w:sz w:val="24"/>
                <w:szCs w:val="24"/>
              </w:rPr>
              <w:fldChar w:fldCharType="end"/>
            </w:r>
          </w:hyperlink>
        </w:p>
        <w:p w14:paraId="30C741B9" w14:textId="77777777" w:rsidR="00294A19" w:rsidRPr="00E119E1" w:rsidRDefault="008B41F7" w:rsidP="00294A19">
          <w:pPr>
            <w:pStyle w:val="TOC2"/>
            <w:tabs>
              <w:tab w:val="left" w:pos="720"/>
              <w:tab w:val="right" w:leader="dot" w:pos="9350"/>
            </w:tabs>
            <w:spacing w:line="360" w:lineRule="auto"/>
            <w:rPr>
              <w:rFonts w:ascii="Arial" w:eastAsia="Times New Roman" w:hAnsi="Arial" w:cs="Arial"/>
              <w:noProof/>
              <w:color w:val="000000"/>
              <w:sz w:val="24"/>
              <w:szCs w:val="24"/>
              <w:lang w:val="en-GB" w:eastAsia="en-GB"/>
            </w:rPr>
          </w:pPr>
          <w:hyperlink w:anchor="_Toc70378545" w:history="1">
            <w:r w:rsidR="00294A19" w:rsidRPr="00E119E1">
              <w:rPr>
                <w:rStyle w:val="Hyperlink"/>
                <w:rFonts w:ascii="Arial" w:hAnsi="Arial" w:cs="Arial"/>
                <w:noProof/>
                <w:color w:val="000000"/>
                <w:sz w:val="24"/>
                <w:szCs w:val="24"/>
                <w:lang w:val="en-GB"/>
              </w:rPr>
              <w:t>vi.</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Anti-money laundering, due diligence:</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_Toc70378545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6</w:t>
            </w:r>
            <w:r w:rsidR="00294A19" w:rsidRPr="00E119E1">
              <w:rPr>
                <w:rFonts w:ascii="Arial" w:hAnsi="Arial" w:cs="Arial"/>
                <w:noProof/>
                <w:webHidden/>
                <w:color w:val="000000"/>
                <w:sz w:val="24"/>
                <w:szCs w:val="24"/>
              </w:rPr>
              <w:fldChar w:fldCharType="end"/>
            </w:r>
          </w:hyperlink>
        </w:p>
        <w:p w14:paraId="673125B4" w14:textId="77777777" w:rsidR="00294A19" w:rsidRPr="00E119E1" w:rsidRDefault="008B41F7" w:rsidP="00294A19">
          <w:pPr>
            <w:pStyle w:val="TOC2"/>
            <w:tabs>
              <w:tab w:val="left" w:pos="960"/>
              <w:tab w:val="right" w:leader="dot" w:pos="9350"/>
            </w:tabs>
            <w:spacing w:line="360" w:lineRule="auto"/>
            <w:rPr>
              <w:rFonts w:ascii="Arial" w:eastAsia="Times New Roman" w:hAnsi="Arial" w:cs="Arial"/>
              <w:noProof/>
              <w:color w:val="000000"/>
              <w:sz w:val="24"/>
              <w:szCs w:val="24"/>
              <w:lang w:val="en-GB" w:eastAsia="en-GB"/>
            </w:rPr>
          </w:pPr>
          <w:hyperlink w:anchor="_Toc70378546" w:history="1">
            <w:r w:rsidR="00294A19" w:rsidRPr="00E119E1">
              <w:rPr>
                <w:rStyle w:val="Hyperlink"/>
                <w:rFonts w:ascii="Arial" w:hAnsi="Arial" w:cs="Arial"/>
                <w:noProof/>
                <w:color w:val="000000"/>
                <w:sz w:val="24"/>
                <w:szCs w:val="24"/>
                <w:lang w:val="en-GB"/>
              </w:rPr>
              <w:t>vii.</w:t>
            </w:r>
            <w:r w:rsidR="00294A19" w:rsidRPr="00E119E1">
              <w:rPr>
                <w:rFonts w:ascii="Arial" w:eastAsia="Times New Roman" w:hAnsi="Arial" w:cs="Arial"/>
                <w:noProof/>
                <w:color w:val="000000"/>
                <w:sz w:val="24"/>
                <w:szCs w:val="24"/>
                <w:lang w:val="en-GB" w:eastAsia="en-GB"/>
              </w:rPr>
              <w:tab/>
            </w:r>
            <w:r w:rsidR="00294A19" w:rsidRPr="00E119E1">
              <w:rPr>
                <w:rStyle w:val="Hyperlink"/>
                <w:rFonts w:ascii="Arial" w:hAnsi="Arial" w:cs="Arial"/>
                <w:noProof/>
                <w:color w:val="000000"/>
                <w:sz w:val="24"/>
                <w:szCs w:val="24"/>
                <w:lang w:val="en-GB"/>
              </w:rPr>
              <w:t>Acting for multiple clients:</w:t>
            </w:r>
            <w:r w:rsidR="00294A19" w:rsidRPr="00E119E1">
              <w:rPr>
                <w:rFonts w:ascii="Arial" w:hAnsi="Arial" w:cs="Arial"/>
                <w:noProof/>
                <w:webHidden/>
                <w:color w:val="000000"/>
                <w:sz w:val="24"/>
                <w:szCs w:val="24"/>
              </w:rPr>
              <w:tab/>
            </w:r>
            <w:r w:rsidR="00294A19" w:rsidRPr="00E119E1">
              <w:rPr>
                <w:rFonts w:ascii="Arial" w:hAnsi="Arial" w:cs="Arial"/>
                <w:noProof/>
                <w:webHidden/>
                <w:color w:val="000000"/>
                <w:sz w:val="24"/>
                <w:szCs w:val="24"/>
              </w:rPr>
              <w:fldChar w:fldCharType="begin"/>
            </w:r>
            <w:r w:rsidR="00294A19" w:rsidRPr="00E119E1">
              <w:rPr>
                <w:rFonts w:ascii="Arial" w:hAnsi="Arial" w:cs="Arial"/>
                <w:noProof/>
                <w:webHidden/>
                <w:color w:val="000000"/>
                <w:sz w:val="24"/>
                <w:szCs w:val="24"/>
              </w:rPr>
              <w:instrText xml:space="preserve"> PAGEREF _Toc70378546 \h </w:instrText>
            </w:r>
            <w:r w:rsidR="00294A19" w:rsidRPr="00E119E1">
              <w:rPr>
                <w:rFonts w:ascii="Arial" w:hAnsi="Arial" w:cs="Arial"/>
                <w:noProof/>
                <w:webHidden/>
                <w:color w:val="000000"/>
                <w:sz w:val="24"/>
                <w:szCs w:val="24"/>
              </w:rPr>
            </w:r>
            <w:r w:rsidR="00294A19" w:rsidRPr="00E119E1">
              <w:rPr>
                <w:rFonts w:ascii="Arial" w:hAnsi="Arial" w:cs="Arial"/>
                <w:noProof/>
                <w:webHidden/>
                <w:color w:val="000000"/>
                <w:sz w:val="24"/>
                <w:szCs w:val="24"/>
              </w:rPr>
              <w:fldChar w:fldCharType="separate"/>
            </w:r>
            <w:r w:rsidR="00294A19" w:rsidRPr="00E119E1">
              <w:rPr>
                <w:rFonts w:ascii="Arial" w:hAnsi="Arial" w:cs="Arial"/>
                <w:noProof/>
                <w:webHidden/>
                <w:color w:val="000000"/>
                <w:sz w:val="24"/>
                <w:szCs w:val="24"/>
              </w:rPr>
              <w:t>7</w:t>
            </w:r>
            <w:r w:rsidR="00294A19" w:rsidRPr="00E119E1">
              <w:rPr>
                <w:rFonts w:ascii="Arial" w:hAnsi="Arial" w:cs="Arial"/>
                <w:noProof/>
                <w:webHidden/>
                <w:color w:val="000000"/>
                <w:sz w:val="24"/>
                <w:szCs w:val="24"/>
              </w:rPr>
              <w:fldChar w:fldCharType="end"/>
            </w:r>
          </w:hyperlink>
        </w:p>
        <w:p w14:paraId="63805FE0" w14:textId="77777777" w:rsidR="00294A19" w:rsidRPr="00E119E1" w:rsidRDefault="008B41F7" w:rsidP="00294A19">
          <w:pPr>
            <w:pStyle w:val="TOC1"/>
            <w:tabs>
              <w:tab w:val="left" w:pos="720"/>
            </w:tabs>
            <w:spacing w:line="360" w:lineRule="auto"/>
            <w:rPr>
              <w:rFonts w:ascii="Arial" w:eastAsia="Times New Roman" w:hAnsi="Arial" w:cs="Arial"/>
              <w:b w:val="0"/>
              <w:bCs w:val="0"/>
              <w:i w:val="0"/>
              <w:iCs w:val="0"/>
              <w:noProof/>
              <w:color w:val="000000"/>
              <w:lang w:val="en-GB" w:eastAsia="en-GB"/>
            </w:rPr>
          </w:pPr>
          <w:hyperlink w:anchor="_Toc70378547" w:history="1">
            <w:r w:rsidR="00294A19" w:rsidRPr="00E119E1">
              <w:rPr>
                <w:rStyle w:val="Hyperlink"/>
                <w:rFonts w:ascii="Arial" w:hAnsi="Arial" w:cs="Arial"/>
                <w:i w:val="0"/>
                <w:iCs w:val="0"/>
                <w:noProof/>
                <w:color w:val="000000"/>
                <w:lang w:val="en-GB"/>
              </w:rPr>
              <w:t>III.</w:t>
            </w:r>
            <w:r w:rsidR="00294A19" w:rsidRPr="00E119E1">
              <w:rPr>
                <w:rFonts w:ascii="Arial" w:eastAsia="Times New Roman" w:hAnsi="Arial" w:cs="Arial"/>
                <w:b w:val="0"/>
                <w:bCs w:val="0"/>
                <w:i w:val="0"/>
                <w:iCs w:val="0"/>
                <w:noProof/>
                <w:color w:val="000000"/>
                <w:lang w:val="en-GB" w:eastAsia="en-GB"/>
              </w:rPr>
              <w:tab/>
            </w:r>
            <w:r w:rsidR="00294A19" w:rsidRPr="00E119E1">
              <w:rPr>
                <w:rStyle w:val="Hyperlink"/>
                <w:rFonts w:ascii="Arial" w:hAnsi="Arial" w:cs="Arial"/>
                <w:i w:val="0"/>
                <w:iCs w:val="0"/>
                <w:noProof/>
                <w:color w:val="000000"/>
                <w:lang w:val="en-GB"/>
              </w:rPr>
              <w:t>CONCLUSION:</w:t>
            </w:r>
            <w:r w:rsidR="00294A19" w:rsidRPr="00E119E1">
              <w:rPr>
                <w:rFonts w:ascii="Arial" w:hAnsi="Arial" w:cs="Arial"/>
                <w:i w:val="0"/>
                <w:iCs w:val="0"/>
                <w:noProof/>
                <w:webHidden/>
                <w:color w:val="000000"/>
              </w:rPr>
              <w:tab/>
            </w:r>
            <w:r w:rsidR="00294A19" w:rsidRPr="00E119E1">
              <w:rPr>
                <w:rFonts w:ascii="Arial" w:hAnsi="Arial" w:cs="Arial"/>
                <w:i w:val="0"/>
                <w:iCs w:val="0"/>
                <w:noProof/>
                <w:webHidden/>
                <w:color w:val="000000"/>
              </w:rPr>
              <w:fldChar w:fldCharType="begin"/>
            </w:r>
            <w:r w:rsidR="00294A19" w:rsidRPr="00E119E1">
              <w:rPr>
                <w:rFonts w:ascii="Arial" w:hAnsi="Arial" w:cs="Arial"/>
                <w:i w:val="0"/>
                <w:iCs w:val="0"/>
                <w:noProof/>
                <w:webHidden/>
                <w:color w:val="000000"/>
              </w:rPr>
              <w:instrText xml:space="preserve"> PAGEREF _Toc70378547 \h </w:instrText>
            </w:r>
            <w:r w:rsidR="00294A19" w:rsidRPr="00E119E1">
              <w:rPr>
                <w:rFonts w:ascii="Arial" w:hAnsi="Arial" w:cs="Arial"/>
                <w:i w:val="0"/>
                <w:iCs w:val="0"/>
                <w:noProof/>
                <w:webHidden/>
                <w:color w:val="000000"/>
              </w:rPr>
            </w:r>
            <w:r w:rsidR="00294A19" w:rsidRPr="00E119E1">
              <w:rPr>
                <w:rFonts w:ascii="Arial" w:hAnsi="Arial" w:cs="Arial"/>
                <w:i w:val="0"/>
                <w:iCs w:val="0"/>
                <w:noProof/>
                <w:webHidden/>
                <w:color w:val="000000"/>
              </w:rPr>
              <w:fldChar w:fldCharType="separate"/>
            </w:r>
            <w:r w:rsidR="00294A19" w:rsidRPr="00E119E1">
              <w:rPr>
                <w:rFonts w:ascii="Arial" w:hAnsi="Arial" w:cs="Arial"/>
                <w:i w:val="0"/>
                <w:iCs w:val="0"/>
                <w:noProof/>
                <w:webHidden/>
                <w:color w:val="000000"/>
              </w:rPr>
              <w:t>8</w:t>
            </w:r>
            <w:r w:rsidR="00294A19" w:rsidRPr="00E119E1">
              <w:rPr>
                <w:rFonts w:ascii="Arial" w:hAnsi="Arial" w:cs="Arial"/>
                <w:i w:val="0"/>
                <w:iCs w:val="0"/>
                <w:noProof/>
                <w:webHidden/>
                <w:color w:val="000000"/>
              </w:rPr>
              <w:fldChar w:fldCharType="end"/>
            </w:r>
          </w:hyperlink>
        </w:p>
        <w:p w14:paraId="4EEB0D62" w14:textId="77777777" w:rsidR="00294A19" w:rsidRPr="00E119E1" w:rsidRDefault="008B41F7" w:rsidP="00294A19">
          <w:pPr>
            <w:pStyle w:val="TOC1"/>
            <w:spacing w:line="360" w:lineRule="auto"/>
            <w:rPr>
              <w:rFonts w:ascii="Arial" w:eastAsia="Times New Roman" w:hAnsi="Arial" w:cs="Arial"/>
              <w:b w:val="0"/>
              <w:bCs w:val="0"/>
              <w:i w:val="0"/>
              <w:iCs w:val="0"/>
              <w:noProof/>
              <w:color w:val="000000"/>
              <w:lang w:val="en-GB" w:eastAsia="en-GB"/>
            </w:rPr>
          </w:pPr>
          <w:hyperlink w:anchor="_Toc70378548" w:history="1">
            <w:r w:rsidR="00294A19" w:rsidRPr="00E119E1">
              <w:rPr>
                <w:rStyle w:val="Hyperlink"/>
                <w:rFonts w:ascii="Arial" w:hAnsi="Arial" w:cs="Arial"/>
                <w:i w:val="0"/>
                <w:iCs w:val="0"/>
                <w:noProof/>
                <w:color w:val="000000"/>
              </w:rPr>
              <w:t>References</w:t>
            </w:r>
            <w:r w:rsidR="00294A19" w:rsidRPr="00E119E1">
              <w:rPr>
                <w:rFonts w:ascii="Arial" w:hAnsi="Arial" w:cs="Arial"/>
                <w:i w:val="0"/>
                <w:iCs w:val="0"/>
                <w:noProof/>
                <w:webHidden/>
                <w:color w:val="000000"/>
              </w:rPr>
              <w:tab/>
            </w:r>
            <w:r w:rsidR="00294A19" w:rsidRPr="00E119E1">
              <w:rPr>
                <w:rFonts w:ascii="Arial" w:hAnsi="Arial" w:cs="Arial"/>
                <w:i w:val="0"/>
                <w:iCs w:val="0"/>
                <w:noProof/>
                <w:webHidden/>
                <w:color w:val="000000"/>
              </w:rPr>
              <w:fldChar w:fldCharType="begin"/>
            </w:r>
            <w:r w:rsidR="00294A19" w:rsidRPr="00E119E1">
              <w:rPr>
                <w:rFonts w:ascii="Arial" w:hAnsi="Arial" w:cs="Arial"/>
                <w:i w:val="0"/>
                <w:iCs w:val="0"/>
                <w:noProof/>
                <w:webHidden/>
                <w:color w:val="000000"/>
              </w:rPr>
              <w:instrText xml:space="preserve"> PAGEREF _Toc70378548 \h </w:instrText>
            </w:r>
            <w:r w:rsidR="00294A19" w:rsidRPr="00E119E1">
              <w:rPr>
                <w:rFonts w:ascii="Arial" w:hAnsi="Arial" w:cs="Arial"/>
                <w:i w:val="0"/>
                <w:iCs w:val="0"/>
                <w:noProof/>
                <w:webHidden/>
                <w:color w:val="000000"/>
              </w:rPr>
            </w:r>
            <w:r w:rsidR="00294A19" w:rsidRPr="00E119E1">
              <w:rPr>
                <w:rFonts w:ascii="Arial" w:hAnsi="Arial" w:cs="Arial"/>
                <w:i w:val="0"/>
                <w:iCs w:val="0"/>
                <w:noProof/>
                <w:webHidden/>
                <w:color w:val="000000"/>
              </w:rPr>
              <w:fldChar w:fldCharType="separate"/>
            </w:r>
            <w:r w:rsidR="00294A19" w:rsidRPr="00E119E1">
              <w:rPr>
                <w:rFonts w:ascii="Arial" w:hAnsi="Arial" w:cs="Arial"/>
                <w:i w:val="0"/>
                <w:iCs w:val="0"/>
                <w:noProof/>
                <w:webHidden/>
                <w:color w:val="000000"/>
              </w:rPr>
              <w:t>8</w:t>
            </w:r>
            <w:r w:rsidR="00294A19" w:rsidRPr="00E119E1">
              <w:rPr>
                <w:rFonts w:ascii="Arial" w:hAnsi="Arial" w:cs="Arial"/>
                <w:i w:val="0"/>
                <w:iCs w:val="0"/>
                <w:noProof/>
                <w:webHidden/>
                <w:color w:val="000000"/>
              </w:rPr>
              <w:fldChar w:fldCharType="end"/>
            </w:r>
          </w:hyperlink>
        </w:p>
        <w:p w14:paraId="06168442" w14:textId="2A6D4FDB" w:rsidR="00294A19" w:rsidRDefault="00294A19" w:rsidP="00294A19">
          <w:pPr>
            <w:pStyle w:val="NoSpacing"/>
            <w:tabs>
              <w:tab w:val="left" w:pos="1905"/>
            </w:tabs>
            <w:rPr>
              <w:rFonts w:ascii="Times New Roman" w:hAnsi="Times New Roman" w:cs="Times New Roman"/>
              <w:sz w:val="28"/>
              <w:szCs w:val="28"/>
            </w:rPr>
          </w:pPr>
          <w:r w:rsidRPr="00E119E1">
            <w:rPr>
              <w:rFonts w:ascii="Arial" w:hAnsi="Arial" w:cs="Arial"/>
              <w:b/>
              <w:bCs/>
              <w:noProof/>
              <w:color w:val="000000"/>
              <w:sz w:val="24"/>
              <w:szCs w:val="24"/>
            </w:rPr>
            <w:fldChar w:fldCharType="end"/>
          </w:r>
        </w:p>
        <w:p w14:paraId="0C22076C" w14:textId="3D8531F1" w:rsidR="00294A19" w:rsidRDefault="00083524" w:rsidP="00294A19">
          <w:pPr>
            <w:pStyle w:val="NoSpacing"/>
            <w:jc w:val="right"/>
            <w:rPr>
              <w:rFonts w:ascii="Times New Roman" w:hAnsi="Times New Roman" w:cs="Times New Roman"/>
              <w:sz w:val="28"/>
              <w:szCs w:val="28"/>
            </w:rPr>
          </w:pPr>
          <w:r w:rsidRPr="00294A19">
            <w:br w:type="page"/>
          </w: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8927B5">
                <w:rPr>
                  <w:color w:val="FFFFFF" w:themeColor="background1"/>
                  <w:sz w:val="28"/>
                  <w:szCs w:val="28"/>
                </w:rPr>
                <w:t xml:space="preserve">SRA </w:t>
              </w:r>
            </w:sdtContent>
          </w:sdt>
        </w:p>
      </w:sdtContent>
    </w:sdt>
    <w:bookmarkStart w:id="3" w:name="_gjdgxs" w:colFirst="0" w:colLast="0" w:displacedByCustomXml="prev"/>
    <w:bookmarkEnd w:id="3" w:displacedByCustomXml="prev"/>
    <w:bookmarkEnd w:id="0" w:displacedByCustomXml="prev"/>
    <w:bookmarkEnd w:id="1" w:displacedByCustomXml="prev"/>
    <w:bookmarkStart w:id="4" w:name="_Toc70131293" w:displacedByCustomXml="prev"/>
    <w:bookmarkStart w:id="5" w:name="_Toc70378537" w:displacedByCustomXml="prev"/>
    <w:p w14:paraId="00382B6A" w14:textId="5A878624" w:rsidR="00294A19" w:rsidRDefault="00294A19" w:rsidP="00294A19">
      <w:pPr>
        <w:pStyle w:val="NoSpacing"/>
        <w:jc w:val="center"/>
        <w:rPr>
          <w:rStyle w:val="BookTitle"/>
          <w:rFonts w:ascii="Arial" w:hAnsi="Arial" w:cs="Arial"/>
          <w:color w:val="000000"/>
          <w:sz w:val="28"/>
          <w:szCs w:val="28"/>
          <w:lang w:val="en-GB"/>
        </w:rPr>
      </w:pPr>
      <w:r w:rsidRPr="00022A44">
        <w:rPr>
          <w:rStyle w:val="BookTitle"/>
          <w:rFonts w:ascii="Arial" w:hAnsi="Arial" w:cs="Arial"/>
          <w:color w:val="000000"/>
          <w:sz w:val="28"/>
          <w:szCs w:val="28"/>
          <w:lang w:val="en-GB"/>
        </w:rPr>
        <w:t>SRA CODE OF CONDUCT</w:t>
      </w:r>
      <w:bookmarkEnd w:id="5"/>
      <w:bookmarkEnd w:id="4"/>
    </w:p>
    <w:p w14:paraId="1C31EFFE" w14:textId="42D09FBE" w:rsidR="00822865" w:rsidRDefault="00822865" w:rsidP="00822865">
      <w:pPr>
        <w:pStyle w:val="NoSpacing"/>
        <w:rPr>
          <w:rStyle w:val="BookTitle"/>
          <w:rFonts w:ascii="Arial" w:hAnsi="Arial" w:cs="Arial"/>
          <w:color w:val="000000"/>
          <w:sz w:val="28"/>
          <w:szCs w:val="28"/>
          <w:lang w:val="en-GB"/>
        </w:rPr>
      </w:pPr>
    </w:p>
    <w:p w14:paraId="588D05E7" w14:textId="77777777" w:rsidR="00822865" w:rsidRPr="00022A44" w:rsidRDefault="00822865" w:rsidP="00822865">
      <w:pPr>
        <w:pStyle w:val="NoSpacing"/>
        <w:rPr>
          <w:rStyle w:val="BookTitle"/>
          <w:smallCaps w:val="0"/>
          <w:color w:val="FFFFFF" w:themeColor="background1"/>
          <w:spacing w:val="0"/>
          <w:sz w:val="28"/>
          <w:szCs w:val="28"/>
        </w:rPr>
      </w:pPr>
    </w:p>
    <w:p w14:paraId="05E62853" w14:textId="77777777" w:rsidR="00294A19" w:rsidRPr="00411CAC" w:rsidRDefault="00294A19" w:rsidP="00294A19">
      <w:pPr>
        <w:pStyle w:val="Heading1"/>
        <w:numPr>
          <w:ilvl w:val="0"/>
          <w:numId w:val="5"/>
        </w:numPr>
        <w:spacing w:line="360" w:lineRule="auto"/>
        <w:jc w:val="both"/>
        <w:rPr>
          <w:rFonts w:ascii="Arial" w:hAnsi="Arial" w:cs="Arial"/>
          <w:color w:val="000000"/>
          <w:sz w:val="24"/>
          <w:szCs w:val="24"/>
          <w:u w:val="single"/>
        </w:rPr>
      </w:pPr>
      <w:bookmarkStart w:id="6" w:name="_Toc70131294"/>
      <w:bookmarkStart w:id="7" w:name="_Toc70378538"/>
      <w:r w:rsidRPr="00411CAC">
        <w:rPr>
          <w:rFonts w:ascii="Arial" w:hAnsi="Arial" w:cs="Arial"/>
          <w:color w:val="000000"/>
          <w:sz w:val="24"/>
          <w:szCs w:val="24"/>
          <w:u w:val="single"/>
        </w:rPr>
        <w:t>INTRODUCTION:</w:t>
      </w:r>
      <w:bookmarkEnd w:id="6"/>
      <w:bookmarkEnd w:id="7"/>
    </w:p>
    <w:p w14:paraId="69A5BA92" w14:textId="77777777" w:rsidR="00294A19" w:rsidRPr="00411CAC" w:rsidRDefault="00294A19" w:rsidP="00294A19">
      <w:pPr>
        <w:rPr>
          <w:sz w:val="24"/>
          <w:szCs w:val="24"/>
        </w:rPr>
      </w:pPr>
    </w:p>
    <w:p w14:paraId="00A6F66E" w14:textId="75DB6BEF" w:rsidR="004F70D5" w:rsidRDefault="00294A19" w:rsidP="00801197">
      <w:pPr>
        <w:spacing w:line="360" w:lineRule="auto"/>
        <w:jc w:val="center"/>
        <w:rPr>
          <w:rFonts w:ascii="Arial" w:hAnsi="Arial" w:cs="Arial"/>
          <w:color w:val="000000"/>
          <w:sz w:val="24"/>
          <w:szCs w:val="24"/>
        </w:rPr>
      </w:pPr>
      <w:r w:rsidRPr="00411CAC">
        <w:rPr>
          <w:rFonts w:ascii="Arial" w:hAnsi="Arial" w:cs="Arial"/>
          <w:color w:val="000000"/>
          <w:sz w:val="24"/>
          <w:szCs w:val="24"/>
        </w:rPr>
        <w:t>"It is essential that a solicitor can be trusted to the end of the world."</w:t>
      </w:r>
    </w:p>
    <w:p w14:paraId="15F3733D" w14:textId="037D8012"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The statement reflects a lot of things about the relationship between clients and solicitors. The assignment is based on a code of conduct and ethical considerations. It's essential to abide by certain ethical aspects to ensure that the information of the client is secure, and the relationship of trust can be developed. The code of conducts is a set of standards in professionalism. The report will evaluate different aspects that can evaluate the statement as mentioned above. </w:t>
      </w:r>
    </w:p>
    <w:p w14:paraId="3798B531" w14:textId="77777777" w:rsidR="00294A19" w:rsidRPr="00411CAC" w:rsidRDefault="00294A19" w:rsidP="00294A19">
      <w:pPr>
        <w:pStyle w:val="Heading1"/>
        <w:numPr>
          <w:ilvl w:val="0"/>
          <w:numId w:val="5"/>
        </w:numPr>
        <w:spacing w:line="360" w:lineRule="auto"/>
        <w:jc w:val="both"/>
        <w:rPr>
          <w:rFonts w:ascii="Arial" w:hAnsi="Arial" w:cs="Arial"/>
          <w:color w:val="000000"/>
          <w:sz w:val="24"/>
          <w:szCs w:val="24"/>
          <w:u w:val="single"/>
        </w:rPr>
      </w:pPr>
      <w:bookmarkStart w:id="8" w:name="_Toc70131295"/>
      <w:bookmarkStart w:id="9" w:name="_Toc70378539"/>
      <w:r w:rsidRPr="00411CAC">
        <w:rPr>
          <w:rFonts w:ascii="Arial" w:hAnsi="Arial" w:cs="Arial"/>
          <w:color w:val="000000"/>
          <w:sz w:val="24"/>
          <w:szCs w:val="24"/>
          <w:u w:val="single"/>
        </w:rPr>
        <w:t>INTRODUCTION TO PRINCIPLES:</w:t>
      </w:r>
      <w:bookmarkEnd w:id="8"/>
      <w:bookmarkEnd w:id="9"/>
    </w:p>
    <w:p w14:paraId="786BDDF5"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10" w:name="_Toc70131296"/>
      <w:bookmarkStart w:id="11" w:name="_Toc70378540"/>
      <w:r w:rsidRPr="00411CAC">
        <w:rPr>
          <w:rFonts w:ascii="Arial" w:hAnsi="Arial" w:cs="Arial"/>
          <w:color w:val="000000"/>
          <w:sz w:val="24"/>
          <w:szCs w:val="24"/>
          <w:u w:val="single"/>
        </w:rPr>
        <w:t>Principles of SRA code of conduct:</w:t>
      </w:r>
      <w:bookmarkEnd w:id="10"/>
      <w:bookmarkEnd w:id="11"/>
    </w:p>
    <w:p w14:paraId="5D2EF2F1" w14:textId="77777777" w:rsidR="00294A19" w:rsidRPr="00411CAC" w:rsidRDefault="00294A19" w:rsidP="00294A19">
      <w:pPr>
        <w:rPr>
          <w:sz w:val="24"/>
          <w:szCs w:val="24"/>
        </w:rPr>
      </w:pPr>
    </w:p>
    <w:p w14:paraId="6D2AF9F7"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SRA is a code of conduct that should be depicted as a part of professionalism. These codes of conduct are expected from public experts, including registered European lawyers, solicitors, and registered foreign lawyers, and all these professionals are authorized to provide legal services. </w:t>
      </w:r>
    </w:p>
    <w:p w14:paraId="24C46095" w14:textId="1DE48865"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The solicitor regulation authority or SRA is a handbook that outlines ten compulsory principles that are supported by mandatory, optional, and outcomes that indicate </w:t>
      </w:r>
      <w:r w:rsidR="0019773E">
        <w:rPr>
          <w:rFonts w:ascii="Arial" w:hAnsi="Arial" w:cs="Arial"/>
          <w:color w:val="000000"/>
          <w:sz w:val="24"/>
          <w:szCs w:val="24"/>
        </w:rPr>
        <w:t xml:space="preserve">professionalism and </w:t>
      </w:r>
      <w:r w:rsidRPr="00411CAC">
        <w:rPr>
          <w:rFonts w:ascii="Arial" w:hAnsi="Arial" w:cs="Arial"/>
          <w:color w:val="000000"/>
          <w:sz w:val="24"/>
          <w:szCs w:val="24"/>
        </w:rPr>
        <w:t xml:space="preserve">behaviour that is applicable to everyone that belongs to all aspects of life. Practitioners and firms must follow these SRA principles, and they should also use them in their starting points when they face any kind of ethical dilemma </w:t>
      </w:r>
      <w:r w:rsidRPr="00022A44">
        <w:rPr>
          <w:rFonts w:ascii="Arial" w:hAnsi="Arial" w:cs="Arial"/>
          <w:color w:val="1F497D" w:themeColor="text2"/>
          <w:sz w:val="24"/>
          <w:szCs w:val="24"/>
        </w:rPr>
        <w:t xml:space="preserve">(Jane, 2018). </w:t>
      </w:r>
      <w:r w:rsidRPr="00411CAC">
        <w:rPr>
          <w:rFonts w:ascii="Arial" w:hAnsi="Arial" w:cs="Arial"/>
          <w:color w:val="000000"/>
          <w:sz w:val="24"/>
          <w:szCs w:val="24"/>
        </w:rPr>
        <w:t xml:space="preserve">The SRA principle </w:t>
      </w:r>
      <w:r w:rsidR="0019773E">
        <w:rPr>
          <w:rFonts w:ascii="Arial" w:hAnsi="Arial" w:cs="Arial"/>
          <w:color w:val="000000"/>
          <w:sz w:val="24"/>
          <w:szCs w:val="24"/>
        </w:rPr>
        <w:t xml:space="preserve"> </w:t>
      </w:r>
      <w:r w:rsidRPr="00411CAC">
        <w:rPr>
          <w:rFonts w:ascii="Arial" w:hAnsi="Arial" w:cs="Arial"/>
          <w:color w:val="000000"/>
          <w:sz w:val="24"/>
          <w:szCs w:val="24"/>
        </w:rPr>
        <w:t>"8"</w:t>
      </w:r>
      <w:r w:rsidR="0019773E">
        <w:rPr>
          <w:rFonts w:ascii="Arial" w:hAnsi="Arial" w:cs="Arial"/>
          <w:color w:val="000000"/>
          <w:sz w:val="24"/>
          <w:szCs w:val="24"/>
        </w:rPr>
        <w:t xml:space="preserve"> </w:t>
      </w:r>
      <w:r w:rsidRPr="00411CAC">
        <w:rPr>
          <w:rFonts w:ascii="Arial" w:hAnsi="Arial" w:cs="Arial"/>
          <w:color w:val="000000"/>
          <w:sz w:val="24"/>
          <w:szCs w:val="24"/>
        </w:rPr>
        <w:t xml:space="preserve"> sets out different requirements for legal firms to perform in accordance with sound risk management and financial principles with proper governance. </w:t>
      </w:r>
    </w:p>
    <w:p w14:paraId="73247A80" w14:textId="597C728A" w:rsidR="00294A19" w:rsidRDefault="00294A19" w:rsidP="00294A19">
      <w:pPr>
        <w:spacing w:line="360" w:lineRule="auto"/>
        <w:jc w:val="both"/>
        <w:rPr>
          <w:rFonts w:ascii="Arial" w:hAnsi="Arial" w:cs="Arial"/>
          <w:color w:val="000000"/>
          <w:sz w:val="24"/>
          <w:szCs w:val="24"/>
        </w:rPr>
      </w:pPr>
    </w:p>
    <w:p w14:paraId="164303A8" w14:textId="391B6D51" w:rsidR="00294A19" w:rsidRDefault="00294A19" w:rsidP="00294A19">
      <w:pPr>
        <w:spacing w:line="360" w:lineRule="auto"/>
        <w:jc w:val="both"/>
        <w:rPr>
          <w:rFonts w:ascii="Arial" w:hAnsi="Arial" w:cs="Arial"/>
          <w:color w:val="000000"/>
          <w:sz w:val="24"/>
          <w:szCs w:val="24"/>
        </w:rPr>
      </w:pPr>
    </w:p>
    <w:p w14:paraId="6C3D9510" w14:textId="77777777" w:rsidR="00294A19" w:rsidRPr="00411CAC" w:rsidRDefault="00294A19" w:rsidP="00294A19">
      <w:pPr>
        <w:spacing w:line="360" w:lineRule="auto"/>
        <w:jc w:val="both"/>
        <w:rPr>
          <w:rFonts w:ascii="Arial" w:hAnsi="Arial" w:cs="Arial"/>
          <w:color w:val="000000"/>
          <w:sz w:val="24"/>
          <w:szCs w:val="24"/>
        </w:rPr>
      </w:pPr>
    </w:p>
    <w:p w14:paraId="1CBA04AE"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12" w:name="_Toc70131297"/>
      <w:bookmarkStart w:id="13" w:name="_Toc70378541"/>
      <w:r w:rsidRPr="00411CAC">
        <w:rPr>
          <w:rFonts w:ascii="Arial" w:hAnsi="Arial" w:cs="Arial"/>
          <w:color w:val="000000"/>
          <w:sz w:val="24"/>
          <w:szCs w:val="24"/>
          <w:u w:val="single"/>
        </w:rPr>
        <w:t>Risks and compliance:</w:t>
      </w:r>
      <w:bookmarkEnd w:id="12"/>
      <w:bookmarkEnd w:id="13"/>
    </w:p>
    <w:p w14:paraId="1A265227" w14:textId="53FA563C"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According to the legal service Act 2007, part 6; "legal complaints" manifest the regulators in promoting and protecting customers' interests</w:t>
      </w:r>
      <w:r w:rsidR="006E24E5">
        <w:rPr>
          <w:rFonts w:ascii="Arial" w:hAnsi="Arial" w:cs="Arial"/>
          <w:color w:val="000000"/>
          <w:sz w:val="24"/>
          <w:szCs w:val="24"/>
        </w:rPr>
        <w:t xml:space="preserve"> and their satisfaction</w:t>
      </w:r>
      <w:r w:rsidRPr="00411CAC">
        <w:rPr>
          <w:rFonts w:ascii="Arial" w:hAnsi="Arial" w:cs="Arial"/>
          <w:color w:val="000000"/>
          <w:sz w:val="24"/>
          <w:szCs w:val="24"/>
        </w:rPr>
        <w:t xml:space="preserve">, mentioning Impairment risk when the legal firm fails to provide the services. In a comparison of lawyers and doctors for misconduct in professionalism, around 95% of lawyers faced challenges in contrast to 40% of doctors, and this shows how serious that matter is considered within lawyers and legal professionals. This also demonstrates the understanding of relevant risks in places of lawyers and commercial firms to take proactive strategies in mitigating and managing the risk. With the purpose to adopt a risk-based approach to compile, regulate, understand ethics, SRA regulations are used. According to principles, everyone in the firm is directly gaining the authority to practice SRA in the forms to promote commercial visibility and a positive reputation. The risk-based approach depends critically and closely on the methods of analysing risks. </w:t>
      </w:r>
    </w:p>
    <w:p w14:paraId="6C3C0B9E" w14:textId="77777777" w:rsidR="00F01F29" w:rsidRPr="00411CAC" w:rsidRDefault="00F01F29" w:rsidP="00294A19">
      <w:pPr>
        <w:spacing w:line="360" w:lineRule="auto"/>
        <w:jc w:val="both"/>
        <w:rPr>
          <w:rFonts w:ascii="Arial" w:hAnsi="Arial" w:cs="Arial"/>
          <w:color w:val="000000"/>
          <w:sz w:val="24"/>
          <w:szCs w:val="24"/>
        </w:rPr>
      </w:pPr>
    </w:p>
    <w:p w14:paraId="4B2A684D"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14" w:name="_Toc70131298"/>
      <w:bookmarkStart w:id="15" w:name="_Toc70378542"/>
      <w:r w:rsidRPr="00411CAC">
        <w:rPr>
          <w:rFonts w:ascii="Arial" w:hAnsi="Arial" w:cs="Arial"/>
          <w:color w:val="000000"/>
          <w:sz w:val="24"/>
          <w:szCs w:val="24"/>
          <w:u w:val="single"/>
        </w:rPr>
        <w:t>Clients care requirements:</w:t>
      </w:r>
      <w:bookmarkEnd w:id="14"/>
      <w:bookmarkEnd w:id="15"/>
    </w:p>
    <w:p w14:paraId="7CE49B32" w14:textId="37AC30E7"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SRA risk outlook is an annual publication that has been publishing since 2013. It was designed to keep "abreast" with the dynamic nature of clients care prioritization by the principles of SRA, and it also provides firms a conspicuous and transparent insight into present "indication" of clients care by the regulatory body. Client care is included based on external factors that can be controlled in the best interest of clients. Codes give guidance on how to manage risk at the "workplace" and protect the interest of the clients. "No code can address or foresee ethical dilemma or issue that may arise. Legal workers must strive to keep the intention to care for their clients as well." </w:t>
      </w:r>
      <w:r w:rsidR="0090743C">
        <w:rPr>
          <w:rFonts w:ascii="Arial" w:hAnsi="Arial" w:cs="Arial"/>
          <w:color w:val="000000"/>
          <w:sz w:val="24"/>
          <w:szCs w:val="24"/>
        </w:rPr>
        <w:t>(</w:t>
      </w:r>
      <w:r w:rsidRPr="00411CAC">
        <w:rPr>
          <w:rFonts w:ascii="Arial" w:hAnsi="Arial" w:cs="Arial"/>
          <w:color w:val="000000"/>
          <w:sz w:val="24"/>
          <w:szCs w:val="24"/>
        </w:rPr>
        <w:t>Tracey Calvert aptly</w:t>
      </w:r>
      <w:r w:rsidR="0090743C">
        <w:rPr>
          <w:rFonts w:ascii="Arial" w:hAnsi="Arial" w:cs="Arial"/>
          <w:color w:val="000000"/>
          <w:sz w:val="24"/>
          <w:szCs w:val="24"/>
        </w:rPr>
        <w:t>)</w:t>
      </w:r>
      <w:r w:rsidRPr="00411CAC">
        <w:rPr>
          <w:rFonts w:ascii="Arial" w:hAnsi="Arial" w:cs="Arial"/>
          <w:color w:val="000000"/>
          <w:sz w:val="24"/>
          <w:szCs w:val="24"/>
        </w:rPr>
        <w:t xml:space="preserve"> differentiates this process of reconciliation between regulations SRA risk and how these regulations can be aligned to the ethical dilemma that is faced by legal firms. The SRA determines factors that can be used to determine how to care for clients, and this means these practices can be used at any time to use at references points. Risk assessment techniques require professional consideration for such assessment that can be used to provide care and priority to clients. There should be </w:t>
      </w:r>
      <w:r w:rsidRPr="00411CAC">
        <w:rPr>
          <w:rFonts w:ascii="Arial" w:hAnsi="Arial" w:cs="Arial"/>
          <w:color w:val="000000"/>
          <w:sz w:val="24"/>
          <w:szCs w:val="24"/>
        </w:rPr>
        <w:lastRenderedPageBreak/>
        <w:t xml:space="preserve">pressure to emphasize professional culture and being commercial to put clients first by considering several strains of objectivity. </w:t>
      </w:r>
    </w:p>
    <w:p w14:paraId="7C6AEA54" w14:textId="2CAC8649" w:rsidR="00294A19" w:rsidRDefault="00294A19" w:rsidP="00294A19">
      <w:pPr>
        <w:spacing w:line="360" w:lineRule="auto"/>
        <w:jc w:val="both"/>
        <w:rPr>
          <w:rFonts w:ascii="Arial" w:hAnsi="Arial" w:cs="Arial"/>
          <w:color w:val="000000"/>
          <w:sz w:val="24"/>
          <w:szCs w:val="24"/>
        </w:rPr>
      </w:pPr>
    </w:p>
    <w:p w14:paraId="71A87C67" w14:textId="322E9B03" w:rsidR="00294A19" w:rsidRDefault="00294A19" w:rsidP="00294A19">
      <w:pPr>
        <w:spacing w:line="360" w:lineRule="auto"/>
        <w:jc w:val="both"/>
        <w:rPr>
          <w:rFonts w:ascii="Arial" w:hAnsi="Arial" w:cs="Arial"/>
          <w:color w:val="000000"/>
          <w:sz w:val="24"/>
          <w:szCs w:val="24"/>
        </w:rPr>
      </w:pPr>
    </w:p>
    <w:p w14:paraId="40FD96AF" w14:textId="033F490F" w:rsidR="00294A19" w:rsidRDefault="00294A19" w:rsidP="00294A19">
      <w:pPr>
        <w:spacing w:line="360" w:lineRule="auto"/>
        <w:jc w:val="both"/>
        <w:rPr>
          <w:rFonts w:ascii="Arial" w:hAnsi="Arial" w:cs="Arial"/>
          <w:color w:val="000000"/>
          <w:sz w:val="24"/>
          <w:szCs w:val="24"/>
        </w:rPr>
      </w:pPr>
    </w:p>
    <w:p w14:paraId="2DE27A53" w14:textId="77777777" w:rsidR="00294A19" w:rsidRPr="00411CAC" w:rsidRDefault="00294A19" w:rsidP="00294A19">
      <w:pPr>
        <w:spacing w:line="360" w:lineRule="auto"/>
        <w:jc w:val="both"/>
        <w:rPr>
          <w:rFonts w:ascii="Arial" w:hAnsi="Arial" w:cs="Arial"/>
          <w:color w:val="000000"/>
          <w:sz w:val="24"/>
          <w:szCs w:val="24"/>
        </w:rPr>
      </w:pPr>
    </w:p>
    <w:p w14:paraId="6922D24F"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16" w:name="_Toc70131299"/>
      <w:bookmarkStart w:id="17" w:name="_Toc70378543"/>
      <w:r w:rsidRPr="00411CAC">
        <w:rPr>
          <w:rFonts w:ascii="Arial" w:hAnsi="Arial" w:cs="Arial"/>
          <w:color w:val="000000"/>
          <w:sz w:val="24"/>
          <w:szCs w:val="24"/>
          <w:u w:val="single"/>
        </w:rPr>
        <w:t>Conflicts of interest and Client’s confidentiality:</w:t>
      </w:r>
      <w:bookmarkEnd w:id="16"/>
      <w:bookmarkEnd w:id="17"/>
      <w:r w:rsidRPr="00411CAC">
        <w:rPr>
          <w:rFonts w:ascii="Arial" w:hAnsi="Arial" w:cs="Arial"/>
          <w:color w:val="000000"/>
          <w:sz w:val="24"/>
          <w:szCs w:val="24"/>
          <w:u w:val="single"/>
        </w:rPr>
        <w:t xml:space="preserve"> </w:t>
      </w:r>
    </w:p>
    <w:p w14:paraId="11125E56"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Sometimes lawyers must negotiate between their views and what is right or lawful and between the views that is tolerable. The most crucial point is that ethical scandals usually arise from making bad decisions. While solicitors are motivated by the mitigation of "SRA sanctions and criminal breach," an ethical solicitor must know the right thing, perform the right thing, and do it for the rightest reason when challenged with an ethical dilemma. Performing under the light of ethical dilemma includes "conflict of interest" and their confidentiality. The assignment will include "simultaneous" representation, where lawyers must represent parallel to clients but that just be after the consent of parties and their successive representation. </w:t>
      </w:r>
    </w:p>
    <w:p w14:paraId="08B9C5B7" w14:textId="203C6C73"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It is not permissible by O (3.4) [26] and O (3.5) [27] of the "SRA code" to act in lawyers' interest and to act in a conflicting situation against clients. However, O (3.6) [28] of the codes in SRA allows solicitors to represent their clients in such situations of conflicts when clients have similar interests, provided clients have already been explained with relevant risks and issues </w:t>
      </w:r>
      <w:r w:rsidRPr="00022A44">
        <w:rPr>
          <w:rFonts w:ascii="Arial" w:hAnsi="Arial" w:cs="Arial"/>
          <w:color w:val="1F497D" w:themeColor="text2"/>
          <w:sz w:val="24"/>
          <w:szCs w:val="24"/>
        </w:rPr>
        <w:t xml:space="preserve">(Michael, </w:t>
      </w:r>
      <w:proofErr w:type="spellStart"/>
      <w:r w:rsidRPr="00022A44">
        <w:rPr>
          <w:rFonts w:ascii="Arial" w:hAnsi="Arial" w:cs="Arial"/>
          <w:color w:val="1F497D" w:themeColor="text2"/>
          <w:sz w:val="24"/>
          <w:szCs w:val="24"/>
        </w:rPr>
        <w:t>n.d</w:t>
      </w:r>
      <w:proofErr w:type="spellEnd"/>
      <w:r w:rsidRPr="00022A44">
        <w:rPr>
          <w:rFonts w:ascii="Arial" w:hAnsi="Arial" w:cs="Arial"/>
          <w:color w:val="1F497D" w:themeColor="text2"/>
          <w:sz w:val="24"/>
          <w:szCs w:val="24"/>
        </w:rPr>
        <w:t xml:space="preserve">). </w:t>
      </w:r>
      <w:r w:rsidRPr="00411CAC">
        <w:rPr>
          <w:rFonts w:ascii="Arial" w:hAnsi="Arial" w:cs="Arial"/>
          <w:color w:val="000000"/>
          <w:sz w:val="24"/>
          <w:szCs w:val="24"/>
        </w:rPr>
        <w:t>The lawyers must ensure that they perform in the best interests of clients by ensuring maximization of benefits and reducing risks. Clients can take written consent from all sources, authorities, and parties to act on their behalf. Case law "</w:t>
      </w:r>
      <w:r w:rsidRPr="00DF3302">
        <w:rPr>
          <w:rFonts w:ascii="Arial" w:hAnsi="Arial" w:cs="Arial"/>
          <w:sz w:val="24"/>
          <w:szCs w:val="24"/>
        </w:rPr>
        <w:t>Hilton v Barker</w:t>
      </w:r>
      <w:r w:rsidRPr="00432F7E">
        <w:rPr>
          <w:rStyle w:val="FootnoteReference"/>
          <w:rFonts w:ascii="Arial" w:hAnsi="Arial" w:cs="Arial"/>
          <w:b/>
          <w:bCs/>
          <w:color w:val="1F497D" w:themeColor="text2"/>
          <w:sz w:val="24"/>
          <w:szCs w:val="24"/>
        </w:rPr>
        <w:footnoteReference w:id="1"/>
      </w:r>
      <w:r w:rsidRPr="00432F7E">
        <w:rPr>
          <w:rFonts w:ascii="Arial" w:hAnsi="Arial" w:cs="Arial"/>
          <w:b/>
          <w:bCs/>
          <w:color w:val="1F497D" w:themeColor="text2"/>
          <w:sz w:val="24"/>
          <w:szCs w:val="24"/>
        </w:rPr>
        <w:t>"</w:t>
      </w:r>
      <w:r w:rsidRPr="00411CAC">
        <w:rPr>
          <w:rFonts w:ascii="Arial" w:hAnsi="Arial" w:cs="Arial"/>
          <w:color w:val="000000"/>
          <w:sz w:val="24"/>
          <w:szCs w:val="24"/>
        </w:rPr>
        <w:t xml:space="preserve"> suggests that solicitors must not act for multiple parties at a single time because it can result in conflicting results for the parties. Practically, there is an exception in conveyancing transactions and transferring of land, where the actions of solicitors are often guided by the "mortgage lenders</w:t>
      </w:r>
      <w:r w:rsidRPr="00411CAC">
        <w:rPr>
          <w:rStyle w:val="FootnoteReference"/>
          <w:rFonts w:ascii="Arial" w:hAnsi="Arial" w:cs="Arial"/>
          <w:b/>
          <w:bCs/>
          <w:color w:val="1F497D" w:themeColor="text2"/>
          <w:sz w:val="24"/>
          <w:szCs w:val="24"/>
        </w:rPr>
        <w:footnoteReference w:id="2"/>
      </w:r>
      <w:r w:rsidRPr="00411CAC">
        <w:rPr>
          <w:rFonts w:ascii="Arial" w:hAnsi="Arial" w:cs="Arial"/>
          <w:b/>
          <w:bCs/>
          <w:color w:val="1F497D" w:themeColor="text2"/>
          <w:sz w:val="24"/>
          <w:szCs w:val="24"/>
        </w:rPr>
        <w:t>.</w:t>
      </w:r>
      <w:r w:rsidRPr="00411CAC">
        <w:rPr>
          <w:rFonts w:ascii="Arial" w:hAnsi="Arial" w:cs="Arial"/>
          <w:color w:val="000000"/>
          <w:sz w:val="24"/>
          <w:szCs w:val="24"/>
        </w:rPr>
        <w:t>"</w:t>
      </w:r>
    </w:p>
    <w:p w14:paraId="49194A0C" w14:textId="6A3A9921" w:rsidR="00294A19" w:rsidRDefault="00294A19" w:rsidP="00294A19">
      <w:pPr>
        <w:spacing w:line="360" w:lineRule="auto"/>
        <w:jc w:val="both"/>
        <w:rPr>
          <w:rFonts w:ascii="Arial" w:hAnsi="Arial" w:cs="Arial"/>
          <w:color w:val="000000"/>
          <w:sz w:val="24"/>
          <w:szCs w:val="24"/>
        </w:rPr>
      </w:pPr>
    </w:p>
    <w:p w14:paraId="651180F8" w14:textId="6B8D9F34" w:rsidR="00294A19" w:rsidRDefault="00294A19" w:rsidP="00294A19">
      <w:pPr>
        <w:spacing w:line="360" w:lineRule="auto"/>
        <w:jc w:val="both"/>
        <w:rPr>
          <w:rFonts w:ascii="Arial" w:hAnsi="Arial" w:cs="Arial"/>
          <w:color w:val="000000"/>
          <w:sz w:val="24"/>
          <w:szCs w:val="24"/>
        </w:rPr>
      </w:pPr>
    </w:p>
    <w:p w14:paraId="66473438" w14:textId="455D294A" w:rsidR="00294A19" w:rsidRDefault="00294A19" w:rsidP="00294A19">
      <w:pPr>
        <w:spacing w:line="360" w:lineRule="auto"/>
        <w:jc w:val="both"/>
        <w:rPr>
          <w:rFonts w:ascii="Arial" w:hAnsi="Arial" w:cs="Arial"/>
          <w:color w:val="000000"/>
          <w:sz w:val="24"/>
          <w:szCs w:val="24"/>
        </w:rPr>
      </w:pPr>
    </w:p>
    <w:p w14:paraId="2205C89D" w14:textId="77777777" w:rsidR="00C05FB4" w:rsidRDefault="00C05FB4" w:rsidP="00294A19">
      <w:pPr>
        <w:spacing w:line="360" w:lineRule="auto"/>
        <w:jc w:val="both"/>
        <w:rPr>
          <w:rFonts w:ascii="Arial" w:hAnsi="Arial" w:cs="Arial"/>
          <w:color w:val="000000"/>
          <w:sz w:val="24"/>
          <w:szCs w:val="24"/>
        </w:rPr>
      </w:pPr>
    </w:p>
    <w:p w14:paraId="54AB4386" w14:textId="77777777" w:rsidR="00294A19" w:rsidRPr="00411CAC" w:rsidRDefault="00294A19" w:rsidP="00294A19">
      <w:pPr>
        <w:spacing w:line="360" w:lineRule="auto"/>
        <w:jc w:val="both"/>
        <w:rPr>
          <w:rFonts w:ascii="Arial" w:hAnsi="Arial" w:cs="Arial"/>
          <w:color w:val="000000"/>
          <w:sz w:val="24"/>
          <w:szCs w:val="24"/>
        </w:rPr>
      </w:pPr>
    </w:p>
    <w:p w14:paraId="494A5D32" w14:textId="77777777" w:rsidR="00294A19" w:rsidRDefault="00294A19" w:rsidP="00294A19">
      <w:pPr>
        <w:pStyle w:val="Heading2"/>
        <w:numPr>
          <w:ilvl w:val="0"/>
          <w:numId w:val="6"/>
        </w:numPr>
        <w:spacing w:line="360" w:lineRule="auto"/>
        <w:rPr>
          <w:rFonts w:ascii="Arial" w:hAnsi="Arial" w:cs="Arial"/>
          <w:color w:val="000000"/>
          <w:sz w:val="24"/>
          <w:szCs w:val="24"/>
          <w:u w:val="single"/>
        </w:rPr>
      </w:pPr>
      <w:bookmarkStart w:id="18" w:name="_Toc70131300"/>
      <w:bookmarkStart w:id="19" w:name="_Toc70378544"/>
      <w:r w:rsidRPr="00411CAC">
        <w:rPr>
          <w:rFonts w:ascii="Arial" w:hAnsi="Arial" w:cs="Arial"/>
          <w:color w:val="000000"/>
          <w:sz w:val="24"/>
          <w:szCs w:val="24"/>
          <w:u w:val="single"/>
        </w:rPr>
        <w:t>Duties owed to client, parties, and court:</w:t>
      </w:r>
      <w:bookmarkEnd w:id="18"/>
      <w:bookmarkEnd w:id="19"/>
    </w:p>
    <w:p w14:paraId="44E6281F" w14:textId="77777777" w:rsidR="00294A19" w:rsidRPr="00411CAC" w:rsidRDefault="00294A19" w:rsidP="00294A19"/>
    <w:p w14:paraId="4C9E08C0" w14:textId="77777777" w:rsidR="00294A19" w:rsidRPr="00411CAC" w:rsidRDefault="00294A19" w:rsidP="00294A19">
      <w:pPr>
        <w:rPr>
          <w:sz w:val="24"/>
          <w:szCs w:val="24"/>
        </w:rPr>
      </w:pPr>
    </w:p>
    <w:p w14:paraId="65C27F45"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Solicitors should also ensure that their clients know about their cases. When the client knows about the case, then the solicitor can assure that all the monies involved in the case are taken care of. Moreover, solicitors should never represent multiple parties (borrower and lender), as representing both parties may often lead to unwarranted "litigation" against solicitors. Two cases can be used to demonstrate this predicament. LG Gibson in the "National Home loans Corporation"</w:t>
      </w:r>
      <w:r w:rsidRPr="00E648FE">
        <w:rPr>
          <w:rStyle w:val="FootnoteReference"/>
          <w:rFonts w:ascii="Arial" w:hAnsi="Arial" w:cs="Arial"/>
          <w:b/>
          <w:bCs/>
          <w:color w:val="1F497D" w:themeColor="text2"/>
          <w:sz w:val="24"/>
          <w:szCs w:val="24"/>
        </w:rPr>
        <w:footnoteReference w:id="3"/>
      </w:r>
      <w:r w:rsidRPr="00E648FE">
        <w:rPr>
          <w:rFonts w:ascii="Arial" w:hAnsi="Arial" w:cs="Arial"/>
          <w:b/>
          <w:bCs/>
          <w:color w:val="1F497D" w:themeColor="text2"/>
          <w:sz w:val="24"/>
          <w:szCs w:val="24"/>
        </w:rPr>
        <w:t xml:space="preserve"> </w:t>
      </w:r>
      <w:r w:rsidRPr="00411CAC">
        <w:rPr>
          <w:rFonts w:ascii="Arial" w:hAnsi="Arial" w:cs="Arial"/>
          <w:color w:val="000000"/>
          <w:sz w:val="24"/>
          <w:szCs w:val="24"/>
        </w:rPr>
        <w:t xml:space="preserve">case highlights the duties of solicitors towards their lenders, which is solely based on the instructions from the clients. In the mentioned case, solicitors were guided to certify any diversion if circumstances and the title since the provision of the loan. They were not guided to check the "creditworthiness" of the borrower, and they were acquitted. This case contrasted in the "mortgage express, where Lord Bingham ruled against solicitors as they were required to undertake their duties to act for a mortgage. </w:t>
      </w:r>
    </w:p>
    <w:p w14:paraId="71996BE1"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Under the instructions of O (3.6) [36], solicitors can act in a particular prospective situation when faced with conflicts, and the solicitors can instruct multiple clients in cases of the multistage binding process, where some solicitors can serve for two or more corporations at initial stages to ensure the criteria of minimum binding. After the initial stages, solicitors are not allowed to represent more than one client on competitive stages. </w:t>
      </w:r>
    </w:p>
    <w:p w14:paraId="25CC9392" w14:textId="502CD366"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lastRenderedPageBreak/>
        <w:t xml:space="preserve">Situations when the final results of clients come out to be different, then this kind of situation is not considered as per IB (in cases where one partner but out interest from another party in the form of a joint venture or when seller transfer property to their buyer). According to O (3.7) [39], solicitors can work for multiple parties even in competitive binding such as "due diligence." Still, they must avoid the bidding process (representing two buyers competing for the same property). In situations when clients compete for similar objectives, solicitors in the legal firm are not allowed to act for multiple clients unless the clients are agreed.  In cases when clients have conflicts between them, the lawyer is required to act only for one client. The UK has different legal requirements, whereas, in the United States, this type of doctrine is known as the "Hit Potato" doctrine </w:t>
      </w:r>
      <w:r w:rsidRPr="001E621A">
        <w:rPr>
          <w:rFonts w:ascii="Arial" w:hAnsi="Arial" w:cs="Arial"/>
          <w:color w:val="1F497D" w:themeColor="text2"/>
          <w:sz w:val="24"/>
          <w:szCs w:val="24"/>
        </w:rPr>
        <w:t xml:space="preserve">(Sundeep, 2018). </w:t>
      </w:r>
      <w:r w:rsidRPr="00411CAC">
        <w:rPr>
          <w:rFonts w:ascii="Arial" w:hAnsi="Arial" w:cs="Arial"/>
          <w:color w:val="000000"/>
          <w:sz w:val="24"/>
          <w:szCs w:val="24"/>
        </w:rPr>
        <w:t xml:space="preserve">In case of conflict, lawyers should only act for one client. There is some guidance on what the lawyer can select. </w:t>
      </w:r>
    </w:p>
    <w:p w14:paraId="62B6C938" w14:textId="77777777" w:rsidR="001E621A" w:rsidRPr="00411CAC" w:rsidRDefault="001E621A" w:rsidP="00294A19">
      <w:pPr>
        <w:spacing w:line="360" w:lineRule="auto"/>
        <w:jc w:val="both"/>
        <w:rPr>
          <w:rFonts w:ascii="Arial" w:hAnsi="Arial" w:cs="Arial"/>
          <w:color w:val="000000"/>
          <w:sz w:val="24"/>
          <w:szCs w:val="24"/>
        </w:rPr>
      </w:pPr>
    </w:p>
    <w:p w14:paraId="34461331"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20" w:name="_Toc70131301"/>
      <w:bookmarkStart w:id="21" w:name="_Toc70378545"/>
      <w:r w:rsidRPr="00411CAC">
        <w:rPr>
          <w:rFonts w:ascii="Arial" w:hAnsi="Arial" w:cs="Arial"/>
          <w:color w:val="000000"/>
          <w:sz w:val="24"/>
          <w:szCs w:val="24"/>
          <w:u w:val="single"/>
        </w:rPr>
        <w:t>Anti-money laundering, due diligence:</w:t>
      </w:r>
      <w:bookmarkEnd w:id="20"/>
      <w:bookmarkEnd w:id="21"/>
    </w:p>
    <w:p w14:paraId="65DE30F6"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There are concerns that lawyers do not take severe considerations on the confidentiality of clients. Lord Scott suggests that confidentiality is the "central pillar" in legal ethics. However, according to IB (4.4), lawyers must report any suspicious information of clients, such as </w:t>
      </w:r>
      <w:r w:rsidRPr="00411CAC">
        <w:rPr>
          <w:rFonts w:ascii="Arial" w:hAnsi="Arial" w:cs="Arial"/>
          <w:b/>
          <w:bCs/>
          <w:color w:val="000000"/>
          <w:sz w:val="24"/>
          <w:szCs w:val="24"/>
        </w:rPr>
        <w:t>money laundering, possession of legal secrets, or terrorism</w:t>
      </w:r>
      <w:r w:rsidRPr="00411CAC">
        <w:rPr>
          <w:rFonts w:ascii="Arial" w:hAnsi="Arial" w:cs="Arial"/>
          <w:color w:val="000000"/>
          <w:sz w:val="24"/>
          <w:szCs w:val="24"/>
        </w:rPr>
        <w:t xml:space="preserve">. </w:t>
      </w:r>
    </w:p>
    <w:p w14:paraId="18094555" w14:textId="77777777"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O (4.3) suggests that any person representing a client must ensure that he makes a client aware of all the required information, and he should ensure that their knowledge is secure. Moreover, O (4.3) also suggests that in cases of conflicts between disclosure and confidentiality, the "duty of client’s confidentiality" is behind the "duty of disclosure.</w:t>
      </w:r>
      <w:r w:rsidRPr="00EF395A">
        <w:rPr>
          <w:rStyle w:val="FootnoteReference"/>
          <w:rFonts w:ascii="Arial" w:hAnsi="Arial" w:cs="Arial"/>
          <w:color w:val="1F497D" w:themeColor="text2"/>
          <w:sz w:val="24"/>
          <w:szCs w:val="24"/>
        </w:rPr>
        <w:footnoteReference w:id="4"/>
      </w:r>
      <w:r w:rsidRPr="00EF395A">
        <w:rPr>
          <w:rFonts w:ascii="Arial" w:hAnsi="Arial" w:cs="Arial"/>
          <w:color w:val="1F497D" w:themeColor="text2"/>
          <w:sz w:val="24"/>
          <w:szCs w:val="24"/>
        </w:rPr>
        <w:t>"</w:t>
      </w:r>
      <w:r w:rsidRPr="00411CAC">
        <w:rPr>
          <w:rFonts w:ascii="Arial" w:hAnsi="Arial" w:cs="Arial"/>
          <w:color w:val="000000"/>
          <w:sz w:val="24"/>
          <w:szCs w:val="24"/>
        </w:rPr>
        <w:t xml:space="preserve">  Since it would be an apparent conflict of interest to act for two clients who have conflicting interests, the chapter of SRA code on confidentiality explains that duty of disclosure must be reconciled with the duty of disclosure, and it seems to include the clients' past information which is not in the knowledge of the solicitor, but is in the records of the firm. In the case of Bolkiah</w:t>
      </w:r>
      <w:r w:rsidRPr="00411CAC">
        <w:rPr>
          <w:rStyle w:val="FootnoteReference"/>
          <w:rFonts w:ascii="Arial" w:hAnsi="Arial" w:cs="Arial"/>
          <w:color w:val="000000"/>
          <w:sz w:val="24"/>
          <w:szCs w:val="24"/>
        </w:rPr>
        <w:footnoteReference w:id="5"/>
      </w:r>
      <w:r w:rsidRPr="00411CAC">
        <w:rPr>
          <w:rFonts w:ascii="Arial" w:hAnsi="Arial" w:cs="Arial"/>
          <w:color w:val="000000"/>
          <w:sz w:val="24"/>
          <w:szCs w:val="24"/>
        </w:rPr>
        <w:t xml:space="preserve">, the house of the Lord's suggested </w:t>
      </w:r>
      <w:r w:rsidRPr="00411CAC">
        <w:rPr>
          <w:rFonts w:ascii="Arial" w:hAnsi="Arial" w:cs="Arial"/>
          <w:color w:val="000000"/>
          <w:sz w:val="24"/>
          <w:szCs w:val="24"/>
        </w:rPr>
        <w:lastRenderedPageBreak/>
        <w:t xml:space="preserve">that clients must consent to their adviser on matters where confidential information is used in a new case. In serious matters, conflict of interests cannot be avoided with communication barriers (Richard, 2018). </w:t>
      </w:r>
    </w:p>
    <w:p w14:paraId="36B579F0" w14:textId="77777777"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IB (4.5) [53] and SRA code O (4.4) [52] restrict layers not to continue for their clients to whom material information of previous clients cannot be disclosed; there is an exception in limited circumstances. Such situations are considered "precursors" to conflict of interests. O (4.5) [54] claim to have controls and systems in places to facilitate solicitors to mitigate and identify risks regarding client's confidentiality. In the case of Georgian</w:t>
      </w:r>
      <w:r w:rsidRPr="00411CAC">
        <w:rPr>
          <w:rStyle w:val="FootnoteReference"/>
          <w:rFonts w:ascii="Arial" w:hAnsi="Arial" w:cs="Arial"/>
          <w:color w:val="000000"/>
          <w:sz w:val="24"/>
          <w:szCs w:val="24"/>
        </w:rPr>
        <w:footnoteReference w:id="6"/>
      </w:r>
      <w:r w:rsidRPr="00411CAC">
        <w:rPr>
          <w:rFonts w:ascii="Arial" w:hAnsi="Arial" w:cs="Arial"/>
          <w:color w:val="000000"/>
          <w:sz w:val="24"/>
          <w:szCs w:val="24"/>
        </w:rPr>
        <w:t xml:space="preserve"> American Alloys, it was suggested that courts should have interference unless they are fully satisfied that there is no confirmed case of disclosure. The court should also restrain the solicitor from representing more than one client until it is met by all measures that must be taken to ensure "no disclosure will happen in the future."</w:t>
      </w:r>
    </w:p>
    <w:p w14:paraId="6B13BE88" w14:textId="77777777" w:rsidR="00294A19" w:rsidRPr="00411CAC" w:rsidRDefault="00294A19" w:rsidP="00294A19">
      <w:pPr>
        <w:spacing w:line="360" w:lineRule="auto"/>
        <w:jc w:val="both"/>
        <w:rPr>
          <w:rFonts w:ascii="Arial" w:hAnsi="Arial" w:cs="Arial"/>
          <w:color w:val="000000"/>
          <w:sz w:val="24"/>
          <w:szCs w:val="24"/>
        </w:rPr>
      </w:pPr>
    </w:p>
    <w:p w14:paraId="6F815925" w14:textId="77777777" w:rsidR="00294A19" w:rsidRPr="00411CAC" w:rsidRDefault="00294A19" w:rsidP="00294A19">
      <w:pPr>
        <w:pStyle w:val="Heading2"/>
        <w:numPr>
          <w:ilvl w:val="0"/>
          <w:numId w:val="6"/>
        </w:numPr>
        <w:spacing w:line="360" w:lineRule="auto"/>
        <w:rPr>
          <w:rFonts w:ascii="Arial" w:hAnsi="Arial" w:cs="Arial"/>
          <w:color w:val="000000"/>
          <w:sz w:val="24"/>
          <w:szCs w:val="24"/>
          <w:u w:val="single"/>
        </w:rPr>
      </w:pPr>
      <w:bookmarkStart w:id="22" w:name="_Toc70131302"/>
      <w:bookmarkStart w:id="23" w:name="_Toc70378546"/>
      <w:r w:rsidRPr="00411CAC">
        <w:rPr>
          <w:rFonts w:ascii="Arial" w:hAnsi="Arial" w:cs="Arial"/>
          <w:color w:val="000000"/>
          <w:sz w:val="24"/>
          <w:szCs w:val="24"/>
          <w:u w:val="single"/>
        </w:rPr>
        <w:t>Acting for multiple clients:</w:t>
      </w:r>
      <w:bookmarkEnd w:id="22"/>
      <w:bookmarkEnd w:id="23"/>
    </w:p>
    <w:p w14:paraId="2240FD47" w14:textId="77777777" w:rsidR="00294A19" w:rsidRPr="001E621A" w:rsidRDefault="00294A19" w:rsidP="00294A19">
      <w:pPr>
        <w:spacing w:line="360" w:lineRule="auto"/>
        <w:jc w:val="both"/>
        <w:rPr>
          <w:rFonts w:ascii="Arial" w:hAnsi="Arial" w:cs="Arial"/>
          <w:color w:val="1F497D" w:themeColor="text2"/>
          <w:sz w:val="24"/>
          <w:szCs w:val="24"/>
        </w:rPr>
      </w:pPr>
      <w:r w:rsidRPr="00411CAC">
        <w:rPr>
          <w:rFonts w:ascii="Arial" w:hAnsi="Arial" w:cs="Arial"/>
          <w:color w:val="000000"/>
          <w:sz w:val="24"/>
          <w:szCs w:val="24"/>
        </w:rPr>
        <w:t xml:space="preserve">Large law firms claim to have waterproof systems that are designed to protect the confidentiality of clients. When the firms are asked to act for their clients to whom they represent the responsibility of disclosure confidentiality, the firm’s erect communication barriers and other complexities in the firm that may result in a leak of information. There should be no limitations of barriers towards acquisition and mergers to decrease confidentiality. Moreover, when solicitors are transferred between different legal firms, the corporations must ensure that the information of one firm is not transferred to another. In the case of smaller firms, specifically consideration is warranted to them because of the layout and physical structure of the firm </w:t>
      </w:r>
      <w:r w:rsidRPr="001E621A">
        <w:rPr>
          <w:rFonts w:ascii="Arial" w:hAnsi="Arial" w:cs="Arial"/>
          <w:color w:val="1F497D" w:themeColor="text2"/>
          <w:sz w:val="24"/>
          <w:szCs w:val="24"/>
        </w:rPr>
        <w:t xml:space="preserve">(YASHIN, 2018). </w:t>
      </w:r>
    </w:p>
    <w:p w14:paraId="32415E2B" w14:textId="77777777" w:rsidR="00294A19"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 xml:space="preserve">It's not hard to understand principles where lawyers should not put themselves in situations where there is a difference in conflict of interest between lawyers and clients. The thing that has created the difficulty is "myriad attempts" by lawyers to known about </w:t>
      </w:r>
      <w:r w:rsidRPr="00411CAC">
        <w:rPr>
          <w:rFonts w:ascii="Arial" w:hAnsi="Arial" w:cs="Arial"/>
          <w:color w:val="000000"/>
          <w:sz w:val="24"/>
          <w:szCs w:val="24"/>
        </w:rPr>
        <w:lastRenderedPageBreak/>
        <w:t xml:space="preserve">the principles where the exception is allowed. Lawyers often know to serve multiple masters, but they are not able to do it effectively if they are not putting their best into it. </w:t>
      </w:r>
      <w:proofErr w:type="spellStart"/>
      <w:r w:rsidRPr="00411CAC">
        <w:rPr>
          <w:rFonts w:ascii="Arial" w:hAnsi="Arial" w:cs="Arial"/>
          <w:color w:val="000000"/>
          <w:sz w:val="24"/>
          <w:szCs w:val="24"/>
        </w:rPr>
        <w:t>Redressek</w:t>
      </w:r>
      <w:proofErr w:type="spellEnd"/>
      <w:r w:rsidRPr="00411CAC">
        <w:rPr>
          <w:rFonts w:ascii="Arial" w:hAnsi="Arial" w:cs="Arial"/>
          <w:color w:val="000000"/>
          <w:sz w:val="24"/>
          <w:szCs w:val="24"/>
        </w:rPr>
        <w:t xml:space="preserve"> of personal ethics, risk of information, and integrity are fundamental concerns to build confidence, reputation, and trust in clients. On the contrary, clients must be more flexible in conflicts and should prefer to trust their lawyers with the idea of "losing the best.” It is a matter of take little and give little. </w:t>
      </w:r>
    </w:p>
    <w:p w14:paraId="10C65524" w14:textId="77777777" w:rsidR="00294A19" w:rsidRPr="00411CAC" w:rsidRDefault="00294A19" w:rsidP="00294A19">
      <w:pPr>
        <w:spacing w:line="360" w:lineRule="auto"/>
        <w:jc w:val="both"/>
        <w:rPr>
          <w:rFonts w:ascii="Arial" w:hAnsi="Arial" w:cs="Arial"/>
          <w:color w:val="000000"/>
          <w:sz w:val="24"/>
          <w:szCs w:val="24"/>
        </w:rPr>
      </w:pPr>
    </w:p>
    <w:p w14:paraId="23BCFE6D" w14:textId="77777777" w:rsidR="00294A19" w:rsidRPr="00411CAC" w:rsidRDefault="00294A19" w:rsidP="00294A19">
      <w:pPr>
        <w:pStyle w:val="Heading1"/>
        <w:numPr>
          <w:ilvl w:val="0"/>
          <w:numId w:val="5"/>
        </w:numPr>
        <w:spacing w:line="360" w:lineRule="auto"/>
        <w:rPr>
          <w:rFonts w:ascii="Arial" w:hAnsi="Arial" w:cs="Arial"/>
          <w:color w:val="000000"/>
          <w:sz w:val="24"/>
          <w:szCs w:val="24"/>
          <w:u w:val="single"/>
        </w:rPr>
      </w:pPr>
      <w:bookmarkStart w:id="24" w:name="_Toc70131303"/>
      <w:bookmarkStart w:id="25" w:name="_Toc70378547"/>
      <w:r w:rsidRPr="00411CAC">
        <w:rPr>
          <w:rFonts w:ascii="Arial" w:hAnsi="Arial" w:cs="Arial"/>
          <w:color w:val="000000"/>
          <w:sz w:val="24"/>
          <w:szCs w:val="24"/>
          <w:u w:val="single"/>
        </w:rPr>
        <w:t>CONCLUSION:</w:t>
      </w:r>
      <w:bookmarkEnd w:id="24"/>
      <w:bookmarkEnd w:id="25"/>
    </w:p>
    <w:p w14:paraId="247965DB" w14:textId="77777777" w:rsidR="00294A19" w:rsidRPr="00411CAC" w:rsidRDefault="00294A19" w:rsidP="00294A19">
      <w:pPr>
        <w:rPr>
          <w:sz w:val="24"/>
          <w:szCs w:val="24"/>
        </w:rPr>
      </w:pPr>
    </w:p>
    <w:p w14:paraId="60453642" w14:textId="3D835BE1" w:rsidR="00294A19" w:rsidRPr="00411CAC" w:rsidRDefault="00294A19" w:rsidP="00294A19">
      <w:pPr>
        <w:spacing w:line="360" w:lineRule="auto"/>
        <w:jc w:val="both"/>
        <w:rPr>
          <w:rFonts w:ascii="Arial" w:hAnsi="Arial" w:cs="Arial"/>
          <w:color w:val="000000"/>
          <w:sz w:val="24"/>
          <w:szCs w:val="24"/>
        </w:rPr>
      </w:pPr>
      <w:r w:rsidRPr="00411CAC">
        <w:rPr>
          <w:rFonts w:ascii="Arial" w:hAnsi="Arial" w:cs="Arial"/>
          <w:color w:val="000000"/>
          <w:sz w:val="24"/>
          <w:szCs w:val="24"/>
        </w:rPr>
        <w:t>Ultimately, the SRA's risk-based outlook puts it in place with other global level regulatory bodies and different sectors such as safety,</w:t>
      </w:r>
      <w:r w:rsidR="00E35F47">
        <w:rPr>
          <w:rFonts w:ascii="Arial" w:hAnsi="Arial" w:cs="Arial"/>
          <w:color w:val="000000"/>
          <w:sz w:val="24"/>
          <w:szCs w:val="24"/>
        </w:rPr>
        <w:t xml:space="preserve"> Trust, </w:t>
      </w:r>
      <w:r w:rsidRPr="00411CAC">
        <w:rPr>
          <w:rFonts w:ascii="Arial" w:hAnsi="Arial" w:cs="Arial"/>
          <w:color w:val="000000"/>
          <w:sz w:val="24"/>
          <w:szCs w:val="24"/>
        </w:rPr>
        <w:t xml:space="preserve"> financial health, environmental protection,</w:t>
      </w:r>
      <w:r w:rsidR="00E35F47">
        <w:rPr>
          <w:rFonts w:ascii="Arial" w:hAnsi="Arial" w:cs="Arial"/>
          <w:color w:val="000000"/>
          <w:sz w:val="24"/>
          <w:szCs w:val="24"/>
        </w:rPr>
        <w:t xml:space="preserve"> Professionalism,</w:t>
      </w:r>
      <w:r w:rsidRPr="00411CAC">
        <w:rPr>
          <w:rFonts w:ascii="Arial" w:hAnsi="Arial" w:cs="Arial"/>
          <w:color w:val="000000"/>
          <w:sz w:val="24"/>
          <w:szCs w:val="24"/>
        </w:rPr>
        <w:t xml:space="preserve"> hygiene, etc. The combined effects of these sectors have brought in context the objective of protecting clients' and consumers' information. The objectives also revolve around mitigation and management of related risks. The biggest beneficiary of these objectives is clients because the legal corporations are obliged to protect clients in all situations and legal applications. </w:t>
      </w:r>
    </w:p>
    <w:p w14:paraId="5A3F688D" w14:textId="77777777" w:rsidR="00294A19" w:rsidRPr="00411CAC" w:rsidRDefault="00294A19" w:rsidP="00294A19">
      <w:pPr>
        <w:spacing w:line="360" w:lineRule="auto"/>
        <w:rPr>
          <w:rFonts w:ascii="Arial" w:hAnsi="Arial" w:cs="Arial"/>
          <w:color w:val="000000"/>
          <w:sz w:val="24"/>
          <w:szCs w:val="24"/>
        </w:rPr>
      </w:pPr>
      <w:r w:rsidRPr="00411CAC">
        <w:rPr>
          <w:rFonts w:ascii="Arial" w:hAnsi="Arial" w:cs="Arial"/>
          <w:color w:val="000000"/>
          <w:sz w:val="24"/>
          <w:szCs w:val="24"/>
        </w:rPr>
        <w:t xml:space="preserve"> </w:t>
      </w:r>
    </w:p>
    <w:p w14:paraId="4D9ADC9D" w14:textId="77777777" w:rsidR="00294A19" w:rsidRPr="00411CAC" w:rsidRDefault="00294A19" w:rsidP="00294A19">
      <w:pPr>
        <w:spacing w:line="360" w:lineRule="auto"/>
        <w:rPr>
          <w:rFonts w:ascii="Arial" w:hAnsi="Arial" w:cs="Arial"/>
          <w:color w:val="000000"/>
          <w:sz w:val="24"/>
          <w:szCs w:val="24"/>
        </w:rPr>
      </w:pPr>
    </w:p>
    <w:p w14:paraId="490E4262" w14:textId="77777777" w:rsidR="00294A19" w:rsidRPr="00411CAC" w:rsidRDefault="00294A19" w:rsidP="00294A19">
      <w:pPr>
        <w:pStyle w:val="Heading1"/>
        <w:spacing w:line="360" w:lineRule="auto"/>
        <w:rPr>
          <w:rFonts w:ascii="Arial" w:hAnsi="Arial" w:cs="Arial"/>
          <w:color w:val="000000"/>
          <w:sz w:val="24"/>
          <w:szCs w:val="24"/>
          <w:u w:val="single"/>
        </w:rPr>
      </w:pPr>
      <w:bookmarkStart w:id="26" w:name="_Toc70378548"/>
      <w:r w:rsidRPr="00411CAC">
        <w:rPr>
          <w:rFonts w:ascii="Arial" w:hAnsi="Arial" w:cs="Arial"/>
          <w:color w:val="000000"/>
          <w:sz w:val="24"/>
          <w:szCs w:val="24"/>
          <w:u w:val="single"/>
        </w:rPr>
        <w:t>References</w:t>
      </w:r>
      <w:bookmarkEnd w:id="26"/>
    </w:p>
    <w:p w14:paraId="43159127" w14:textId="77777777" w:rsidR="00294A19" w:rsidRPr="001E621A" w:rsidRDefault="00294A19" w:rsidP="00294A19">
      <w:pPr>
        <w:spacing w:line="360" w:lineRule="auto"/>
        <w:jc w:val="both"/>
        <w:rPr>
          <w:rFonts w:ascii="Arial" w:hAnsi="Arial" w:cs="Arial"/>
          <w:color w:val="1F497D" w:themeColor="text2"/>
          <w:sz w:val="20"/>
          <w:szCs w:val="20"/>
        </w:rPr>
      </w:pPr>
      <w:r w:rsidRPr="001E621A">
        <w:rPr>
          <w:rFonts w:ascii="Arial" w:hAnsi="Arial" w:cs="Arial"/>
          <w:color w:val="1F497D" w:themeColor="text2"/>
          <w:sz w:val="20"/>
          <w:szCs w:val="20"/>
        </w:rPr>
        <w:t>Jane, C. (2018). Legal Education and Training Review: a five-year retro/prospective. The Law Teacher 52 (4), 384-396.</w:t>
      </w:r>
    </w:p>
    <w:p w14:paraId="2D6E600F" w14:textId="77777777" w:rsidR="00294A19" w:rsidRPr="001E621A" w:rsidRDefault="00294A19" w:rsidP="00294A19">
      <w:pPr>
        <w:spacing w:line="360" w:lineRule="auto"/>
        <w:jc w:val="both"/>
        <w:rPr>
          <w:rFonts w:ascii="Arial" w:hAnsi="Arial" w:cs="Arial"/>
          <w:color w:val="1F497D" w:themeColor="text2"/>
          <w:sz w:val="20"/>
          <w:szCs w:val="20"/>
        </w:rPr>
      </w:pPr>
      <w:r w:rsidRPr="001E621A">
        <w:rPr>
          <w:rFonts w:ascii="Arial" w:hAnsi="Arial" w:cs="Arial"/>
          <w:color w:val="1F497D" w:themeColor="text2"/>
          <w:sz w:val="20"/>
          <w:szCs w:val="20"/>
        </w:rPr>
        <w:t>Michael, B. Conduct unbefitting: solicitors, the SRA and tax avoidance</w:t>
      </w:r>
    </w:p>
    <w:p w14:paraId="7E67DF96" w14:textId="77777777" w:rsidR="00294A19" w:rsidRPr="001E621A" w:rsidRDefault="00294A19" w:rsidP="00294A19">
      <w:pPr>
        <w:spacing w:line="360" w:lineRule="auto"/>
        <w:jc w:val="both"/>
        <w:rPr>
          <w:rFonts w:ascii="Arial" w:hAnsi="Arial" w:cs="Arial"/>
          <w:color w:val="1F497D" w:themeColor="text2"/>
          <w:sz w:val="20"/>
          <w:szCs w:val="20"/>
        </w:rPr>
      </w:pPr>
      <w:r w:rsidRPr="001E621A">
        <w:rPr>
          <w:rFonts w:ascii="Arial" w:hAnsi="Arial" w:cs="Arial"/>
          <w:color w:val="1F497D" w:themeColor="text2"/>
          <w:sz w:val="20"/>
          <w:szCs w:val="20"/>
        </w:rPr>
        <w:t>Richard, K. (2018). Legal aspects of cloud security. Computer Law &amp; Security Review 34 (4), 928-932.</w:t>
      </w:r>
    </w:p>
    <w:p w14:paraId="71F969E9" w14:textId="77777777" w:rsidR="00294A19" w:rsidRPr="001E621A" w:rsidRDefault="00294A19" w:rsidP="00294A19">
      <w:pPr>
        <w:spacing w:line="360" w:lineRule="auto"/>
        <w:jc w:val="both"/>
        <w:rPr>
          <w:rFonts w:ascii="Arial" w:hAnsi="Arial" w:cs="Arial"/>
          <w:color w:val="1F497D" w:themeColor="text2"/>
          <w:sz w:val="20"/>
          <w:szCs w:val="20"/>
        </w:rPr>
      </w:pPr>
      <w:r w:rsidRPr="001E621A">
        <w:rPr>
          <w:rFonts w:ascii="Arial" w:hAnsi="Arial" w:cs="Arial"/>
          <w:color w:val="1F497D" w:themeColor="text2"/>
          <w:sz w:val="20"/>
          <w:szCs w:val="20"/>
        </w:rPr>
        <w:t>Sundeep, A. (2018). Regulating law firms from the inside: the role of compliance officers for legal practice in England and Wales. Journal of Law and Society 45 (2), 254-281.</w:t>
      </w:r>
    </w:p>
    <w:p w14:paraId="0861098E" w14:textId="77777777" w:rsidR="00294A19" w:rsidRPr="001E621A" w:rsidRDefault="00294A19" w:rsidP="00294A19">
      <w:pPr>
        <w:spacing w:line="360" w:lineRule="auto"/>
        <w:jc w:val="both"/>
        <w:rPr>
          <w:rFonts w:ascii="Arial" w:hAnsi="Arial" w:cs="Arial"/>
          <w:color w:val="1F497D" w:themeColor="text2"/>
          <w:sz w:val="20"/>
          <w:szCs w:val="20"/>
        </w:rPr>
      </w:pPr>
      <w:r w:rsidRPr="001E621A">
        <w:rPr>
          <w:rFonts w:ascii="Arial" w:hAnsi="Arial" w:cs="Arial"/>
          <w:color w:val="1F497D" w:themeColor="text2"/>
          <w:sz w:val="20"/>
          <w:szCs w:val="20"/>
        </w:rPr>
        <w:t xml:space="preserve">YASHIN, A. (2018). RULES OF PROFESSIONAL CONDUCT FOR BARRISTERS AND SOLICITORS IN </w:t>
      </w:r>
      <w:proofErr w:type="spellStart"/>
      <w:r w:rsidRPr="001E621A">
        <w:rPr>
          <w:rFonts w:ascii="Arial" w:hAnsi="Arial" w:cs="Arial"/>
          <w:color w:val="1F497D" w:themeColor="text2"/>
          <w:sz w:val="20"/>
          <w:szCs w:val="20"/>
        </w:rPr>
        <w:t>ENGLAND..Language</w:t>
      </w:r>
      <w:proofErr w:type="spellEnd"/>
      <w:r w:rsidRPr="001E621A">
        <w:rPr>
          <w:rFonts w:ascii="Arial" w:hAnsi="Arial" w:cs="Arial"/>
          <w:color w:val="1F497D" w:themeColor="text2"/>
          <w:sz w:val="20"/>
          <w:szCs w:val="20"/>
        </w:rPr>
        <w:t>. Culture. Translation, 165-167.</w:t>
      </w:r>
    </w:p>
    <w:p w14:paraId="0DB85472" w14:textId="77777777" w:rsidR="00294A19" w:rsidRPr="00EA6EE3" w:rsidRDefault="00294A19" w:rsidP="00294A19">
      <w:pPr>
        <w:spacing w:line="360" w:lineRule="auto"/>
        <w:rPr>
          <w:rFonts w:ascii="Arial" w:hAnsi="Arial" w:cs="Arial"/>
          <w:color w:val="000000"/>
          <w:sz w:val="20"/>
          <w:szCs w:val="20"/>
        </w:rPr>
      </w:pPr>
    </w:p>
    <w:p w14:paraId="0C88C681" w14:textId="738C544E" w:rsidR="00294A19" w:rsidRPr="00294A19" w:rsidRDefault="00294A19" w:rsidP="00294A19">
      <w:pPr>
        <w:tabs>
          <w:tab w:val="left" w:pos="2160"/>
        </w:tabs>
        <w:rPr>
          <w:sz w:val="24"/>
          <w:szCs w:val="24"/>
        </w:rPr>
      </w:pPr>
    </w:p>
    <w:sectPr w:rsidR="00294A19" w:rsidRPr="00294A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948E7" w14:textId="77777777" w:rsidR="008B41F7" w:rsidRDefault="008B41F7" w:rsidP="00294A19">
      <w:pPr>
        <w:spacing w:after="0" w:line="240" w:lineRule="auto"/>
      </w:pPr>
      <w:r>
        <w:separator/>
      </w:r>
    </w:p>
  </w:endnote>
  <w:endnote w:type="continuationSeparator" w:id="0">
    <w:p w14:paraId="5A7C8713" w14:textId="77777777" w:rsidR="008B41F7" w:rsidRDefault="008B41F7" w:rsidP="00294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5A61E" w14:textId="77777777" w:rsidR="008B41F7" w:rsidRDefault="008B41F7" w:rsidP="00294A19">
      <w:pPr>
        <w:spacing w:after="0" w:line="240" w:lineRule="auto"/>
      </w:pPr>
      <w:r>
        <w:separator/>
      </w:r>
    </w:p>
  </w:footnote>
  <w:footnote w:type="continuationSeparator" w:id="0">
    <w:p w14:paraId="3EE10470" w14:textId="77777777" w:rsidR="008B41F7" w:rsidRDefault="008B41F7" w:rsidP="00294A19">
      <w:pPr>
        <w:spacing w:after="0" w:line="240" w:lineRule="auto"/>
      </w:pPr>
      <w:r>
        <w:continuationSeparator/>
      </w:r>
    </w:p>
  </w:footnote>
  <w:footnote w:id="1">
    <w:p w14:paraId="698B2BB2" w14:textId="77777777" w:rsidR="00294A19" w:rsidRPr="00294A19" w:rsidRDefault="00294A19" w:rsidP="00294A19">
      <w:pPr>
        <w:pStyle w:val="FootnoteText"/>
        <w:rPr>
          <w:sz w:val="24"/>
          <w:szCs w:val="24"/>
        </w:rPr>
      </w:pPr>
      <w:r w:rsidRPr="00294A19">
        <w:rPr>
          <w:rStyle w:val="FootnoteReference"/>
          <w:b/>
          <w:bCs/>
          <w:color w:val="1F497D" w:themeColor="text2"/>
          <w:sz w:val="24"/>
          <w:szCs w:val="24"/>
        </w:rPr>
        <w:footnoteRef/>
      </w:r>
      <w:r w:rsidRPr="00294A19">
        <w:rPr>
          <w:sz w:val="24"/>
          <w:szCs w:val="24"/>
        </w:rPr>
        <w:t xml:space="preserve"> Hilton v Barker Booth &amp;Eastwood [2005] UKHL 8</w:t>
      </w:r>
    </w:p>
  </w:footnote>
  <w:footnote w:id="2">
    <w:p w14:paraId="1B183325" w14:textId="77777777" w:rsidR="00294A19" w:rsidRPr="00294A19" w:rsidRDefault="00294A19" w:rsidP="00294A19">
      <w:pPr>
        <w:pStyle w:val="FootnoteText"/>
        <w:rPr>
          <w:rStyle w:val="FootnoteReference"/>
          <w:sz w:val="24"/>
          <w:szCs w:val="24"/>
        </w:rPr>
      </w:pPr>
      <w:r w:rsidRPr="00294A19">
        <w:rPr>
          <w:rStyle w:val="FootnoteReference"/>
          <w:b/>
          <w:bCs/>
          <w:color w:val="1F497D" w:themeColor="text2"/>
          <w:sz w:val="24"/>
          <w:szCs w:val="24"/>
        </w:rPr>
        <w:footnoteRef/>
      </w:r>
      <w:r w:rsidRPr="00294A19">
        <w:rPr>
          <w:b/>
          <w:bCs/>
          <w:color w:val="1F497D" w:themeColor="text2"/>
          <w:sz w:val="24"/>
          <w:szCs w:val="24"/>
        </w:rPr>
        <w:t xml:space="preserve"> </w:t>
      </w:r>
      <w:r w:rsidRPr="00294A19">
        <w:rPr>
          <w:sz w:val="24"/>
          <w:szCs w:val="24"/>
        </w:rPr>
        <w:t>Mortgage Express v Bowerman [1996] 2 All ER 836 (CA)</w:t>
      </w:r>
    </w:p>
  </w:footnote>
  <w:footnote w:id="3">
    <w:p w14:paraId="0A6EC000" w14:textId="77777777" w:rsidR="00294A19" w:rsidRPr="00497639" w:rsidRDefault="00294A19" w:rsidP="00294A19">
      <w:pPr>
        <w:pStyle w:val="FootnoteText"/>
        <w:rPr>
          <w:sz w:val="28"/>
          <w:szCs w:val="28"/>
        </w:rPr>
      </w:pPr>
      <w:r w:rsidRPr="00497639">
        <w:rPr>
          <w:rStyle w:val="FootnoteReference"/>
          <w:b/>
          <w:bCs/>
          <w:color w:val="1F497D" w:themeColor="text2"/>
          <w:sz w:val="28"/>
          <w:szCs w:val="28"/>
        </w:rPr>
        <w:footnoteRef/>
      </w:r>
      <w:r w:rsidRPr="00497639">
        <w:rPr>
          <w:b/>
          <w:bCs/>
          <w:color w:val="1F497D" w:themeColor="text2"/>
          <w:sz w:val="28"/>
          <w:szCs w:val="28"/>
        </w:rPr>
        <w:t xml:space="preserve"> </w:t>
      </w:r>
      <w:r w:rsidRPr="00497639">
        <w:rPr>
          <w:sz w:val="28"/>
          <w:szCs w:val="28"/>
        </w:rPr>
        <w:t xml:space="preserve">National Home Loans Corporation v </w:t>
      </w:r>
      <w:proofErr w:type="spellStart"/>
      <w:r w:rsidRPr="00497639">
        <w:rPr>
          <w:sz w:val="28"/>
          <w:szCs w:val="28"/>
        </w:rPr>
        <w:t>Giffen</w:t>
      </w:r>
      <w:proofErr w:type="spellEnd"/>
      <w:r w:rsidRPr="00497639">
        <w:rPr>
          <w:sz w:val="28"/>
          <w:szCs w:val="28"/>
        </w:rPr>
        <w:t xml:space="preserve"> Couch &amp; Archer[1997] 3 All ER 808</w:t>
      </w:r>
    </w:p>
    <w:p w14:paraId="55C88442" w14:textId="77777777" w:rsidR="00294A19" w:rsidRDefault="00294A19" w:rsidP="00294A19"/>
  </w:footnote>
  <w:footnote w:id="4">
    <w:p w14:paraId="0886C407" w14:textId="77777777" w:rsidR="00294A19" w:rsidRPr="005F7714" w:rsidRDefault="00294A19" w:rsidP="00294A19">
      <w:pPr>
        <w:pStyle w:val="FootnoteText"/>
        <w:rPr>
          <w:sz w:val="28"/>
          <w:szCs w:val="28"/>
        </w:rPr>
      </w:pPr>
      <w:r w:rsidRPr="005F7714">
        <w:rPr>
          <w:rStyle w:val="FootnoteReference"/>
          <w:color w:val="1F497D" w:themeColor="text2"/>
          <w:sz w:val="28"/>
          <w:szCs w:val="28"/>
        </w:rPr>
        <w:footnoteRef/>
      </w:r>
      <w:r w:rsidRPr="005F7714">
        <w:rPr>
          <w:color w:val="1F497D" w:themeColor="text2"/>
          <w:sz w:val="28"/>
          <w:szCs w:val="28"/>
        </w:rPr>
        <w:t xml:space="preserve"> </w:t>
      </w:r>
      <w:r w:rsidRPr="005F7714">
        <w:rPr>
          <w:sz w:val="28"/>
          <w:szCs w:val="28"/>
        </w:rPr>
        <w:t>Three Rivers District Council v Governor and Company of the Bank of England (No. 6) [2005] 1 AC 610, [34]</w:t>
      </w:r>
    </w:p>
  </w:footnote>
  <w:footnote w:id="5">
    <w:p w14:paraId="351AF12C" w14:textId="77777777" w:rsidR="00294A19" w:rsidRPr="005F7714" w:rsidRDefault="00294A19" w:rsidP="00294A19">
      <w:pPr>
        <w:pStyle w:val="FootnoteText"/>
        <w:rPr>
          <w:sz w:val="28"/>
          <w:szCs w:val="28"/>
        </w:rPr>
      </w:pPr>
      <w:r w:rsidRPr="005F7714">
        <w:rPr>
          <w:rStyle w:val="FootnoteReference"/>
          <w:color w:val="1F497D" w:themeColor="text2"/>
          <w:sz w:val="28"/>
          <w:szCs w:val="28"/>
        </w:rPr>
        <w:footnoteRef/>
      </w:r>
      <w:r w:rsidRPr="005F7714">
        <w:rPr>
          <w:sz w:val="28"/>
          <w:szCs w:val="28"/>
        </w:rPr>
        <w:t xml:space="preserve"> Bolkiah v KPMG [1999] 1 All ER 517</w:t>
      </w:r>
    </w:p>
  </w:footnote>
  <w:footnote w:id="6">
    <w:p w14:paraId="65A2FA67" w14:textId="77777777" w:rsidR="00294A19" w:rsidRPr="000E7096" w:rsidRDefault="00294A19" w:rsidP="00294A19">
      <w:pPr>
        <w:pStyle w:val="FootnoteText"/>
        <w:rPr>
          <w:sz w:val="28"/>
          <w:szCs w:val="28"/>
        </w:rPr>
      </w:pPr>
      <w:r w:rsidRPr="000E7096">
        <w:rPr>
          <w:rStyle w:val="FootnoteReference"/>
          <w:color w:val="4F81BD" w:themeColor="accent1"/>
          <w:sz w:val="28"/>
          <w:szCs w:val="28"/>
        </w:rPr>
        <w:footnoteRef/>
      </w:r>
      <w:r w:rsidRPr="000E7096">
        <w:rPr>
          <w:sz w:val="28"/>
          <w:szCs w:val="28"/>
        </w:rPr>
        <w:t xml:space="preserve"> Georgian American Alloys Inc v White and Case LLP [2014] EWHC 94 (Comm)</w:t>
      </w:r>
    </w:p>
    <w:p w14:paraId="386D1DF5" w14:textId="77777777" w:rsidR="00294A19" w:rsidRDefault="00294A19" w:rsidP="00294A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07C8"/>
    <w:multiLevelType w:val="hybridMultilevel"/>
    <w:tmpl w:val="8542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57B08"/>
    <w:multiLevelType w:val="hybridMultilevel"/>
    <w:tmpl w:val="2C9827B0"/>
    <w:lvl w:ilvl="0" w:tplc="56F4419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6130A7"/>
    <w:multiLevelType w:val="hybridMultilevel"/>
    <w:tmpl w:val="9E16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F1FF4"/>
    <w:multiLevelType w:val="hybridMultilevel"/>
    <w:tmpl w:val="3790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875D7"/>
    <w:multiLevelType w:val="hybridMultilevel"/>
    <w:tmpl w:val="276A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2A68C1"/>
    <w:multiLevelType w:val="hybridMultilevel"/>
    <w:tmpl w:val="33FA687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7B"/>
    <w:rsid w:val="00022A44"/>
    <w:rsid w:val="00083524"/>
    <w:rsid w:val="00087A92"/>
    <w:rsid w:val="000A5E16"/>
    <w:rsid w:val="000E7096"/>
    <w:rsid w:val="001313E1"/>
    <w:rsid w:val="0019773E"/>
    <w:rsid w:val="001E621A"/>
    <w:rsid w:val="0021516C"/>
    <w:rsid w:val="0023529D"/>
    <w:rsid w:val="002852D3"/>
    <w:rsid w:val="00294A19"/>
    <w:rsid w:val="00310799"/>
    <w:rsid w:val="003A32DE"/>
    <w:rsid w:val="00411FB3"/>
    <w:rsid w:val="00432F7E"/>
    <w:rsid w:val="00435840"/>
    <w:rsid w:val="00453E36"/>
    <w:rsid w:val="00497639"/>
    <w:rsid w:val="004F70D5"/>
    <w:rsid w:val="005F7714"/>
    <w:rsid w:val="006957A3"/>
    <w:rsid w:val="006E24E5"/>
    <w:rsid w:val="00767B5D"/>
    <w:rsid w:val="007B78E5"/>
    <w:rsid w:val="00801197"/>
    <w:rsid w:val="00822865"/>
    <w:rsid w:val="00825D28"/>
    <w:rsid w:val="008927B5"/>
    <w:rsid w:val="008B41F7"/>
    <w:rsid w:val="008C5E53"/>
    <w:rsid w:val="0090743C"/>
    <w:rsid w:val="009529E2"/>
    <w:rsid w:val="009D537A"/>
    <w:rsid w:val="00A17F20"/>
    <w:rsid w:val="00AA70F8"/>
    <w:rsid w:val="00B45B7D"/>
    <w:rsid w:val="00B61B7B"/>
    <w:rsid w:val="00B76F96"/>
    <w:rsid w:val="00C05FB4"/>
    <w:rsid w:val="00C637FD"/>
    <w:rsid w:val="00D479AB"/>
    <w:rsid w:val="00DF3302"/>
    <w:rsid w:val="00E35F47"/>
    <w:rsid w:val="00EF395A"/>
    <w:rsid w:val="00F01F29"/>
    <w:rsid w:val="00F32CAC"/>
    <w:rsid w:val="00FA7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636A"/>
  <w15:docId w15:val="{6A9A6052-AF12-445B-B754-91AFE1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Spacing">
    <w:name w:val="No Spacing"/>
    <w:link w:val="NoSpacingChar"/>
    <w:uiPriority w:val="1"/>
    <w:qFormat/>
    <w:rsid w:val="00083524"/>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83524"/>
    <w:rPr>
      <w:rFonts w:asciiTheme="minorHAnsi" w:eastAsiaTheme="minorEastAsia" w:hAnsiTheme="minorHAnsi" w:cstheme="minorBidi"/>
      <w:lang w:val="en-US" w:eastAsia="en-US"/>
    </w:rPr>
  </w:style>
  <w:style w:type="table" w:styleId="TableGrid">
    <w:name w:val="Table Grid"/>
    <w:basedOn w:val="TableNormal"/>
    <w:rsid w:val="0008352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83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83524"/>
  </w:style>
  <w:style w:type="character" w:customStyle="1" w:styleId="eop">
    <w:name w:val="eop"/>
    <w:basedOn w:val="DefaultParagraphFont"/>
    <w:rsid w:val="00083524"/>
  </w:style>
  <w:style w:type="paragraph" w:styleId="ListParagraph">
    <w:name w:val="List Paragraph"/>
    <w:basedOn w:val="Normal"/>
    <w:uiPriority w:val="34"/>
    <w:qFormat/>
    <w:rsid w:val="00083524"/>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83524"/>
    <w:rPr>
      <w:color w:val="0000FF" w:themeColor="hyperlink"/>
      <w:u w:val="single"/>
    </w:rPr>
  </w:style>
  <w:style w:type="character" w:styleId="FootnoteReference">
    <w:name w:val="footnote reference"/>
    <w:aliases w:val="Footnote Text Char"/>
    <w:link w:val="FootnoteText"/>
    <w:uiPriority w:val="99"/>
    <w:rsid w:val="00294A19"/>
    <w:rPr>
      <w:vertAlign w:val="superscript"/>
    </w:rPr>
  </w:style>
  <w:style w:type="paragraph" w:styleId="FootnoteText">
    <w:name w:val="footnote text"/>
    <w:basedOn w:val="Normal"/>
    <w:next w:val="Normal"/>
    <w:link w:val="FootnoteReference"/>
    <w:uiPriority w:val="99"/>
    <w:rsid w:val="00294A19"/>
    <w:pPr>
      <w:snapToGrid w:val="0"/>
    </w:pPr>
    <w:rPr>
      <w:vertAlign w:val="superscript"/>
    </w:rPr>
  </w:style>
  <w:style w:type="character" w:customStyle="1" w:styleId="FootnoteTextChar1">
    <w:name w:val="Footnote Text Char1"/>
    <w:basedOn w:val="DefaultParagraphFont"/>
    <w:uiPriority w:val="99"/>
    <w:semiHidden/>
    <w:rsid w:val="00294A19"/>
    <w:rPr>
      <w:sz w:val="20"/>
      <w:szCs w:val="20"/>
    </w:rPr>
  </w:style>
  <w:style w:type="paragraph" w:styleId="TOC1">
    <w:name w:val="toc 1"/>
    <w:basedOn w:val="Normal"/>
    <w:next w:val="Normal"/>
    <w:autoRedefine/>
    <w:uiPriority w:val="39"/>
    <w:unhideWhenUsed/>
    <w:rsid w:val="00294A19"/>
    <w:pPr>
      <w:spacing w:before="120" w:after="0"/>
    </w:pPr>
    <w:rPr>
      <w:rFonts w:eastAsia="SimSun" w:cs="Times New Roman"/>
      <w:b/>
      <w:bCs/>
      <w:i/>
      <w:iCs/>
      <w:sz w:val="24"/>
      <w:szCs w:val="24"/>
      <w:lang w:val="en-US" w:eastAsia="zh-CN"/>
    </w:rPr>
  </w:style>
  <w:style w:type="paragraph" w:styleId="TOC2">
    <w:name w:val="toc 2"/>
    <w:basedOn w:val="Normal"/>
    <w:next w:val="Normal"/>
    <w:autoRedefine/>
    <w:uiPriority w:val="39"/>
    <w:unhideWhenUsed/>
    <w:rsid w:val="00294A19"/>
    <w:pPr>
      <w:spacing w:before="120" w:after="0"/>
      <w:ind w:left="220"/>
    </w:pPr>
    <w:rPr>
      <w:rFonts w:eastAsia="SimSun" w:cs="Times New Roman"/>
      <w:b/>
      <w:bCs/>
      <w:lang w:val="en-US" w:eastAsia="zh-CN"/>
    </w:rPr>
  </w:style>
  <w:style w:type="paragraph" w:styleId="TOCHeading">
    <w:name w:val="TOC Heading"/>
    <w:basedOn w:val="Heading1"/>
    <w:next w:val="Normal"/>
    <w:uiPriority w:val="39"/>
    <w:unhideWhenUsed/>
    <w:qFormat/>
    <w:rsid w:val="00294A19"/>
    <w:pPr>
      <w:outlineLvl w:val="9"/>
    </w:pPr>
    <w:rPr>
      <w:rFonts w:ascii="Calibri Light" w:eastAsia="Times New Roman" w:hAnsi="Calibri Light" w:cs="Times New Roman"/>
      <w:bCs/>
      <w:color w:val="2F5496"/>
      <w:lang w:val="en-US" w:eastAsia="en-US"/>
    </w:rPr>
  </w:style>
  <w:style w:type="character" w:styleId="BookTitle">
    <w:name w:val="Book Title"/>
    <w:uiPriority w:val="33"/>
    <w:qFormat/>
    <w:rsid w:val="00294A19"/>
    <w:rPr>
      <w:b/>
      <w:bCs/>
      <w:smallCaps/>
      <w:spacing w:val="5"/>
    </w:rPr>
  </w:style>
  <w:style w:type="character" w:customStyle="1" w:styleId="TitleChar">
    <w:name w:val="Title Char"/>
    <w:link w:val="Title"/>
    <w:uiPriority w:val="10"/>
    <w:rsid w:val="00294A19"/>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SRA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2020-11-05T21:43:00Z</dcterms:created>
  <dcterms:modified xsi:type="dcterms:W3CDTF">2021-05-07T13:23:00Z</dcterms:modified>
</cp:coreProperties>
</file>