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F7003FF" w14:textId="77777777" w:rsidR="00925B43" w:rsidRDefault="007C455F" w:rsidP="007C455F">
      <w:pPr>
        <w:jc w:val="center"/>
        <w:rPr>
          <w:b/>
          <w:sz w:val="32"/>
          <w:szCs w:val="32"/>
          <w:u w:val="single"/>
        </w:rPr>
      </w:pPr>
      <w:r>
        <w:rPr>
          <w:b/>
          <w:sz w:val="32"/>
          <w:szCs w:val="32"/>
          <w:u w:val="single"/>
        </w:rPr>
        <w:t>Review of “The Laws of War in Ancient Greece”</w:t>
      </w:r>
    </w:p>
    <w:p w14:paraId="2756041D" w14:textId="77777777" w:rsidR="007C455F" w:rsidRDefault="007C455F" w:rsidP="007C455F">
      <w:pPr>
        <w:jc w:val="center"/>
        <w:rPr>
          <w:b/>
          <w:sz w:val="32"/>
          <w:szCs w:val="32"/>
          <w:u w:val="single"/>
        </w:rPr>
      </w:pPr>
    </w:p>
    <w:p w14:paraId="29E88209" w14:textId="2A8D9CA2" w:rsidR="007C455F" w:rsidRDefault="00061A02" w:rsidP="007C455F">
      <w:r>
        <w:tab/>
      </w:r>
      <w:r w:rsidR="0036469D">
        <w:t xml:space="preserve">In </w:t>
      </w:r>
      <w:r w:rsidR="00FA524B">
        <w:t xml:space="preserve">Adriaan Lanni’s article, “The Laws of War in Ancient Greece,” </w:t>
      </w:r>
      <w:r w:rsidR="0087529C">
        <w:t>s</w:t>
      </w:r>
      <w:r w:rsidR="00FA524B">
        <w:t xml:space="preserve">he attempts to </w:t>
      </w:r>
      <w:r w:rsidR="00715364">
        <w:t>analyze</w:t>
      </w:r>
      <w:r w:rsidR="00FA524B">
        <w:t xml:space="preserve"> the effectiveness of international law in ancient Greek warfare.</w:t>
      </w:r>
      <w:r w:rsidR="00987AC6">
        <w:t xml:space="preserve"> By looking at evidence provided in various ancient sources such as Thucydides, Plutarch, and Herodotus, </w:t>
      </w:r>
      <w:r w:rsidR="00BA6BDE">
        <w:t>s</w:t>
      </w:r>
      <w:r w:rsidR="00987AC6">
        <w:t>he deducts that international law did serve as</w:t>
      </w:r>
      <w:r w:rsidR="0029095B">
        <w:t xml:space="preserve"> a reasonable check</w:t>
      </w:r>
      <w:r w:rsidR="00987AC6">
        <w:t xml:space="preserve"> upon poleis</w:t>
      </w:r>
      <w:r w:rsidR="009013E1">
        <w:t>’</w:t>
      </w:r>
      <w:r w:rsidR="00987AC6">
        <w:t xml:space="preserve"> behaviour</w:t>
      </w:r>
      <w:r w:rsidR="00C91E5B">
        <w:t>.</w:t>
      </w:r>
      <w:r w:rsidR="0024085A">
        <w:rPr>
          <w:rStyle w:val="FootnoteReference"/>
        </w:rPr>
        <w:footnoteReference w:id="1"/>
      </w:r>
      <w:r w:rsidR="00987AC6">
        <w:t xml:space="preserve"> </w:t>
      </w:r>
      <w:r w:rsidR="00BA6BDE">
        <w:t>Sh</w:t>
      </w:r>
      <w:r w:rsidR="0024085A">
        <w:t xml:space="preserve">e also mentions that </w:t>
      </w:r>
      <w:r w:rsidR="00CE1482">
        <w:t>while the</w:t>
      </w:r>
      <w:r w:rsidR="00BB4F11">
        <w:t xml:space="preserve"> </w:t>
      </w:r>
      <w:r>
        <w:t xml:space="preserve">laws of war may have been at least fairly effective, their effects almost definitely </w:t>
      </w:r>
      <w:r w:rsidR="00C91E5B">
        <w:t>derived from religion, honour, and reputation.</w:t>
      </w:r>
      <w:r w:rsidR="00961677">
        <w:rPr>
          <w:rStyle w:val="FootnoteReference"/>
        </w:rPr>
        <w:footnoteReference w:id="2"/>
      </w:r>
      <w:r w:rsidR="0086293A">
        <w:t xml:space="preserve"> Lanni explains that while </w:t>
      </w:r>
      <w:r w:rsidR="00C70D48">
        <w:t>it was not likely to be possible for a third party to intervene and provide punishment when a polis broke the understood laws of war, it was in the best interest of</w:t>
      </w:r>
      <w:r w:rsidR="00977013">
        <w:t xml:space="preserve"> the poleis involved to comply.</w:t>
      </w:r>
      <w:r w:rsidR="00977013">
        <w:rPr>
          <w:rStyle w:val="FootnoteReference"/>
        </w:rPr>
        <w:footnoteReference w:id="3"/>
      </w:r>
      <w:r w:rsidR="00653F32">
        <w:t xml:space="preserve"> Failure to observe the laws could </w:t>
      </w:r>
      <w:r w:rsidR="00D5564C">
        <w:t>label</w:t>
      </w:r>
      <w:r w:rsidR="00653F32">
        <w:t xml:space="preserve"> a polis as untrustworthy, dishonourable, and uncooperative. Not only this, but the fear of divine intervention was a suitable deterrent for any Greek in times of war.</w:t>
      </w:r>
      <w:r w:rsidR="00653F32">
        <w:rPr>
          <w:rStyle w:val="FootnoteReference"/>
        </w:rPr>
        <w:footnoteReference w:id="4"/>
      </w:r>
      <w:r w:rsidR="00964EDD">
        <w:t xml:space="preserve"> </w:t>
      </w:r>
      <w:r w:rsidR="003F7A02">
        <w:t xml:space="preserve">Contrary to Lanni’s belief that </w:t>
      </w:r>
      <w:r w:rsidR="00347DE3">
        <w:t xml:space="preserve">international law was broadly successful, </w:t>
      </w:r>
      <w:r w:rsidR="008F6062">
        <w:t xml:space="preserve">Josiah </w:t>
      </w:r>
      <w:r w:rsidR="00347DE3">
        <w:t>Ober</w:t>
      </w:r>
      <w:r w:rsidR="008F6062">
        <w:t xml:space="preserve"> suggests that certain poleis such as Athens did not need to adhere to the laws</w:t>
      </w:r>
      <w:r w:rsidR="00DB2D1E">
        <w:t xml:space="preserve"> due to their standing</w:t>
      </w:r>
      <w:r w:rsidR="00870EC9">
        <w:t xml:space="preserve"> in the Greek world</w:t>
      </w:r>
      <w:r w:rsidR="00DB2D1E">
        <w:t>.</w:t>
      </w:r>
      <w:r w:rsidR="00347DE3">
        <w:t xml:space="preserve"> </w:t>
      </w:r>
      <w:r w:rsidR="00964EDD">
        <w:t>Lanni does a good job at outlini</w:t>
      </w:r>
      <w:r w:rsidR="00522982">
        <w:t xml:space="preserve">ng these differences in interpretations </w:t>
      </w:r>
      <w:r w:rsidR="007D456C">
        <w:t xml:space="preserve">and attempts to understand their methods with which they came to their conclusions. </w:t>
      </w:r>
      <w:r w:rsidR="0084337C">
        <w:t>Additionally, this article is very “</w:t>
      </w:r>
      <w:r w:rsidR="004164CD">
        <w:t xml:space="preserve">beginner </w:t>
      </w:r>
      <w:r w:rsidR="0084337C">
        <w:t xml:space="preserve">friendly” as she allows the space to explain </w:t>
      </w:r>
      <w:r w:rsidR="003135EE">
        <w:t xml:space="preserve">certain aspects of the ancient world to paint a picture for the readers that may not </w:t>
      </w:r>
      <w:r w:rsidR="006B013F">
        <w:t>study this field.</w:t>
      </w:r>
      <w:r w:rsidR="00FD31EC">
        <w:rPr>
          <w:rStyle w:val="FootnoteReference"/>
        </w:rPr>
        <w:footnoteReference w:id="5"/>
      </w:r>
      <w:r w:rsidR="004164CD">
        <w:t xml:space="preserve"> </w:t>
      </w:r>
      <w:r w:rsidR="002E42EE">
        <w:t>It is important to study these laws of war to further understand the mind-set of Greeks not only during war, but in daily life.</w:t>
      </w:r>
      <w:r w:rsidR="00BA6DD2">
        <w:t xml:space="preserve"> </w:t>
      </w:r>
    </w:p>
    <w:p w14:paraId="27F7A353" w14:textId="27E58D56" w:rsidR="00E634E6" w:rsidRDefault="00E634E6" w:rsidP="007C455F">
      <w:r>
        <w:tab/>
      </w:r>
      <w:r w:rsidR="00284528">
        <w:t>Lanni</w:t>
      </w:r>
      <w:r w:rsidR="00F5102E">
        <w:t xml:space="preserve"> </w:t>
      </w:r>
      <w:r w:rsidR="0044554F">
        <w:t xml:space="preserve">outlines multiple reasons why varying Greek poleis would be more keen to comply with the widely-known laws of war. </w:t>
      </w:r>
      <w:r w:rsidR="001F303B">
        <w:t>The most prominent reason, which many authors</w:t>
      </w:r>
      <w:r w:rsidR="001F303B">
        <w:rPr>
          <w:rStyle w:val="FootnoteReference"/>
        </w:rPr>
        <w:footnoteReference w:id="6"/>
      </w:r>
      <w:r w:rsidR="001F303B">
        <w:t xml:space="preserve"> agree upon, </w:t>
      </w:r>
      <w:r w:rsidR="00975DD5">
        <w:t xml:space="preserve">is fear of divine sanctions which drove </w:t>
      </w:r>
      <w:r w:rsidR="00585358">
        <w:t xml:space="preserve">armies to behave in certain ways. </w:t>
      </w:r>
      <w:r w:rsidR="00983D46">
        <w:t>Summarized</w:t>
      </w:r>
      <w:r w:rsidR="00585358">
        <w:t xml:space="preserve"> in </w:t>
      </w:r>
      <w:r w:rsidR="00E343C6">
        <w:rPr>
          <w:i/>
        </w:rPr>
        <w:t xml:space="preserve">The Laws of War in Ancient Greece, </w:t>
      </w:r>
      <w:r w:rsidR="00E343C6">
        <w:t xml:space="preserve">the laws were as follows: </w:t>
      </w:r>
      <w:r w:rsidR="00C862CD">
        <w:t>sacred sites, people, and events were to be respected and undisturbed</w:t>
      </w:r>
      <w:r w:rsidR="00191D41">
        <w:rPr>
          <w:rStyle w:val="FootnoteReference"/>
        </w:rPr>
        <w:footnoteReference w:id="7"/>
      </w:r>
      <w:r w:rsidR="00C862CD">
        <w:t xml:space="preserve">; </w:t>
      </w:r>
      <w:r w:rsidR="005D7890">
        <w:t>heralds and ambassadors were to be unharmed in enemy land for they are under the protection of Zeus</w:t>
      </w:r>
      <w:r w:rsidR="005D7890">
        <w:rPr>
          <w:rStyle w:val="FootnoteReference"/>
        </w:rPr>
        <w:footnoteReference w:id="8"/>
      </w:r>
      <w:r w:rsidR="006C3B2F">
        <w:t>;</w:t>
      </w:r>
      <w:r w:rsidR="00E63B55">
        <w:t xml:space="preserve"> enemy dead may be claimed so they can have proper funerary rites</w:t>
      </w:r>
      <w:r w:rsidR="00E63B55">
        <w:rPr>
          <w:rStyle w:val="FootnoteReference"/>
        </w:rPr>
        <w:footnoteReference w:id="9"/>
      </w:r>
      <w:r w:rsidR="00D07A83">
        <w:t xml:space="preserve">; </w:t>
      </w:r>
      <w:r w:rsidR="002E7AEB">
        <w:t>mercy was not required to be shown to captives, soldiers, or citizens of captured territories.</w:t>
      </w:r>
      <w:r w:rsidR="002E7AEB">
        <w:rPr>
          <w:rStyle w:val="FootnoteReference"/>
        </w:rPr>
        <w:footnoteReference w:id="10"/>
      </w:r>
      <w:r w:rsidR="008A72C0">
        <w:t xml:space="preserve"> It is clear to see that mos</w:t>
      </w:r>
      <w:r w:rsidR="00AF3464">
        <w:t>t, if not all, of these laws</w:t>
      </w:r>
      <w:r w:rsidR="008A72C0">
        <w:t xml:space="preserve"> have religious </w:t>
      </w:r>
      <w:r w:rsidR="00152425">
        <w:t>connotations or</w:t>
      </w:r>
      <w:r w:rsidR="00544FFB">
        <w:t xml:space="preserve"> consequences </w:t>
      </w:r>
      <w:r w:rsidR="00985DA1">
        <w:t>attached to them. In a society where religion is all-encompassing</w:t>
      </w:r>
      <w:r w:rsidR="00AF1A94">
        <w:t>,</w:t>
      </w:r>
      <w:r w:rsidR="00A72E7D">
        <w:rPr>
          <w:rStyle w:val="FootnoteReference"/>
        </w:rPr>
        <w:footnoteReference w:id="11"/>
      </w:r>
      <w:r w:rsidR="00AF1A94">
        <w:t xml:space="preserve"> it is not surprising that their laws would largely reflect this. </w:t>
      </w:r>
    </w:p>
    <w:p w14:paraId="49BF9FCB" w14:textId="7059CC31" w:rsidR="00AF1A94" w:rsidRDefault="00AF1A94" w:rsidP="007C455F">
      <w:r>
        <w:tab/>
        <w:t xml:space="preserve">In addition to the widely accepted religious repercussions </w:t>
      </w:r>
      <w:r w:rsidR="007B0FCF">
        <w:t>of</w:t>
      </w:r>
      <w:r w:rsidR="00BF41CA">
        <w:t xml:space="preserve"> acting against these laws, Lanni expresses honour and status within the Greek world to be huge contributing factors to their compliance. </w:t>
      </w:r>
      <w:r w:rsidR="00046841">
        <w:t xml:space="preserve">When thinking of the Greek world, it is important to view each poleis as its own </w:t>
      </w:r>
      <w:r w:rsidR="00DE5257">
        <w:t xml:space="preserve">autonomous </w:t>
      </w:r>
      <w:r w:rsidR="006737B8">
        <w:t>individuality</w:t>
      </w:r>
      <w:r w:rsidR="00046841">
        <w:t xml:space="preserve"> which works inside a larger scheme of Greek identity. </w:t>
      </w:r>
      <w:r w:rsidR="00D4119C">
        <w:t xml:space="preserve">Because of </w:t>
      </w:r>
      <w:r w:rsidR="008944B6">
        <w:t>this</w:t>
      </w:r>
      <w:r w:rsidR="00D4119C">
        <w:t>, and because many poleis and island</w:t>
      </w:r>
      <w:r w:rsidR="00803EF6">
        <w:t>s</w:t>
      </w:r>
      <w:r w:rsidR="00D4119C">
        <w:t xml:space="preserve"> are so small, it </w:t>
      </w:r>
      <w:r w:rsidR="00E83383">
        <w:t>was</w:t>
      </w:r>
      <w:r w:rsidR="00D4119C">
        <w:t xml:space="preserve"> crucial that these</w:t>
      </w:r>
      <w:r w:rsidR="00D867F6">
        <w:t xml:space="preserve"> states</w:t>
      </w:r>
      <w:r w:rsidR="00E83383">
        <w:t xml:space="preserve"> had</w:t>
      </w:r>
      <w:r w:rsidR="00D867F6">
        <w:t xml:space="preserve"> allies and </w:t>
      </w:r>
      <w:r w:rsidR="00D867F6">
        <w:lastRenderedPageBreak/>
        <w:t>trading partners.</w:t>
      </w:r>
      <w:r w:rsidR="006B2C05">
        <w:t xml:space="preserve"> In the event that a polis acted</w:t>
      </w:r>
      <w:r w:rsidR="005E6A8A">
        <w:t xml:space="preserve"> disho</w:t>
      </w:r>
      <w:r w:rsidR="009016F6">
        <w:t>nourably or uncooperatively, it</w:t>
      </w:r>
      <w:r w:rsidR="006B2C05">
        <w:t xml:space="preserve"> </w:t>
      </w:r>
      <w:r w:rsidR="005E6A8A">
        <w:t>would</w:t>
      </w:r>
      <w:r w:rsidR="009016F6">
        <w:t xml:space="preserve"> have</w:t>
      </w:r>
      <w:r w:rsidR="005E6A8A">
        <w:t xml:space="preserve"> negatively affect</w:t>
      </w:r>
      <w:r w:rsidR="006B2C05">
        <w:t>ed</w:t>
      </w:r>
      <w:r w:rsidR="005E6A8A">
        <w:t xml:space="preserve"> their s</w:t>
      </w:r>
      <w:r w:rsidR="009016F6">
        <w:t>tanding within the Greek world.</w:t>
      </w:r>
      <w:r w:rsidR="00B45B6A">
        <w:t xml:space="preserve"> Lanni details that </w:t>
      </w:r>
      <w:r w:rsidR="00DD2B0B">
        <w:t xml:space="preserve">damage to the reputation of a polis would have been an extremely effective means of punishment to anyone who would break the laws of war. </w:t>
      </w:r>
      <w:r w:rsidR="00946FB0">
        <w:t>She mentions Thucydides, “you are held up as an example of faith and honour… we, the defendants, are not without reputation, beware lest the public opinion condemns you”</w:t>
      </w:r>
      <w:r w:rsidR="00AE3C55">
        <w:t xml:space="preserve"> (3.57</w:t>
      </w:r>
      <w:r w:rsidR="00946FB0">
        <w:t>.).</w:t>
      </w:r>
      <w:r w:rsidR="00364184">
        <w:t xml:space="preserve"> Lanni also expands and explains that the very secu</w:t>
      </w:r>
      <w:r w:rsidR="00A52022">
        <w:t>rity and economic success relied</w:t>
      </w:r>
      <w:r w:rsidR="00364184">
        <w:t xml:space="preserve"> upon relationships in the Greek world, and losing one’s reputation</w:t>
      </w:r>
      <w:r w:rsidR="00A52022">
        <w:t xml:space="preserve"> could be damning.</w:t>
      </w:r>
      <w:r w:rsidR="00C8081B">
        <w:rPr>
          <w:rStyle w:val="FootnoteReference"/>
        </w:rPr>
        <w:footnoteReference w:id="12"/>
      </w:r>
      <w:r w:rsidR="00C8081B">
        <w:t xml:space="preserve"> Personally, I prefer this argument due to the fact that it gives us good insight to what </w:t>
      </w:r>
      <w:r w:rsidR="009E035B">
        <w:t xml:space="preserve">status meant to citizens of Greek poleis and how significant it was in daily life. </w:t>
      </w:r>
      <w:r w:rsidR="001E3758">
        <w:t xml:space="preserve">This viewpoint appears largely ignored by many </w:t>
      </w:r>
      <w:r w:rsidR="001C1EE3">
        <w:t xml:space="preserve">authors writing prior to 1998. </w:t>
      </w:r>
    </w:p>
    <w:p w14:paraId="3FFB5D73" w14:textId="7B739CC8" w:rsidR="004E7627" w:rsidRDefault="004E7627" w:rsidP="007C455F">
      <w:r>
        <w:tab/>
      </w:r>
      <w:r w:rsidR="00C750A0">
        <w:t>These varying opinions seem</w:t>
      </w:r>
      <w:r w:rsidR="001F6465">
        <w:t xml:space="preserve"> to be</w:t>
      </w:r>
      <w:r>
        <w:t xml:space="preserve"> a question of interpretation of text and choosing which points to focus on, seeing as most authors are using the same ancient texts – Thucydides, Xenophon, Polybius, and Herodotus.</w:t>
      </w:r>
      <w:r w:rsidR="00126B04">
        <w:t xml:space="preserve"> Neither viewpoint or area of focus is incorrect, but </w:t>
      </w:r>
      <w:r w:rsidR="00161B23">
        <w:t xml:space="preserve">I applaud Lanni for placing further focus on honour and status, rather than simply </w:t>
      </w:r>
      <w:r w:rsidR="00F0165D">
        <w:t xml:space="preserve">honing in on religion for every explanation. </w:t>
      </w:r>
      <w:r w:rsidR="00A12F43">
        <w:t xml:space="preserve">In fact, honour was so hugely </w:t>
      </w:r>
      <w:r w:rsidR="006D670F">
        <w:t>idolized</w:t>
      </w:r>
      <w:r w:rsidR="00A12F43">
        <w:t xml:space="preserve"> that suicide in order to preserve it was </w:t>
      </w:r>
      <w:r w:rsidR="00F8183F">
        <w:t>commended.</w:t>
      </w:r>
      <w:r w:rsidR="00F8183F">
        <w:rPr>
          <w:rStyle w:val="FootnoteReference"/>
        </w:rPr>
        <w:footnoteReference w:id="13"/>
      </w:r>
      <w:r w:rsidR="00DD5F33">
        <w:t xml:space="preserve"> Bearing </w:t>
      </w:r>
      <w:r w:rsidR="00AA2B61">
        <w:t xml:space="preserve">this in mind, huge honour-driven motives would have made just as much sense as religiously driven motives during the Archaic and Classical Greek periods. </w:t>
      </w:r>
    </w:p>
    <w:p w14:paraId="1E974624" w14:textId="35ED4A1A" w:rsidR="002D2B73" w:rsidRDefault="002D2B73" w:rsidP="007C455F">
      <w:r>
        <w:tab/>
        <w:t xml:space="preserve">To delve into differing opinions, we will look at an author who argues that the laws of war would have had little to no effect on the actions of Greek poleis. </w:t>
      </w:r>
      <w:r w:rsidR="00887853">
        <w:t>Josiah Ober contradicts Lanni’s opinions and instead implies that certain poleis would not have needed to worry about following or breaking laws. Notably, he states that Athens “could afford to break the rules of war” (Ober 1994: 21). He explains that their ability to do this stems from the stab</w:t>
      </w:r>
      <w:r w:rsidR="00A459DF">
        <w:t>ility of their political system and, quite literally, the</w:t>
      </w:r>
      <w:r w:rsidR="00BC217D">
        <w:t>ir financial state in 450 B</w:t>
      </w:r>
      <w:r w:rsidR="005E666B">
        <w:t>.</w:t>
      </w:r>
      <w:r w:rsidR="00BC217D">
        <w:t>C</w:t>
      </w:r>
      <w:r w:rsidR="005E666B">
        <w:t>.</w:t>
      </w:r>
      <w:r w:rsidR="00BC217D">
        <w:t xml:space="preserve"> which allowed them to disregard </w:t>
      </w:r>
      <w:r w:rsidR="0016503E">
        <w:t>normal Greek standards of compliance to the laws of war.</w:t>
      </w:r>
      <w:r w:rsidR="000B6DC7">
        <w:rPr>
          <w:rStyle w:val="FootnoteReference"/>
        </w:rPr>
        <w:footnoteReference w:id="14"/>
      </w:r>
      <w:r w:rsidR="00CC473A">
        <w:t xml:space="preserve"> These facts are not to say that this was a common occurrence within the ancient world</w:t>
      </w:r>
      <w:r w:rsidR="004E0018">
        <w:t>, as Athens had a unique financial system set in place which provided them the freedom to act accordingly.</w:t>
      </w:r>
      <w:r w:rsidR="004E0018">
        <w:rPr>
          <w:rStyle w:val="FootnoteReference"/>
        </w:rPr>
        <w:footnoteReference w:id="15"/>
      </w:r>
      <w:r w:rsidR="00A21745">
        <w:t xml:space="preserve"> Ober fails to mention any religious sanctions due to Athens’ breaking of the laws of war</w:t>
      </w:r>
      <w:r w:rsidR="00831494">
        <w:t xml:space="preserve">, however that coincides with </w:t>
      </w:r>
      <w:r w:rsidR="00F24695">
        <w:t xml:space="preserve">Peter Krentz’s suggestion that </w:t>
      </w:r>
      <w:r w:rsidR="00A32328">
        <w:t xml:space="preserve">the laws, or rules, of war existed only to serve as methodology </w:t>
      </w:r>
      <w:r w:rsidR="009A3CF2">
        <w:t xml:space="preserve">and tactics </w:t>
      </w:r>
      <w:r w:rsidR="00ED4BD0">
        <w:t>during wartime.</w:t>
      </w:r>
      <w:r w:rsidR="00ED4BD0">
        <w:rPr>
          <w:rStyle w:val="FootnoteReference"/>
        </w:rPr>
        <w:footnoteReference w:id="16"/>
      </w:r>
    </w:p>
    <w:p w14:paraId="7C33C7F5" w14:textId="4FBB22EE" w:rsidR="00D24A13" w:rsidRDefault="00D24A13" w:rsidP="007C455F">
      <w:r>
        <w:tab/>
        <w:t>Laws of war merely serving as tools for military tactics is something that Lanni touches on as well. She mentions that it is likely t</w:t>
      </w:r>
      <w:r w:rsidR="00513DA0">
        <w:t>hat t</w:t>
      </w:r>
      <w:r>
        <w:t>hese rules only served as a way to kee</w:t>
      </w:r>
      <w:r w:rsidR="00F949CB">
        <w:t>p casualties as low as possible, something that was seen as problematic earlier in her text.</w:t>
      </w:r>
      <w:r w:rsidR="00F949CB">
        <w:rPr>
          <w:rStyle w:val="FootnoteReference"/>
        </w:rPr>
        <w:footnoteReference w:id="17"/>
      </w:r>
      <w:r w:rsidR="006C35E2">
        <w:t xml:space="preserve"> This differing in views seems common in this subject area, as it is more a matter of interpretation than anything, even within one’s own research. </w:t>
      </w:r>
    </w:p>
    <w:p w14:paraId="19863F91" w14:textId="38556F39" w:rsidR="005E75F9" w:rsidRDefault="005E75F9" w:rsidP="007C455F">
      <w:r>
        <w:tab/>
        <w:t xml:space="preserve">Delving more into the fact that many poleis would have seen divine intervention as a proper deterrent for breaking the laws of war, Lanni does a great job at cementing this fact into our minds as readers. </w:t>
      </w:r>
      <w:r w:rsidR="00047F1B">
        <w:t>As mentioned earlier, religion was weaved into the culture of Greek society, and therefore it is easy to see the relation to laws in warfare. Divine sanctions were to be feared, as Greeks interpreted events taking place even decades later as interference from the gods.</w:t>
      </w:r>
      <w:r w:rsidR="00047F1B">
        <w:rPr>
          <w:rStyle w:val="FootnoteReference"/>
        </w:rPr>
        <w:footnoteReference w:id="18"/>
      </w:r>
      <w:r w:rsidR="00B642AC">
        <w:t xml:space="preserve"> It was accepted that sacred places such as temples or any place of worship were to be untouched, as were their priests and riches. This law was among the most </w:t>
      </w:r>
      <w:r w:rsidR="003B1CB2">
        <w:t xml:space="preserve">respected, </w:t>
      </w:r>
      <w:r w:rsidR="00702E3A">
        <w:t xml:space="preserve">with </w:t>
      </w:r>
      <w:r w:rsidR="008C18DF">
        <w:t xml:space="preserve">mutual understanding coming into play. </w:t>
      </w:r>
      <w:r w:rsidR="004E5BC6">
        <w:t>In the event of Athens invading the Boeotians, they were sure to allow their holy sites to remain as unharmed as possible, only drinking sacred water out of necessity to survive.</w:t>
      </w:r>
      <w:r w:rsidR="004E5BC6">
        <w:rPr>
          <w:rStyle w:val="FootnoteReference"/>
        </w:rPr>
        <w:footnoteReference w:id="19"/>
      </w:r>
    </w:p>
    <w:p w14:paraId="04691EB2" w14:textId="032A38BB" w:rsidR="003F6280" w:rsidRDefault="003F6280" w:rsidP="007C455F">
      <w:r>
        <w:tab/>
        <w:t xml:space="preserve">Adriaan Lanni does a fantastic job overall outlining the laws of warfare in ancient Greece and why they would or would not have been respected. Each Greek poleis is different and therefore has different needs and standards of operation to succeed. A polis such as Athens has the liberty to choose whether or not to fully go along with these laws. </w:t>
      </w:r>
      <w:r w:rsidR="00524B63">
        <w:t xml:space="preserve">Religion in ancient Greece was a huge contributing factor to every aspect of life, including warfare as their </w:t>
      </w:r>
      <w:r w:rsidR="008B185D">
        <w:t>fear of divine intervention followed them onto the battlefield. Not only this, but Lanni makes it abundantly clear that honour, status, and reputation were essentially currency in the Greek world, allowing poleis to work with each o</w:t>
      </w:r>
      <w:r w:rsidR="00630634">
        <w:t>ther with as much trust and confid</w:t>
      </w:r>
      <w:r w:rsidR="00805F18">
        <w:t>ence as possible. Lanni’s ability to outline the varying viewpoints as well as attempting to see where they came to their conclusions is impressive, as it is easy to be swept up in one’s own opinions. In my research, I found that authors prior to 1998 seemed to rely more on religious reasons to comply with the laws of war, though each were perfectly capable of answering the question of whether international law was actually able to truly restrain poleis in times of war. Overall, the consensus appears to be that</w:t>
      </w:r>
      <w:r w:rsidR="00E63B76">
        <w:t xml:space="preserve"> Greek</w:t>
      </w:r>
      <w:r w:rsidR="00805F18">
        <w:t xml:space="preserve"> poleis largely attempted to comply, except in times where survival </w:t>
      </w:r>
      <w:r w:rsidR="00591A4A">
        <w:t xml:space="preserve">required differently, such as in the event between Athens and Boeotia. </w:t>
      </w:r>
      <w:r w:rsidR="00DA0423">
        <w:t xml:space="preserve">This subject allows us to fully understand what was important to Greeks in the ancient world and what may have drove them to act in whatever ways they did in the archaic and classical periods. </w:t>
      </w:r>
      <w:r w:rsidR="00FD2CC2">
        <w:t>Each author studying the laws of</w:t>
      </w:r>
      <w:r w:rsidR="002730DF">
        <w:t xml:space="preserve"> war seem to have worked off of each other in some way, vaguely agreeing, despite differing reasons why. </w:t>
      </w:r>
      <w:r w:rsidR="009141E3">
        <w:t>Due to this, the subject of law</w:t>
      </w:r>
      <w:r w:rsidR="002730DF">
        <w:t xml:space="preserve"> in ancient Greek warfare is incredibly interesting, and Lanni helps to aid the effort of exploring the details more closely as to why Greek war practices were the way they were. </w:t>
      </w:r>
    </w:p>
    <w:p w14:paraId="7B6FECFD" w14:textId="77777777" w:rsidR="00ED6F16" w:rsidRDefault="00ED6F16" w:rsidP="007C455F"/>
    <w:p w14:paraId="0FE39A94" w14:textId="77777777" w:rsidR="00ED6F16" w:rsidRDefault="00ED6F16" w:rsidP="007C455F"/>
    <w:p w14:paraId="29ADCC33" w14:textId="77777777" w:rsidR="00ED6F16" w:rsidRDefault="00ED6F16" w:rsidP="007C455F"/>
    <w:p w14:paraId="0B7F8F5B" w14:textId="77777777" w:rsidR="00ED6F16" w:rsidRDefault="00ED6F16" w:rsidP="007C455F"/>
    <w:p w14:paraId="37AB4CD5" w14:textId="77777777" w:rsidR="00ED6F16" w:rsidRDefault="00ED6F16" w:rsidP="007C455F"/>
    <w:p w14:paraId="41AF58C0" w14:textId="77777777" w:rsidR="00ED6F16" w:rsidRDefault="00ED6F16" w:rsidP="007C455F"/>
    <w:p w14:paraId="7EECA1A0" w14:textId="77777777" w:rsidR="00ED6F16" w:rsidRDefault="00ED6F16" w:rsidP="007C455F"/>
    <w:p w14:paraId="57017C32" w14:textId="77777777" w:rsidR="00ED6F16" w:rsidRDefault="00ED6F16" w:rsidP="007C455F"/>
    <w:p w14:paraId="6F067AC7" w14:textId="77777777" w:rsidR="00ED6F16" w:rsidRDefault="00ED6F16" w:rsidP="007C455F"/>
    <w:p w14:paraId="66A124B8" w14:textId="77777777" w:rsidR="00ED6F16" w:rsidRDefault="00ED6F16" w:rsidP="007C455F"/>
    <w:p w14:paraId="4F0A8D92" w14:textId="77777777" w:rsidR="00ED6F16" w:rsidRDefault="00ED6F16" w:rsidP="007C455F"/>
    <w:p w14:paraId="62E5F500" w14:textId="77777777" w:rsidR="00ED6F16" w:rsidRDefault="00ED6F16" w:rsidP="007C455F"/>
    <w:p w14:paraId="2AF4EE79" w14:textId="77777777" w:rsidR="00ED6F16" w:rsidRDefault="00ED6F16" w:rsidP="007C455F"/>
    <w:p w14:paraId="116D59E6" w14:textId="77777777" w:rsidR="00ED6F16" w:rsidRDefault="00ED6F16" w:rsidP="007C455F"/>
    <w:p w14:paraId="2B1E7A0A" w14:textId="77777777" w:rsidR="00ED6F16" w:rsidRDefault="00ED6F16" w:rsidP="007C455F"/>
    <w:p w14:paraId="4B3C8EEC" w14:textId="77777777" w:rsidR="00ED6F16" w:rsidRDefault="00ED6F16" w:rsidP="007C455F"/>
    <w:p w14:paraId="6331C427" w14:textId="77777777" w:rsidR="00ED6F16" w:rsidRDefault="00ED6F16" w:rsidP="00ED6F16">
      <w:pPr>
        <w:jc w:val="center"/>
        <w:rPr>
          <w:b/>
          <w:sz w:val="32"/>
          <w:szCs w:val="32"/>
          <w:u w:val="single"/>
        </w:rPr>
      </w:pPr>
      <w:r>
        <w:rPr>
          <w:b/>
          <w:sz w:val="32"/>
          <w:szCs w:val="32"/>
          <w:u w:val="single"/>
        </w:rPr>
        <w:t>Bibliography</w:t>
      </w:r>
    </w:p>
    <w:p w14:paraId="073EF2D3" w14:textId="77777777" w:rsidR="00ED6F16" w:rsidRDefault="00ED6F16" w:rsidP="00ED6F16">
      <w:pPr>
        <w:jc w:val="center"/>
        <w:rPr>
          <w:b/>
          <w:sz w:val="32"/>
          <w:szCs w:val="32"/>
          <w:u w:val="single"/>
        </w:rPr>
      </w:pPr>
    </w:p>
    <w:p w14:paraId="14F63649" w14:textId="77777777" w:rsidR="00ED6F16" w:rsidRDefault="00ED6F16" w:rsidP="00ED6F16">
      <w:pPr>
        <w:rPr>
          <w:b/>
          <w:sz w:val="32"/>
          <w:szCs w:val="32"/>
          <w:u w:val="single"/>
        </w:rPr>
      </w:pPr>
    </w:p>
    <w:p w14:paraId="448D59BF" w14:textId="77777777" w:rsidR="00ED6F16" w:rsidRDefault="00ED6F16" w:rsidP="00ED6F16">
      <w:pPr>
        <w:pStyle w:val="NormalWeb"/>
        <w:spacing w:before="0" w:beforeAutospacing="0"/>
        <w:rPr>
          <w:color w:val="373A3C"/>
        </w:rPr>
      </w:pPr>
      <w:r w:rsidRPr="007D17CB">
        <w:rPr>
          <w:color w:val="373A3C"/>
        </w:rPr>
        <w:t>Ancient:</w:t>
      </w:r>
    </w:p>
    <w:p w14:paraId="7DB8DC4F" w14:textId="77777777" w:rsidR="00ED6F16" w:rsidRDefault="00ED6F16" w:rsidP="00ED6F16">
      <w:pPr>
        <w:pStyle w:val="NormalWeb"/>
        <w:spacing w:before="0" w:beforeAutospacing="0"/>
        <w:rPr>
          <w:color w:val="373A3C"/>
        </w:rPr>
      </w:pPr>
      <w:r w:rsidRPr="007D17CB">
        <w:rPr>
          <w:color w:val="373A3C"/>
        </w:rPr>
        <w:t>Herodotus, </w:t>
      </w:r>
      <w:r w:rsidRPr="007D17CB">
        <w:rPr>
          <w:rStyle w:val="Emphasis"/>
          <w:color w:val="373A3C"/>
        </w:rPr>
        <w:t>The Histories. </w:t>
      </w:r>
      <w:r w:rsidRPr="007D17CB">
        <w:rPr>
          <w:color w:val="373A3C"/>
        </w:rPr>
        <w:t>Godley, A.D. (trans.). 1920. Cambridge, MA: Harvard University Press</w:t>
      </w:r>
    </w:p>
    <w:p w14:paraId="37E8C06E" w14:textId="77777777" w:rsidR="00ED6F16" w:rsidRPr="00475821" w:rsidRDefault="00ED6F16" w:rsidP="00ED6F16">
      <w:pPr>
        <w:pStyle w:val="NormalWeb"/>
        <w:spacing w:before="0" w:beforeAutospacing="0"/>
        <w:rPr>
          <w:color w:val="373A3C"/>
        </w:rPr>
      </w:pPr>
      <w:r>
        <w:rPr>
          <w:color w:val="373A3C"/>
        </w:rPr>
        <w:t xml:space="preserve">Homer, </w:t>
      </w:r>
      <w:r>
        <w:rPr>
          <w:i/>
          <w:color w:val="373A3C"/>
        </w:rPr>
        <w:t xml:space="preserve">Iliad. </w:t>
      </w:r>
      <w:r>
        <w:rPr>
          <w:color w:val="373A3C"/>
        </w:rPr>
        <w:t>Murray, A.T. (trans.). 1924. Cambridge, MA: Harvard University Press</w:t>
      </w:r>
    </w:p>
    <w:p w14:paraId="772B0E01" w14:textId="77777777" w:rsidR="00ED6F16" w:rsidRDefault="00ED6F16" w:rsidP="00ED6F16">
      <w:pPr>
        <w:pStyle w:val="NormalWeb"/>
        <w:spacing w:before="0" w:beforeAutospacing="0"/>
        <w:rPr>
          <w:color w:val="373A3C"/>
        </w:rPr>
      </w:pPr>
      <w:r w:rsidRPr="007D17CB">
        <w:rPr>
          <w:color w:val="373A3C"/>
        </w:rPr>
        <w:t>Plutarch, </w:t>
      </w:r>
      <w:r w:rsidRPr="007D17CB">
        <w:rPr>
          <w:rStyle w:val="Emphasis"/>
          <w:color w:val="373A3C"/>
        </w:rPr>
        <w:t>Plutarch's Lives. </w:t>
      </w:r>
      <w:r w:rsidRPr="007D17CB">
        <w:rPr>
          <w:color w:val="373A3C"/>
        </w:rPr>
        <w:t>Perrin, B. (trans.). 1919. Cambridge, MA: Harvard University Press</w:t>
      </w:r>
    </w:p>
    <w:p w14:paraId="49C53898" w14:textId="77777777" w:rsidR="00ED6F16" w:rsidRDefault="00ED6F16" w:rsidP="00ED6F16">
      <w:pPr>
        <w:pStyle w:val="NormalWeb"/>
        <w:spacing w:before="0" w:beforeAutospacing="0"/>
        <w:rPr>
          <w:color w:val="373A3C"/>
        </w:rPr>
      </w:pPr>
      <w:r>
        <w:rPr>
          <w:color w:val="373A3C"/>
        </w:rPr>
        <w:t xml:space="preserve">Thucydides, </w:t>
      </w:r>
      <w:r w:rsidRPr="007A21C6">
        <w:rPr>
          <w:i/>
          <w:color w:val="373A3C"/>
        </w:rPr>
        <w:t xml:space="preserve">History of </w:t>
      </w:r>
      <w:r>
        <w:rPr>
          <w:i/>
          <w:color w:val="373A3C"/>
        </w:rPr>
        <w:t xml:space="preserve">the Peloponnesian War. </w:t>
      </w:r>
      <w:r>
        <w:rPr>
          <w:color w:val="373A3C"/>
        </w:rPr>
        <w:t xml:space="preserve">Hobbes, T. (trans.). 1843. London: Bohn </w:t>
      </w:r>
    </w:p>
    <w:p w14:paraId="2E18FF5A" w14:textId="77777777" w:rsidR="00ED6F16" w:rsidRPr="0071129D" w:rsidRDefault="00ED6F16" w:rsidP="00ED6F16">
      <w:pPr>
        <w:pStyle w:val="NormalWeb"/>
        <w:spacing w:before="0" w:beforeAutospacing="0"/>
        <w:rPr>
          <w:color w:val="373A3C"/>
        </w:rPr>
      </w:pPr>
      <w:r>
        <w:rPr>
          <w:color w:val="373A3C"/>
        </w:rPr>
        <w:t xml:space="preserve">Xenophon, </w:t>
      </w:r>
      <w:r>
        <w:rPr>
          <w:i/>
          <w:color w:val="373A3C"/>
        </w:rPr>
        <w:t xml:space="preserve">Cyropaedia. </w:t>
      </w:r>
      <w:r>
        <w:rPr>
          <w:color w:val="373A3C"/>
        </w:rPr>
        <w:t>Miller, W. (trans.). 1914. Cambridge, MA. Harvard University Press</w:t>
      </w:r>
    </w:p>
    <w:p w14:paraId="1008FB43" w14:textId="77777777" w:rsidR="00ED6F16" w:rsidRPr="00F54274" w:rsidRDefault="00ED6F16" w:rsidP="00ED6F16">
      <w:pPr>
        <w:pStyle w:val="NormalWeb"/>
        <w:spacing w:before="0" w:beforeAutospacing="0"/>
        <w:rPr>
          <w:color w:val="373A3C"/>
        </w:rPr>
      </w:pPr>
      <w:r w:rsidRPr="00F54274">
        <w:rPr>
          <w:color w:val="373A3C"/>
        </w:rPr>
        <w:t>Modern: </w:t>
      </w:r>
    </w:p>
    <w:p w14:paraId="439BEB78" w14:textId="77777777" w:rsidR="00ED6F16" w:rsidRPr="00F54274" w:rsidRDefault="00ED6F16" w:rsidP="00ED6F16">
      <w:pPr>
        <w:rPr>
          <w:rFonts w:eastAsia="Times New Roman"/>
          <w:color w:val="333333"/>
          <w:shd w:val="clear" w:color="auto" w:fill="FFFFFF"/>
        </w:rPr>
      </w:pPr>
      <w:r>
        <w:rPr>
          <w:rFonts w:eastAsia="Times New Roman"/>
          <w:color w:val="333333"/>
          <w:shd w:val="clear" w:color="auto" w:fill="FFFFFF"/>
        </w:rPr>
        <w:t>D'Amico, D.</w:t>
      </w:r>
      <w:r w:rsidRPr="00F54274">
        <w:rPr>
          <w:rFonts w:eastAsia="Times New Roman"/>
          <w:color w:val="333333"/>
          <w:shd w:val="clear" w:color="auto" w:fill="FFFFFF"/>
        </w:rPr>
        <w:t>J. “The Prison in Economics: Private and Public Incarceration in Ancient Greece.” </w:t>
      </w:r>
      <w:r w:rsidRPr="00F54274">
        <w:rPr>
          <w:rFonts w:eastAsia="Times New Roman"/>
          <w:i/>
          <w:iCs/>
          <w:color w:val="333333"/>
          <w:shd w:val="clear" w:color="auto" w:fill="FFFFFF"/>
        </w:rPr>
        <w:t>Public Choice</w:t>
      </w:r>
      <w:r w:rsidRPr="00F54274">
        <w:rPr>
          <w:rFonts w:eastAsia="Times New Roman"/>
          <w:color w:val="333333"/>
          <w:shd w:val="clear" w:color="auto" w:fill="FFFFFF"/>
        </w:rPr>
        <w:t>, vol. 145, no. 3/4, 2010, pp. 461–482</w:t>
      </w:r>
    </w:p>
    <w:p w14:paraId="4FA521ED" w14:textId="77777777" w:rsidR="00ED6F16" w:rsidRPr="00F54274" w:rsidRDefault="00ED6F16" w:rsidP="00ED6F16">
      <w:pPr>
        <w:rPr>
          <w:rFonts w:eastAsia="Times New Roman"/>
        </w:rPr>
      </w:pPr>
    </w:p>
    <w:p w14:paraId="0D1357F1" w14:textId="77777777" w:rsidR="00ED6F16" w:rsidRPr="00F54274" w:rsidRDefault="00ED6F16" w:rsidP="00ED6F16">
      <w:pPr>
        <w:pStyle w:val="NormalWeb"/>
        <w:spacing w:before="0" w:beforeAutospacing="0"/>
        <w:rPr>
          <w:color w:val="373A3C"/>
        </w:rPr>
      </w:pPr>
      <w:r w:rsidRPr="00F54274">
        <w:rPr>
          <w:color w:val="373A3C"/>
        </w:rPr>
        <w:t>Esu, A. “DIVIDED POWER AND ΕΥΝΟΜΙΑ: DELIBERATIVE PROCEDURES IN ANCIENT SPARTA.” </w:t>
      </w:r>
      <w:r w:rsidRPr="00F54274">
        <w:rPr>
          <w:rStyle w:val="Emphasis"/>
          <w:color w:val="373A3C"/>
        </w:rPr>
        <w:t>Classical Quarterly</w:t>
      </w:r>
      <w:r w:rsidRPr="00F54274">
        <w:rPr>
          <w:color w:val="373A3C"/>
        </w:rPr>
        <w:t>, vol. 67, no. 2, 2017, pp. 353–373.</w:t>
      </w:r>
    </w:p>
    <w:p w14:paraId="3A218008" w14:textId="77777777" w:rsidR="00ED6F16" w:rsidRPr="00E654CE" w:rsidRDefault="00ED6F16" w:rsidP="00ED6F16">
      <w:pPr>
        <w:pStyle w:val="NormalWeb"/>
        <w:spacing w:before="0" w:beforeAutospacing="0"/>
        <w:rPr>
          <w:color w:val="373A3C"/>
        </w:rPr>
      </w:pPr>
      <w:r w:rsidRPr="00E654CE">
        <w:rPr>
          <w:color w:val="373A3C"/>
        </w:rPr>
        <w:t>Everson, T. 2013. </w:t>
      </w:r>
      <w:r w:rsidRPr="00E654CE">
        <w:rPr>
          <w:rStyle w:val="Emphasis"/>
          <w:color w:val="373A3C"/>
        </w:rPr>
        <w:t>Warfare in Ancient Greece Arms and Armour form the Heroes of Homer to Alexander the Great</w:t>
      </w:r>
      <w:r w:rsidRPr="00E654CE">
        <w:rPr>
          <w:color w:val="373A3C"/>
        </w:rPr>
        <w:t>. Stroud: The History Press</w:t>
      </w:r>
    </w:p>
    <w:p w14:paraId="323997B0" w14:textId="77777777" w:rsidR="00ED6F16" w:rsidRPr="00315633" w:rsidRDefault="00ED6F16" w:rsidP="00ED6F16">
      <w:pPr>
        <w:rPr>
          <w:rFonts w:eastAsia="Times New Roman"/>
          <w:color w:val="333333"/>
          <w:shd w:val="clear" w:color="auto" w:fill="FFFFFF"/>
        </w:rPr>
      </w:pPr>
      <w:r w:rsidRPr="00315633">
        <w:rPr>
          <w:rFonts w:eastAsia="Times New Roman"/>
          <w:color w:val="333333"/>
          <w:shd w:val="clear" w:color="auto" w:fill="FFFFFF"/>
        </w:rPr>
        <w:t>Garrison, E.P. “Attitudes toward Suicide in Ancient Greece.” </w:t>
      </w:r>
      <w:r w:rsidRPr="00315633">
        <w:rPr>
          <w:rFonts w:eastAsia="Times New Roman"/>
          <w:i/>
          <w:iCs/>
          <w:color w:val="333333"/>
          <w:shd w:val="clear" w:color="auto" w:fill="FFFFFF"/>
        </w:rPr>
        <w:t>Transactions of the American Philological Association (1974-)</w:t>
      </w:r>
      <w:r w:rsidRPr="00315633">
        <w:rPr>
          <w:rFonts w:eastAsia="Times New Roman"/>
          <w:color w:val="333333"/>
          <w:shd w:val="clear" w:color="auto" w:fill="FFFFFF"/>
        </w:rPr>
        <w:t>, vol. 121, 1991, pp. 1–34</w:t>
      </w:r>
    </w:p>
    <w:p w14:paraId="667CFA2D" w14:textId="77777777" w:rsidR="00ED6F16" w:rsidRPr="00315633" w:rsidRDefault="00ED6F16" w:rsidP="00ED6F16">
      <w:pPr>
        <w:rPr>
          <w:rFonts w:eastAsia="Times New Roman"/>
        </w:rPr>
      </w:pPr>
    </w:p>
    <w:p w14:paraId="639675E0" w14:textId="77777777" w:rsidR="00ED6F16" w:rsidRPr="00315633" w:rsidRDefault="00ED6F16" w:rsidP="00ED6F16">
      <w:pPr>
        <w:rPr>
          <w:rFonts w:eastAsia="Times New Roman"/>
          <w:color w:val="333333"/>
          <w:shd w:val="clear" w:color="auto" w:fill="FFFFFF"/>
        </w:rPr>
      </w:pPr>
      <w:r w:rsidRPr="00315633">
        <w:rPr>
          <w:rFonts w:eastAsia="Times New Roman"/>
          <w:color w:val="333333"/>
          <w:shd w:val="clear" w:color="auto" w:fill="FFFFFF"/>
        </w:rPr>
        <w:t>Goodman, M. D., and A. J. Holladay. “Religious Scruples in Ancient Warfare.” </w:t>
      </w:r>
      <w:r w:rsidRPr="00315633">
        <w:rPr>
          <w:rFonts w:eastAsia="Times New Roman"/>
          <w:i/>
          <w:iCs/>
          <w:color w:val="333333"/>
          <w:shd w:val="clear" w:color="auto" w:fill="FFFFFF"/>
        </w:rPr>
        <w:t>The Classical Quarterly</w:t>
      </w:r>
      <w:r w:rsidRPr="00315633">
        <w:rPr>
          <w:rFonts w:eastAsia="Times New Roman"/>
          <w:color w:val="333333"/>
          <w:shd w:val="clear" w:color="auto" w:fill="FFFFFF"/>
        </w:rPr>
        <w:t>, vol. 36, no. 1, 1986, pp. 151–171</w:t>
      </w:r>
    </w:p>
    <w:p w14:paraId="1E34F0F0" w14:textId="77777777" w:rsidR="00ED6F16" w:rsidRPr="00315633" w:rsidRDefault="00ED6F16" w:rsidP="00ED6F16">
      <w:pPr>
        <w:rPr>
          <w:rFonts w:eastAsia="Times New Roman"/>
        </w:rPr>
      </w:pPr>
    </w:p>
    <w:p w14:paraId="700BE381" w14:textId="77777777" w:rsidR="00ED6F16" w:rsidRPr="00315633" w:rsidRDefault="00ED6F16" w:rsidP="00ED6F16">
      <w:pPr>
        <w:pStyle w:val="NormalWeb"/>
        <w:spacing w:before="0" w:beforeAutospacing="0"/>
        <w:rPr>
          <w:color w:val="373A3C"/>
        </w:rPr>
      </w:pPr>
      <w:r w:rsidRPr="00315633">
        <w:rPr>
          <w:color w:val="373A3C"/>
        </w:rPr>
        <w:t>Hornblower, S. 1997. </w:t>
      </w:r>
      <w:r w:rsidRPr="00315633">
        <w:rPr>
          <w:rStyle w:val="Emphasis"/>
          <w:color w:val="373A3C"/>
        </w:rPr>
        <w:t>A Commentary on Thucydides. </w:t>
      </w:r>
      <w:r w:rsidRPr="00315633">
        <w:rPr>
          <w:color w:val="373A3C"/>
        </w:rPr>
        <w:t>Oxford: Oxford University Press</w:t>
      </w:r>
    </w:p>
    <w:p w14:paraId="1323AE2C" w14:textId="77777777" w:rsidR="00ED6F16" w:rsidRPr="00315633" w:rsidRDefault="00ED6F16" w:rsidP="00ED6F16">
      <w:pPr>
        <w:rPr>
          <w:rFonts w:eastAsia="Times New Roman"/>
          <w:color w:val="333333"/>
          <w:shd w:val="clear" w:color="auto" w:fill="FFFFFF"/>
        </w:rPr>
      </w:pPr>
      <w:r w:rsidRPr="00315633">
        <w:rPr>
          <w:rFonts w:eastAsia="Times New Roman"/>
          <w:color w:val="333333"/>
          <w:shd w:val="clear" w:color="auto" w:fill="FFFFFF"/>
        </w:rPr>
        <w:t>Kaiser</w:t>
      </w:r>
      <w:r>
        <w:rPr>
          <w:rFonts w:eastAsia="Times New Roman"/>
          <w:color w:val="333333"/>
          <w:shd w:val="clear" w:color="auto" w:fill="FFFFFF"/>
        </w:rPr>
        <w:t>, B.A</w:t>
      </w:r>
      <w:r w:rsidRPr="00315633">
        <w:rPr>
          <w:rFonts w:eastAsia="Times New Roman"/>
          <w:color w:val="333333"/>
          <w:shd w:val="clear" w:color="auto" w:fill="FFFFFF"/>
        </w:rPr>
        <w:t>. “The Athenian Trierarchy: Mechanism Design for the Private Provision of Public Goods.” </w:t>
      </w:r>
      <w:r w:rsidRPr="00315633">
        <w:rPr>
          <w:rFonts w:eastAsia="Times New Roman"/>
          <w:i/>
          <w:iCs/>
          <w:color w:val="333333"/>
          <w:shd w:val="clear" w:color="auto" w:fill="FFFFFF"/>
        </w:rPr>
        <w:t>The Journal of Economic History</w:t>
      </w:r>
      <w:r w:rsidRPr="00315633">
        <w:rPr>
          <w:rFonts w:eastAsia="Times New Roman"/>
          <w:color w:val="333333"/>
          <w:shd w:val="clear" w:color="auto" w:fill="FFFFFF"/>
        </w:rPr>
        <w:t>, vol. 67, no. 2, 2007, pp. 445–480</w:t>
      </w:r>
    </w:p>
    <w:p w14:paraId="5ADD8D73" w14:textId="77777777" w:rsidR="00ED6F16" w:rsidRPr="00315633" w:rsidRDefault="00ED6F16" w:rsidP="00ED6F16">
      <w:pPr>
        <w:rPr>
          <w:rFonts w:eastAsia="Times New Roman"/>
        </w:rPr>
      </w:pPr>
    </w:p>
    <w:p w14:paraId="008848DA" w14:textId="77777777" w:rsidR="00ED6F16" w:rsidRPr="00315633" w:rsidRDefault="00ED6F16" w:rsidP="00ED6F16">
      <w:pPr>
        <w:pStyle w:val="NormalWeb"/>
        <w:spacing w:before="0" w:beforeAutospacing="0"/>
        <w:rPr>
          <w:color w:val="373A3C"/>
        </w:rPr>
      </w:pPr>
      <w:r w:rsidRPr="00315633">
        <w:rPr>
          <w:color w:val="373A3C"/>
        </w:rPr>
        <w:t>Krentz, P. “Fighting by the Rules: The Invention of the Hoplite Agôn.” </w:t>
      </w:r>
      <w:r w:rsidRPr="00315633">
        <w:rPr>
          <w:rStyle w:val="Emphasis"/>
          <w:color w:val="373A3C"/>
        </w:rPr>
        <w:t>Hesperia: The Journal of the American School of Classical Studies at Athens</w:t>
      </w:r>
      <w:r w:rsidRPr="00315633">
        <w:rPr>
          <w:color w:val="373A3C"/>
        </w:rPr>
        <w:t>, vol. 71, no. 1, 2002, pp. 23–39</w:t>
      </w:r>
    </w:p>
    <w:p w14:paraId="075F7F08" w14:textId="77777777" w:rsidR="00ED6F16" w:rsidRPr="007D17CB" w:rsidRDefault="00ED6F16" w:rsidP="00ED6F16">
      <w:pPr>
        <w:pStyle w:val="NormalWeb"/>
        <w:spacing w:before="0" w:beforeAutospacing="0"/>
        <w:rPr>
          <w:color w:val="373A3C"/>
        </w:rPr>
      </w:pPr>
      <w:r w:rsidRPr="00315633">
        <w:rPr>
          <w:color w:val="373A3C"/>
        </w:rPr>
        <w:t>Krentz, Peter, et al. “DECEPTION IN ARCHAIC AND CLASSICAL GREEK WARFARE.” </w:t>
      </w:r>
      <w:r w:rsidRPr="00315633">
        <w:rPr>
          <w:rStyle w:val="Emphasis"/>
          <w:color w:val="373A3C"/>
        </w:rPr>
        <w:t>War and Violence in Ancient Greece</w:t>
      </w:r>
      <w:r w:rsidRPr="00315633">
        <w:rPr>
          <w:color w:val="373A3C"/>
        </w:rPr>
        <w:t>, edited by Hans Van Wees, Classical Press of Wales, Swansea,</w:t>
      </w:r>
      <w:r w:rsidRPr="007D17CB">
        <w:rPr>
          <w:color w:val="373A3C"/>
        </w:rPr>
        <w:t xml:space="preserve"> 2009, pp. 167–200</w:t>
      </w:r>
    </w:p>
    <w:p w14:paraId="75991358" w14:textId="77777777" w:rsidR="00ED6F16" w:rsidRPr="007D17CB" w:rsidRDefault="00ED6F16" w:rsidP="00ED6F16">
      <w:pPr>
        <w:pStyle w:val="NormalWeb"/>
        <w:spacing w:before="0" w:beforeAutospacing="0"/>
        <w:rPr>
          <w:color w:val="373A3C"/>
        </w:rPr>
      </w:pPr>
      <w:r w:rsidRPr="007D17CB">
        <w:rPr>
          <w:color w:val="373A3C"/>
        </w:rPr>
        <w:t>Kyriazis, N., and Xenophon Paparrigopoulos. “War and Democracy in Ancient Greece.” </w:t>
      </w:r>
      <w:r w:rsidRPr="007D17CB">
        <w:rPr>
          <w:rStyle w:val="Emphasis"/>
          <w:color w:val="373A3C"/>
        </w:rPr>
        <w:t>European Journal of Law and Economics</w:t>
      </w:r>
      <w:r w:rsidRPr="007D17CB">
        <w:rPr>
          <w:color w:val="373A3C"/>
        </w:rPr>
        <w:t>, vol. 38, no. 1, 2014, pp. 163–183</w:t>
      </w:r>
    </w:p>
    <w:p w14:paraId="0C882094" w14:textId="77777777" w:rsidR="00ED6F16" w:rsidRPr="00B21EE0" w:rsidRDefault="00ED6F16" w:rsidP="00ED6F16">
      <w:pPr>
        <w:rPr>
          <w:rFonts w:eastAsia="Times New Roman"/>
          <w:color w:val="333333"/>
          <w:shd w:val="clear" w:color="auto" w:fill="FFFFFF"/>
        </w:rPr>
      </w:pPr>
      <w:r>
        <w:rPr>
          <w:rFonts w:eastAsia="Times New Roman"/>
          <w:color w:val="333333"/>
          <w:shd w:val="clear" w:color="auto" w:fill="FFFFFF"/>
        </w:rPr>
        <w:t>Lanni, A</w:t>
      </w:r>
      <w:r w:rsidRPr="007D17CB">
        <w:rPr>
          <w:rFonts w:eastAsia="Times New Roman"/>
          <w:color w:val="333333"/>
          <w:shd w:val="clear" w:color="auto" w:fill="FFFFFF"/>
        </w:rPr>
        <w:t>. “The Laws of War in Ancient Greece.” </w:t>
      </w:r>
      <w:r w:rsidRPr="007D17CB">
        <w:rPr>
          <w:rFonts w:eastAsia="Times New Roman"/>
          <w:i/>
          <w:iCs/>
          <w:color w:val="333333"/>
          <w:shd w:val="clear" w:color="auto" w:fill="FFFFFF"/>
        </w:rPr>
        <w:t>Law and History Review</w:t>
      </w:r>
      <w:r w:rsidRPr="007D17CB">
        <w:rPr>
          <w:rFonts w:eastAsia="Times New Roman"/>
          <w:color w:val="333333"/>
          <w:shd w:val="clear" w:color="auto" w:fill="FFFFFF"/>
        </w:rPr>
        <w:t xml:space="preserve">, vol. 26, no. 3, 2008, </w:t>
      </w:r>
      <w:r w:rsidRPr="00B21EE0">
        <w:rPr>
          <w:rFonts w:eastAsia="Times New Roman"/>
          <w:color w:val="333333"/>
          <w:shd w:val="clear" w:color="auto" w:fill="FFFFFF"/>
        </w:rPr>
        <w:t>pp. 469–489</w:t>
      </w:r>
    </w:p>
    <w:p w14:paraId="5D568489" w14:textId="77777777" w:rsidR="00ED6F16" w:rsidRDefault="00ED6F16" w:rsidP="00ED6F16">
      <w:pPr>
        <w:rPr>
          <w:rFonts w:eastAsia="Times New Roman"/>
          <w:color w:val="333333"/>
          <w:shd w:val="clear" w:color="auto" w:fill="FFFFFF"/>
        </w:rPr>
      </w:pPr>
      <w:r w:rsidRPr="00B21EE0">
        <w:rPr>
          <w:rFonts w:eastAsia="Times New Roman"/>
        </w:rPr>
        <w:br/>
      </w:r>
      <w:r w:rsidRPr="00B21EE0">
        <w:rPr>
          <w:rFonts w:eastAsia="Times New Roman"/>
          <w:color w:val="333333"/>
          <w:shd w:val="clear" w:color="auto" w:fill="FFFFFF"/>
        </w:rPr>
        <w:t>Larsen, J. A. O. “Federation for Peace in Ancient Greece.” </w:t>
      </w:r>
      <w:r w:rsidRPr="00B21EE0">
        <w:rPr>
          <w:rFonts w:eastAsia="Times New Roman"/>
          <w:i/>
          <w:iCs/>
          <w:color w:val="333333"/>
          <w:shd w:val="clear" w:color="auto" w:fill="FFFFFF"/>
        </w:rPr>
        <w:t>Classical Philology</w:t>
      </w:r>
      <w:r w:rsidRPr="00B21EE0">
        <w:rPr>
          <w:rFonts w:eastAsia="Times New Roman"/>
          <w:color w:val="333333"/>
          <w:shd w:val="clear" w:color="auto" w:fill="FFFFFF"/>
        </w:rPr>
        <w:t>, vol. 39, no. 3, 1944, pp. 145–162</w:t>
      </w:r>
    </w:p>
    <w:p w14:paraId="5B277381" w14:textId="77777777" w:rsidR="00ED6F16" w:rsidRDefault="00ED6F16" w:rsidP="00ED6F16">
      <w:pPr>
        <w:rPr>
          <w:rFonts w:eastAsia="Times New Roman"/>
          <w:color w:val="333333"/>
          <w:shd w:val="clear" w:color="auto" w:fill="FFFFFF"/>
        </w:rPr>
      </w:pPr>
    </w:p>
    <w:p w14:paraId="1386FFBF" w14:textId="77777777" w:rsidR="00ED6F16" w:rsidRDefault="00ED6F16" w:rsidP="00ED6F16">
      <w:pPr>
        <w:rPr>
          <w:rFonts w:eastAsia="Times New Roman"/>
          <w:color w:val="333333"/>
          <w:shd w:val="clear" w:color="auto" w:fill="FFFFFF"/>
        </w:rPr>
      </w:pPr>
      <w:r>
        <w:rPr>
          <w:rFonts w:eastAsia="Times New Roman"/>
          <w:color w:val="333333"/>
          <w:shd w:val="clear" w:color="auto" w:fill="FFFFFF"/>
        </w:rPr>
        <w:t xml:space="preserve">Ober, J. 1994. ‘Classical Greek Times’, in M. Howard, G.J. Andreopoulos, and M.R. Schulman’s (ed.). </w:t>
      </w:r>
      <w:r>
        <w:rPr>
          <w:rFonts w:eastAsia="Times New Roman"/>
          <w:i/>
          <w:color w:val="333333"/>
          <w:shd w:val="clear" w:color="auto" w:fill="FFFFFF"/>
        </w:rPr>
        <w:t xml:space="preserve">The Laws of War: Contrainsts on Warfare in the Western World. </w:t>
      </w:r>
      <w:r>
        <w:rPr>
          <w:rFonts w:eastAsia="Times New Roman"/>
          <w:color w:val="333333"/>
          <w:shd w:val="clear" w:color="auto" w:fill="FFFFFF"/>
        </w:rPr>
        <w:t xml:space="preserve">New Haven: Yale University Press, 13-26 </w:t>
      </w:r>
    </w:p>
    <w:p w14:paraId="3D0DFABC" w14:textId="77777777" w:rsidR="00ED6F16" w:rsidRDefault="00ED6F16" w:rsidP="00ED6F16">
      <w:pPr>
        <w:rPr>
          <w:rFonts w:eastAsia="Times New Roman"/>
          <w:color w:val="333333"/>
          <w:shd w:val="clear" w:color="auto" w:fill="FFFFFF"/>
        </w:rPr>
      </w:pPr>
    </w:p>
    <w:p w14:paraId="5C58C88D" w14:textId="77777777" w:rsidR="00ED6F16" w:rsidRPr="00667A64" w:rsidRDefault="00ED6F16" w:rsidP="00ED6F16">
      <w:pPr>
        <w:rPr>
          <w:rFonts w:eastAsia="Times New Roman"/>
        </w:rPr>
      </w:pPr>
      <w:r>
        <w:rPr>
          <w:rFonts w:eastAsia="Times New Roman"/>
          <w:color w:val="333333"/>
          <w:shd w:val="clear" w:color="auto" w:fill="FFFFFF"/>
        </w:rPr>
        <w:t xml:space="preserve">Parker, R. 1983. </w:t>
      </w:r>
      <w:r>
        <w:rPr>
          <w:rFonts w:eastAsia="Times New Roman"/>
          <w:i/>
          <w:color w:val="333333"/>
          <w:shd w:val="clear" w:color="auto" w:fill="FFFFFF"/>
        </w:rPr>
        <w:t xml:space="preserve">Miasma: Pollution and Purification in Early Greek Religion. </w:t>
      </w:r>
      <w:r>
        <w:rPr>
          <w:rFonts w:eastAsia="Times New Roman"/>
          <w:color w:val="333333"/>
          <w:shd w:val="clear" w:color="auto" w:fill="FFFFFF"/>
        </w:rPr>
        <w:t>England: Clarendon Press</w:t>
      </w:r>
    </w:p>
    <w:p w14:paraId="5512A349" w14:textId="77777777" w:rsidR="00ED6F16" w:rsidRPr="007D17CB" w:rsidRDefault="00ED6F16" w:rsidP="00ED6F16">
      <w:pPr>
        <w:rPr>
          <w:rFonts w:eastAsia="Times New Roman"/>
        </w:rPr>
      </w:pPr>
    </w:p>
    <w:p w14:paraId="470F0E19" w14:textId="77777777" w:rsidR="00ED6F16" w:rsidRPr="007D17CB" w:rsidRDefault="00ED6F16" w:rsidP="00ED6F16">
      <w:pPr>
        <w:pStyle w:val="NormalWeb"/>
        <w:spacing w:before="0" w:beforeAutospacing="0"/>
        <w:rPr>
          <w:color w:val="373A3C"/>
        </w:rPr>
      </w:pPr>
      <w:r w:rsidRPr="007D17CB">
        <w:rPr>
          <w:color w:val="373A3C"/>
        </w:rPr>
        <w:t>Pritchard &amp; Pritchard, D. 2010. </w:t>
      </w:r>
      <w:r>
        <w:rPr>
          <w:rStyle w:val="Emphasis"/>
          <w:color w:val="373A3C"/>
        </w:rPr>
        <w:t xml:space="preserve">War, Democracy and Culture in </w:t>
      </w:r>
      <w:r w:rsidRPr="007D17CB">
        <w:rPr>
          <w:rStyle w:val="Emphasis"/>
          <w:color w:val="373A3C"/>
        </w:rPr>
        <w:t>Classical Athens.</w:t>
      </w:r>
      <w:r w:rsidRPr="007D17CB">
        <w:rPr>
          <w:color w:val="373A3C"/>
        </w:rPr>
        <w:t> Cambridge: Cambridge University Press</w:t>
      </w:r>
    </w:p>
    <w:p w14:paraId="279CA21C" w14:textId="77777777" w:rsidR="00ED6F16" w:rsidRPr="00485C62" w:rsidRDefault="00ED6F16" w:rsidP="00ED6F16">
      <w:pPr>
        <w:pStyle w:val="NormalWeb"/>
        <w:spacing w:before="0" w:beforeAutospacing="0"/>
        <w:rPr>
          <w:color w:val="373A3C"/>
        </w:rPr>
      </w:pPr>
      <w:r w:rsidRPr="007D17CB">
        <w:rPr>
          <w:color w:val="373A3C"/>
        </w:rPr>
        <w:t xml:space="preserve">Salehi-Esfahani, H. “Rule of Law: A Comparison between Ancient Persia and Ancient </w:t>
      </w:r>
      <w:r w:rsidRPr="00485C62">
        <w:rPr>
          <w:color w:val="373A3C"/>
        </w:rPr>
        <w:t>Greece.” </w:t>
      </w:r>
      <w:r w:rsidRPr="00485C62">
        <w:rPr>
          <w:rStyle w:val="Emphasis"/>
          <w:color w:val="373A3C"/>
        </w:rPr>
        <w:t>Iranian Studies</w:t>
      </w:r>
      <w:r w:rsidRPr="00485C62">
        <w:rPr>
          <w:color w:val="373A3C"/>
        </w:rPr>
        <w:t>, vol. 41, no. 5, 2008, pp. 629–644</w:t>
      </w:r>
    </w:p>
    <w:p w14:paraId="3F03DB85" w14:textId="77777777" w:rsidR="00ED6F16" w:rsidRPr="00485C62" w:rsidRDefault="00ED6F16" w:rsidP="00ED6F16">
      <w:pPr>
        <w:rPr>
          <w:rFonts w:eastAsia="Times New Roman"/>
          <w:color w:val="333333"/>
          <w:shd w:val="clear" w:color="auto" w:fill="FFFFFF"/>
        </w:rPr>
      </w:pPr>
      <w:r>
        <w:rPr>
          <w:rFonts w:eastAsia="Times New Roman"/>
          <w:color w:val="333333"/>
          <w:shd w:val="clear" w:color="auto" w:fill="FFFFFF"/>
        </w:rPr>
        <w:t>Von Dornum, D.D</w:t>
      </w:r>
      <w:r w:rsidRPr="00485C62">
        <w:rPr>
          <w:rFonts w:eastAsia="Times New Roman"/>
          <w:color w:val="333333"/>
          <w:shd w:val="clear" w:color="auto" w:fill="FFFFFF"/>
        </w:rPr>
        <w:t>. “The Straight and the Crooked: Legal Accountability in Ancient Greece.” </w:t>
      </w:r>
      <w:r w:rsidRPr="00485C62">
        <w:rPr>
          <w:rFonts w:eastAsia="Times New Roman"/>
          <w:i/>
          <w:iCs/>
          <w:color w:val="333333"/>
          <w:shd w:val="clear" w:color="auto" w:fill="FFFFFF"/>
        </w:rPr>
        <w:t>Columbia Law Review</w:t>
      </w:r>
      <w:r w:rsidRPr="00485C62">
        <w:rPr>
          <w:rFonts w:eastAsia="Times New Roman"/>
          <w:color w:val="333333"/>
          <w:shd w:val="clear" w:color="auto" w:fill="FFFFFF"/>
        </w:rPr>
        <w:t>, vol. 97, no. 5, 1997, pp. 1483–1518</w:t>
      </w:r>
    </w:p>
    <w:p w14:paraId="120964DF" w14:textId="77777777" w:rsidR="00ED6F16" w:rsidRPr="00485C62" w:rsidRDefault="00ED6F16" w:rsidP="00ED6F16">
      <w:pPr>
        <w:rPr>
          <w:rFonts w:eastAsia="Times New Roman"/>
        </w:rPr>
      </w:pPr>
    </w:p>
    <w:p w14:paraId="0D6F738A" w14:textId="77777777" w:rsidR="00ED6F16" w:rsidRPr="007D17CB" w:rsidRDefault="00ED6F16" w:rsidP="00ED6F16">
      <w:pPr>
        <w:pStyle w:val="NormalWeb"/>
        <w:spacing w:before="0" w:beforeAutospacing="0"/>
        <w:rPr>
          <w:color w:val="373A3C"/>
        </w:rPr>
      </w:pPr>
      <w:r w:rsidRPr="00485C62">
        <w:rPr>
          <w:color w:val="373A3C"/>
        </w:rPr>
        <w:t>Wees, H.V. 2004. </w:t>
      </w:r>
      <w:r w:rsidRPr="00485C62">
        <w:rPr>
          <w:rStyle w:val="Emphasis"/>
          <w:color w:val="373A3C"/>
        </w:rPr>
        <w:t>Greek</w:t>
      </w:r>
      <w:r w:rsidRPr="007D17CB">
        <w:rPr>
          <w:rStyle w:val="Emphasis"/>
          <w:color w:val="373A3C"/>
        </w:rPr>
        <w:t xml:space="preserve"> Warfare: Myth and Realities. </w:t>
      </w:r>
      <w:r w:rsidRPr="007D17CB">
        <w:rPr>
          <w:color w:val="373A3C"/>
        </w:rPr>
        <w:t>London: Duckworth</w:t>
      </w:r>
    </w:p>
    <w:p w14:paraId="6D43E3E6" w14:textId="77777777" w:rsidR="00ED6F16" w:rsidRPr="00E343C6" w:rsidRDefault="00ED6F16" w:rsidP="007C455F">
      <w:bookmarkStart w:id="0" w:name="_GoBack"/>
      <w:bookmarkEnd w:id="0"/>
    </w:p>
    <w:sectPr w:rsidR="00ED6F16" w:rsidRPr="00E343C6" w:rsidSect="00705F8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BF5C8EF" w14:textId="77777777" w:rsidR="002A5ACD" w:rsidRDefault="002A5ACD" w:rsidP="0024085A">
      <w:r>
        <w:separator/>
      </w:r>
    </w:p>
  </w:endnote>
  <w:endnote w:type="continuationSeparator" w:id="0">
    <w:p w14:paraId="75F43274" w14:textId="77777777" w:rsidR="002A5ACD" w:rsidRDefault="002A5ACD" w:rsidP="002408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6C49996" w14:textId="77777777" w:rsidR="002A5ACD" w:rsidRDefault="002A5ACD" w:rsidP="0024085A">
      <w:r>
        <w:separator/>
      </w:r>
    </w:p>
  </w:footnote>
  <w:footnote w:type="continuationSeparator" w:id="0">
    <w:p w14:paraId="7DA7A25D" w14:textId="77777777" w:rsidR="002A5ACD" w:rsidRDefault="002A5ACD" w:rsidP="0024085A">
      <w:r>
        <w:continuationSeparator/>
      </w:r>
    </w:p>
  </w:footnote>
  <w:footnote w:id="1">
    <w:p w14:paraId="7761202E" w14:textId="3D17A8C0" w:rsidR="0024085A" w:rsidRPr="0024085A" w:rsidRDefault="0024085A">
      <w:pPr>
        <w:pStyle w:val="FootnoteText"/>
      </w:pPr>
      <w:r>
        <w:rPr>
          <w:rStyle w:val="FootnoteReference"/>
        </w:rPr>
        <w:footnoteRef/>
      </w:r>
      <w:r>
        <w:t xml:space="preserve"> Lanni 2008: 470</w:t>
      </w:r>
    </w:p>
  </w:footnote>
  <w:footnote w:id="2">
    <w:p w14:paraId="627F9DAE" w14:textId="3E4E5D48" w:rsidR="00961677" w:rsidRPr="00961677" w:rsidRDefault="00961677">
      <w:pPr>
        <w:pStyle w:val="FootnoteText"/>
      </w:pPr>
      <w:r>
        <w:rPr>
          <w:rStyle w:val="FootnoteReference"/>
        </w:rPr>
        <w:footnoteRef/>
      </w:r>
      <w:r>
        <w:t xml:space="preserve"> </w:t>
      </w:r>
      <w:r w:rsidR="00853751">
        <w:t>Lanni 2008: 47</w:t>
      </w:r>
      <w:r w:rsidR="003462F3">
        <w:t>0-47</w:t>
      </w:r>
      <w:r w:rsidR="00853751">
        <w:t>4</w:t>
      </w:r>
    </w:p>
  </w:footnote>
  <w:footnote w:id="3">
    <w:p w14:paraId="6F8CE3D2" w14:textId="23917B20" w:rsidR="00977013" w:rsidRPr="00977013" w:rsidRDefault="00977013">
      <w:pPr>
        <w:pStyle w:val="FootnoteText"/>
      </w:pPr>
      <w:r>
        <w:rPr>
          <w:rStyle w:val="FootnoteReference"/>
        </w:rPr>
        <w:footnoteRef/>
      </w:r>
      <w:r>
        <w:t xml:space="preserve"> Lanni 2008: 473-475</w:t>
      </w:r>
    </w:p>
  </w:footnote>
  <w:footnote w:id="4">
    <w:p w14:paraId="37A71C11" w14:textId="71F88FDF" w:rsidR="00653F32" w:rsidRPr="00653F32" w:rsidRDefault="00653F32">
      <w:pPr>
        <w:pStyle w:val="FootnoteText"/>
      </w:pPr>
      <w:r>
        <w:rPr>
          <w:rStyle w:val="FootnoteReference"/>
        </w:rPr>
        <w:footnoteRef/>
      </w:r>
      <w:r>
        <w:t xml:space="preserve"> </w:t>
      </w:r>
      <w:r w:rsidR="0021737C">
        <w:t xml:space="preserve">Holladay and Goodman 1986: </w:t>
      </w:r>
      <w:r w:rsidR="002C48FA">
        <w:t>152</w:t>
      </w:r>
    </w:p>
  </w:footnote>
  <w:footnote w:id="5">
    <w:p w14:paraId="5067D0B7" w14:textId="3B796FE2" w:rsidR="00FD31EC" w:rsidRPr="00FD31EC" w:rsidRDefault="00FD31EC">
      <w:pPr>
        <w:pStyle w:val="FootnoteText"/>
      </w:pPr>
      <w:r>
        <w:rPr>
          <w:rStyle w:val="FootnoteReference"/>
        </w:rPr>
        <w:footnoteRef/>
      </w:r>
      <w:r>
        <w:t xml:space="preserve"> Lanni 2008: 470-471</w:t>
      </w:r>
    </w:p>
  </w:footnote>
  <w:footnote w:id="6">
    <w:p w14:paraId="15316F17" w14:textId="7053E4DB" w:rsidR="001F303B" w:rsidRPr="001F303B" w:rsidRDefault="001F303B">
      <w:pPr>
        <w:pStyle w:val="FootnoteText"/>
      </w:pPr>
      <w:r>
        <w:rPr>
          <w:rStyle w:val="FootnoteReference"/>
        </w:rPr>
        <w:footnoteRef/>
      </w:r>
      <w:r>
        <w:t xml:space="preserve"> </w:t>
      </w:r>
      <w:r w:rsidR="00E86A48">
        <w:t xml:space="preserve">Holladay and </w:t>
      </w:r>
      <w:r w:rsidR="003C2FA0">
        <w:t xml:space="preserve">Goodman 1986: 151, </w:t>
      </w:r>
      <w:r w:rsidR="00A5456E">
        <w:t xml:space="preserve">von Dornum 1997: </w:t>
      </w:r>
      <w:r w:rsidR="007C0337">
        <w:t xml:space="preserve">1510, </w:t>
      </w:r>
      <w:r w:rsidR="00301BA1">
        <w:t>Parker 1983: 126-130</w:t>
      </w:r>
    </w:p>
  </w:footnote>
  <w:footnote w:id="7">
    <w:p w14:paraId="0CDAC337" w14:textId="4DF0D53B" w:rsidR="00191D41" w:rsidRPr="00191D41" w:rsidRDefault="00191D41">
      <w:pPr>
        <w:pStyle w:val="FootnoteText"/>
      </w:pPr>
      <w:r>
        <w:rPr>
          <w:rStyle w:val="FootnoteReference"/>
        </w:rPr>
        <w:footnoteRef/>
      </w:r>
      <w:r>
        <w:t xml:space="preserve"> Thuc. 4.97.</w:t>
      </w:r>
      <w:r w:rsidR="00C04C7E">
        <w:t>3-4.</w:t>
      </w:r>
    </w:p>
  </w:footnote>
  <w:footnote w:id="8">
    <w:p w14:paraId="081FACF0" w14:textId="7E58B823" w:rsidR="005D7890" w:rsidRPr="005D7890" w:rsidRDefault="005D7890">
      <w:pPr>
        <w:pStyle w:val="FootnoteText"/>
      </w:pPr>
      <w:r>
        <w:rPr>
          <w:rStyle w:val="FootnoteReference"/>
        </w:rPr>
        <w:footnoteRef/>
      </w:r>
      <w:r>
        <w:t xml:space="preserve"> Hom. Il. 1.330.</w:t>
      </w:r>
    </w:p>
  </w:footnote>
  <w:footnote w:id="9">
    <w:p w14:paraId="48D8D93A" w14:textId="583EF9CE" w:rsidR="00E63B55" w:rsidRPr="00E63B55" w:rsidRDefault="00E63B55">
      <w:pPr>
        <w:pStyle w:val="FootnoteText"/>
      </w:pPr>
      <w:r>
        <w:rPr>
          <w:rStyle w:val="FootnoteReference"/>
        </w:rPr>
        <w:footnoteRef/>
      </w:r>
      <w:r>
        <w:t xml:space="preserve"> Hdt. 9.79.2.</w:t>
      </w:r>
    </w:p>
  </w:footnote>
  <w:footnote w:id="10">
    <w:p w14:paraId="49000D92" w14:textId="0DD2561E" w:rsidR="002E7AEB" w:rsidRPr="002E7AEB" w:rsidRDefault="002E7AEB">
      <w:pPr>
        <w:pStyle w:val="FootnoteText"/>
      </w:pPr>
      <w:r>
        <w:rPr>
          <w:rStyle w:val="FootnoteReference"/>
        </w:rPr>
        <w:footnoteRef/>
      </w:r>
      <w:r>
        <w:t xml:space="preserve"> </w:t>
      </w:r>
      <w:r w:rsidR="009A7AE9">
        <w:t>Xe. Cyrop. 7.5.73.</w:t>
      </w:r>
    </w:p>
  </w:footnote>
  <w:footnote w:id="11">
    <w:p w14:paraId="47853C4D" w14:textId="4776672C" w:rsidR="00A72E7D" w:rsidRPr="00A72E7D" w:rsidRDefault="00A72E7D">
      <w:pPr>
        <w:pStyle w:val="FootnoteText"/>
      </w:pPr>
      <w:r>
        <w:rPr>
          <w:rStyle w:val="FootnoteReference"/>
        </w:rPr>
        <w:footnoteRef/>
      </w:r>
      <w:r>
        <w:t xml:space="preserve"> Lanni 2008: 470</w:t>
      </w:r>
    </w:p>
  </w:footnote>
  <w:footnote w:id="12">
    <w:p w14:paraId="19CDB026" w14:textId="6AD83852" w:rsidR="00C8081B" w:rsidRPr="00C8081B" w:rsidRDefault="00C8081B">
      <w:pPr>
        <w:pStyle w:val="FootnoteText"/>
      </w:pPr>
      <w:r>
        <w:rPr>
          <w:rStyle w:val="FootnoteReference"/>
        </w:rPr>
        <w:footnoteRef/>
      </w:r>
      <w:r>
        <w:t xml:space="preserve"> Lanni 2008: 474-475</w:t>
      </w:r>
    </w:p>
  </w:footnote>
  <w:footnote w:id="13">
    <w:p w14:paraId="462667D4" w14:textId="7DEEDCD6" w:rsidR="00F8183F" w:rsidRPr="00F8183F" w:rsidRDefault="00F8183F">
      <w:pPr>
        <w:pStyle w:val="FootnoteText"/>
      </w:pPr>
      <w:r>
        <w:rPr>
          <w:rStyle w:val="FootnoteReference"/>
        </w:rPr>
        <w:footnoteRef/>
      </w:r>
      <w:r>
        <w:t xml:space="preserve"> Garrison 1991: </w:t>
      </w:r>
      <w:r w:rsidR="003C116F">
        <w:t>4</w:t>
      </w:r>
    </w:p>
  </w:footnote>
  <w:footnote w:id="14">
    <w:p w14:paraId="299D718E" w14:textId="7363A49C" w:rsidR="000B6DC7" w:rsidRPr="000B6DC7" w:rsidRDefault="000B6DC7">
      <w:pPr>
        <w:pStyle w:val="FootnoteText"/>
      </w:pPr>
      <w:r>
        <w:rPr>
          <w:rStyle w:val="FootnoteReference"/>
        </w:rPr>
        <w:footnoteRef/>
      </w:r>
      <w:r>
        <w:t xml:space="preserve"> Ober 1994: 21</w:t>
      </w:r>
    </w:p>
  </w:footnote>
  <w:footnote w:id="15">
    <w:p w14:paraId="6DC7DBD0" w14:textId="01031C32" w:rsidR="004E0018" w:rsidRPr="004E0018" w:rsidRDefault="004E0018">
      <w:pPr>
        <w:pStyle w:val="FootnoteText"/>
      </w:pPr>
      <w:r>
        <w:rPr>
          <w:rStyle w:val="FootnoteReference"/>
        </w:rPr>
        <w:footnoteRef/>
      </w:r>
      <w:r>
        <w:t xml:space="preserve"> Kaiser 2007:</w:t>
      </w:r>
      <w:r w:rsidR="00594B6B">
        <w:t xml:space="preserve"> 456</w:t>
      </w:r>
    </w:p>
  </w:footnote>
  <w:footnote w:id="16">
    <w:p w14:paraId="6B408F86" w14:textId="21FB61BC" w:rsidR="00ED4BD0" w:rsidRDefault="00ED4BD0">
      <w:pPr>
        <w:pStyle w:val="FootnoteText"/>
      </w:pPr>
      <w:r>
        <w:rPr>
          <w:rStyle w:val="FootnoteReference"/>
        </w:rPr>
        <w:footnoteRef/>
      </w:r>
      <w:r>
        <w:t xml:space="preserve"> Krentz 2002: 25</w:t>
      </w:r>
    </w:p>
  </w:footnote>
  <w:footnote w:id="17">
    <w:p w14:paraId="08597403" w14:textId="1D4632E0" w:rsidR="00F949CB" w:rsidRDefault="00F949CB">
      <w:pPr>
        <w:pStyle w:val="FootnoteText"/>
      </w:pPr>
      <w:r>
        <w:rPr>
          <w:rStyle w:val="FootnoteReference"/>
        </w:rPr>
        <w:footnoteRef/>
      </w:r>
      <w:r>
        <w:t xml:space="preserve"> Lanni 2008: 485-486 vs. </w:t>
      </w:r>
      <w:r w:rsidR="00F92EA8">
        <w:t>480</w:t>
      </w:r>
    </w:p>
  </w:footnote>
  <w:footnote w:id="18">
    <w:p w14:paraId="5769BC5F" w14:textId="26CDB07D" w:rsidR="00047F1B" w:rsidRDefault="00047F1B">
      <w:pPr>
        <w:pStyle w:val="FootnoteText"/>
      </w:pPr>
      <w:r>
        <w:rPr>
          <w:rStyle w:val="FootnoteReference"/>
        </w:rPr>
        <w:footnoteRef/>
      </w:r>
      <w:r>
        <w:t xml:space="preserve"> Lanni 2008: 475</w:t>
      </w:r>
    </w:p>
  </w:footnote>
  <w:footnote w:id="19">
    <w:p w14:paraId="4098B9A5" w14:textId="1D4AF704" w:rsidR="004E5BC6" w:rsidRDefault="004E5BC6">
      <w:pPr>
        <w:pStyle w:val="FootnoteText"/>
      </w:pPr>
      <w:r>
        <w:rPr>
          <w:rStyle w:val="FootnoteReference"/>
        </w:rPr>
        <w:footnoteRef/>
      </w:r>
      <w:r>
        <w:t xml:space="preserve"> Thuc. 4.98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455F"/>
    <w:rsid w:val="00037D85"/>
    <w:rsid w:val="00046841"/>
    <w:rsid w:val="00047F1B"/>
    <w:rsid w:val="00051928"/>
    <w:rsid w:val="00061A02"/>
    <w:rsid w:val="000B6DC7"/>
    <w:rsid w:val="00126B04"/>
    <w:rsid w:val="001434DC"/>
    <w:rsid w:val="00152425"/>
    <w:rsid w:val="001617F9"/>
    <w:rsid w:val="00161B23"/>
    <w:rsid w:val="0016503E"/>
    <w:rsid w:val="00191D41"/>
    <w:rsid w:val="001C1EE3"/>
    <w:rsid w:val="001E3758"/>
    <w:rsid w:val="001F303B"/>
    <w:rsid w:val="001F6465"/>
    <w:rsid w:val="0021737C"/>
    <w:rsid w:val="00236A37"/>
    <w:rsid w:val="0024085A"/>
    <w:rsid w:val="002633D2"/>
    <w:rsid w:val="002730DF"/>
    <w:rsid w:val="00277F70"/>
    <w:rsid w:val="00284528"/>
    <w:rsid w:val="0029095B"/>
    <w:rsid w:val="002A5ACD"/>
    <w:rsid w:val="002A6E6C"/>
    <w:rsid w:val="002C48FA"/>
    <w:rsid w:val="002C6BE6"/>
    <w:rsid w:val="002D2B73"/>
    <w:rsid w:val="002E42EE"/>
    <w:rsid w:val="002E7AEB"/>
    <w:rsid w:val="00301BA1"/>
    <w:rsid w:val="003135EE"/>
    <w:rsid w:val="0031463E"/>
    <w:rsid w:val="003462F3"/>
    <w:rsid w:val="00347DE3"/>
    <w:rsid w:val="00364184"/>
    <w:rsid w:val="0036469D"/>
    <w:rsid w:val="003B1CB2"/>
    <w:rsid w:val="003C116F"/>
    <w:rsid w:val="003C2FA0"/>
    <w:rsid w:val="003F6280"/>
    <w:rsid w:val="003F7A02"/>
    <w:rsid w:val="004164CD"/>
    <w:rsid w:val="0043100D"/>
    <w:rsid w:val="00434BEF"/>
    <w:rsid w:val="0044554F"/>
    <w:rsid w:val="004A454A"/>
    <w:rsid w:val="004D140B"/>
    <w:rsid w:val="004E0018"/>
    <w:rsid w:val="004E5BC6"/>
    <w:rsid w:val="004E7627"/>
    <w:rsid w:val="00513DA0"/>
    <w:rsid w:val="00522982"/>
    <w:rsid w:val="00524B63"/>
    <w:rsid w:val="00536B50"/>
    <w:rsid w:val="00544FFB"/>
    <w:rsid w:val="00564CA4"/>
    <w:rsid w:val="00585358"/>
    <w:rsid w:val="00586F8F"/>
    <w:rsid w:val="00591A4A"/>
    <w:rsid w:val="00594B6B"/>
    <w:rsid w:val="005B2E2F"/>
    <w:rsid w:val="005B570A"/>
    <w:rsid w:val="005C4566"/>
    <w:rsid w:val="005D7890"/>
    <w:rsid w:val="005E666B"/>
    <w:rsid w:val="005E6A8A"/>
    <w:rsid w:val="005E75F9"/>
    <w:rsid w:val="00630634"/>
    <w:rsid w:val="00651BD5"/>
    <w:rsid w:val="00653F32"/>
    <w:rsid w:val="006737B8"/>
    <w:rsid w:val="006848EC"/>
    <w:rsid w:val="006B013F"/>
    <w:rsid w:val="006B2C05"/>
    <w:rsid w:val="006C35E2"/>
    <w:rsid w:val="006C3B2F"/>
    <w:rsid w:val="006C620B"/>
    <w:rsid w:val="006D670F"/>
    <w:rsid w:val="006E714D"/>
    <w:rsid w:val="00702E3A"/>
    <w:rsid w:val="00705F83"/>
    <w:rsid w:val="00715364"/>
    <w:rsid w:val="00720FC9"/>
    <w:rsid w:val="00780995"/>
    <w:rsid w:val="007B0FCF"/>
    <w:rsid w:val="007C0337"/>
    <w:rsid w:val="007C455F"/>
    <w:rsid w:val="007D456C"/>
    <w:rsid w:val="007F01BC"/>
    <w:rsid w:val="00803EF6"/>
    <w:rsid w:val="00805F18"/>
    <w:rsid w:val="00831494"/>
    <w:rsid w:val="008407ED"/>
    <w:rsid w:val="0084337C"/>
    <w:rsid w:val="0084396C"/>
    <w:rsid w:val="00853751"/>
    <w:rsid w:val="0086293A"/>
    <w:rsid w:val="00870EC9"/>
    <w:rsid w:val="0087529C"/>
    <w:rsid w:val="00876C31"/>
    <w:rsid w:val="00887853"/>
    <w:rsid w:val="008944B6"/>
    <w:rsid w:val="008A72C0"/>
    <w:rsid w:val="008B185D"/>
    <w:rsid w:val="008C18DF"/>
    <w:rsid w:val="008F6062"/>
    <w:rsid w:val="009013E1"/>
    <w:rsid w:val="009016F6"/>
    <w:rsid w:val="00901B74"/>
    <w:rsid w:val="00903F65"/>
    <w:rsid w:val="009141E3"/>
    <w:rsid w:val="00925B43"/>
    <w:rsid w:val="00946FB0"/>
    <w:rsid w:val="00961677"/>
    <w:rsid w:val="009638E6"/>
    <w:rsid w:val="00964EDD"/>
    <w:rsid w:val="00975DD5"/>
    <w:rsid w:val="00977013"/>
    <w:rsid w:val="00983D46"/>
    <w:rsid w:val="00985DA1"/>
    <w:rsid w:val="00987AC6"/>
    <w:rsid w:val="009A3CF2"/>
    <w:rsid w:val="009A5C83"/>
    <w:rsid w:val="009A76B8"/>
    <w:rsid w:val="009A7AE9"/>
    <w:rsid w:val="009E035B"/>
    <w:rsid w:val="00A12F43"/>
    <w:rsid w:val="00A21745"/>
    <w:rsid w:val="00A32328"/>
    <w:rsid w:val="00A459DF"/>
    <w:rsid w:val="00A52022"/>
    <w:rsid w:val="00A5456E"/>
    <w:rsid w:val="00A67FA4"/>
    <w:rsid w:val="00A72E7D"/>
    <w:rsid w:val="00AA2B61"/>
    <w:rsid w:val="00AA6AF7"/>
    <w:rsid w:val="00AE3C55"/>
    <w:rsid w:val="00AF1A94"/>
    <w:rsid w:val="00AF3464"/>
    <w:rsid w:val="00B27867"/>
    <w:rsid w:val="00B45B6A"/>
    <w:rsid w:val="00B642AC"/>
    <w:rsid w:val="00BA6BDE"/>
    <w:rsid w:val="00BA6DD2"/>
    <w:rsid w:val="00BB4F11"/>
    <w:rsid w:val="00BC217D"/>
    <w:rsid w:val="00BF41CA"/>
    <w:rsid w:val="00C04C7E"/>
    <w:rsid w:val="00C45670"/>
    <w:rsid w:val="00C70D48"/>
    <w:rsid w:val="00C750A0"/>
    <w:rsid w:val="00C8081B"/>
    <w:rsid w:val="00C862CD"/>
    <w:rsid w:val="00C91E5B"/>
    <w:rsid w:val="00CB04B1"/>
    <w:rsid w:val="00CC148F"/>
    <w:rsid w:val="00CC473A"/>
    <w:rsid w:val="00CE1482"/>
    <w:rsid w:val="00CE50E3"/>
    <w:rsid w:val="00CF7077"/>
    <w:rsid w:val="00D07A83"/>
    <w:rsid w:val="00D24A13"/>
    <w:rsid w:val="00D4119C"/>
    <w:rsid w:val="00D5564C"/>
    <w:rsid w:val="00D867F6"/>
    <w:rsid w:val="00DA0423"/>
    <w:rsid w:val="00DB2D1E"/>
    <w:rsid w:val="00DD2B0B"/>
    <w:rsid w:val="00DD5F33"/>
    <w:rsid w:val="00DE5257"/>
    <w:rsid w:val="00E343C6"/>
    <w:rsid w:val="00E634E6"/>
    <w:rsid w:val="00E63B55"/>
    <w:rsid w:val="00E63B76"/>
    <w:rsid w:val="00E67974"/>
    <w:rsid w:val="00E82F4F"/>
    <w:rsid w:val="00E83383"/>
    <w:rsid w:val="00E86A48"/>
    <w:rsid w:val="00EC3F13"/>
    <w:rsid w:val="00ED4BD0"/>
    <w:rsid w:val="00ED6F16"/>
    <w:rsid w:val="00EF1ADD"/>
    <w:rsid w:val="00EF3C93"/>
    <w:rsid w:val="00F0165D"/>
    <w:rsid w:val="00F24695"/>
    <w:rsid w:val="00F5102E"/>
    <w:rsid w:val="00F8183F"/>
    <w:rsid w:val="00F92EA8"/>
    <w:rsid w:val="00F949CB"/>
    <w:rsid w:val="00F97DA6"/>
    <w:rsid w:val="00FA524B"/>
    <w:rsid w:val="00FD2CC2"/>
    <w:rsid w:val="00FD31E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6057DCAC"/>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heme="minorHAnsi" w:hAnsi="Times New Roman" w:cs="Times New Roman"/>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24085A"/>
  </w:style>
  <w:style w:type="character" w:customStyle="1" w:styleId="FootnoteTextChar">
    <w:name w:val="Footnote Text Char"/>
    <w:basedOn w:val="DefaultParagraphFont"/>
    <w:link w:val="FootnoteText"/>
    <w:uiPriority w:val="99"/>
    <w:rsid w:val="0024085A"/>
    <w:rPr>
      <w:lang w:val="en-GB"/>
    </w:rPr>
  </w:style>
  <w:style w:type="character" w:styleId="FootnoteReference">
    <w:name w:val="footnote reference"/>
    <w:basedOn w:val="DefaultParagraphFont"/>
    <w:uiPriority w:val="99"/>
    <w:unhideWhenUsed/>
    <w:rsid w:val="0024085A"/>
    <w:rPr>
      <w:vertAlign w:val="superscript"/>
    </w:rPr>
  </w:style>
  <w:style w:type="paragraph" w:styleId="NormalWeb">
    <w:name w:val="Normal (Web)"/>
    <w:basedOn w:val="Normal"/>
    <w:uiPriority w:val="99"/>
    <w:semiHidden/>
    <w:unhideWhenUsed/>
    <w:rsid w:val="00ED6F16"/>
    <w:pPr>
      <w:spacing w:before="100" w:beforeAutospacing="1" w:after="100" w:afterAutospacing="1"/>
    </w:pPr>
  </w:style>
  <w:style w:type="character" w:styleId="Emphasis">
    <w:name w:val="Emphasis"/>
    <w:basedOn w:val="DefaultParagraphFont"/>
    <w:uiPriority w:val="20"/>
    <w:qFormat/>
    <w:rsid w:val="00ED6F1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220</TotalTime>
  <Pages>5</Pages>
  <Words>1774</Words>
  <Characters>10114</Characters>
  <Application>Microsoft Macintosh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11865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 Kinnicutt</dc:creator>
  <cp:keywords/>
  <dc:description/>
  <cp:lastModifiedBy>Jordan Kinnicutt</cp:lastModifiedBy>
  <cp:revision>680</cp:revision>
  <dcterms:created xsi:type="dcterms:W3CDTF">2018-12-10T16:22:00Z</dcterms:created>
  <dcterms:modified xsi:type="dcterms:W3CDTF">2018-12-10T23:52:00Z</dcterms:modified>
</cp:coreProperties>
</file>