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4DBF854" w14:textId="26DA0BC9" w:rsidR="002F1D04" w:rsidRPr="001C09A4" w:rsidRDefault="001C09A4" w:rsidP="005D4D2B">
      <w:r>
        <w:rPr>
          <w:noProof/>
        </w:rPr>
        <w:pict w14:anchorId="65256A1E">
          <v:shapetype id="_x0000_t202" coordsize="21600,21600" o:spt="202" path="m,l,21600r21600,l21600,xe">
            <v:stroke joinstyle="miter"/>
            <v:path gradientshapeok="t" o:connecttype="rect"/>
          </v:shapetype>
          <v:shape id="Text Box 2" o:spid="_x0000_s2052" type="#_x0000_t202" style="position:absolute;margin-left:0;margin-top:-15.65pt;width:185.9pt;height:222pt;z-index:251655680;visibility:visible;mso-wrap-style:square;mso-width-percent:400;mso-height-percent:0;mso-wrap-distance-left:9pt;mso-wrap-distance-top:3.6pt;mso-wrap-distance-right:9pt;mso-wrap-distance-bottom:3.6pt;mso-position-horizontal:absolute;mso-position-horizontal-relative:page;mso-position-vertical:absolute;mso-position-vertical-relative:text;mso-width-percent:400;mso-height-percent:0;mso-width-relative:margin;mso-height-relative:margin;v-text-anchor:top" fillcolor="white [3201]" strokecolor="#f1a983 [1941]" strokeweight="1pt">
            <v:fill color2="#f6c5ac [1301]" focusposition="1" focussize="" focus="100%" type="gradient"/>
            <v:shadow on="t" type="perspective" color="#7f340d [1605]" opacity=".5" offset="1pt" offset2="-3pt"/>
            <v:textbox>
              <w:txbxContent>
                <w:p w14:paraId="4DCAFB08" w14:textId="77777777" w:rsidR="005D4D2B" w:rsidRPr="002D1B21" w:rsidRDefault="005D4D2B" w:rsidP="005D4D2B">
                  <w:pPr>
                    <w:rPr>
                      <w:rFonts w:ascii="Arial" w:hAnsi="Arial" w:cs="Arial"/>
                      <w:b/>
                      <w:bCs/>
                      <w:sz w:val="20"/>
                      <w:szCs w:val="20"/>
                      <w:u w:val="single"/>
                    </w:rPr>
                  </w:pPr>
                  <w:r w:rsidRPr="002D1B21">
                    <w:rPr>
                      <w:rFonts w:ascii="Arial" w:hAnsi="Arial" w:cs="Arial"/>
                      <w:b/>
                      <w:bCs/>
                      <w:sz w:val="20"/>
                      <w:szCs w:val="20"/>
                      <w:u w:val="single"/>
                    </w:rPr>
                    <w:t>Introduction</w:t>
                  </w:r>
                </w:p>
                <w:p w14:paraId="63313588" w14:textId="5F03B5E9" w:rsidR="005D4D2B" w:rsidRPr="001C09A4" w:rsidRDefault="005D4D2B" w:rsidP="005D4D2B">
                  <w:pPr>
                    <w:rPr>
                      <w:rFonts w:ascii="Arial" w:hAnsi="Arial" w:cs="Arial"/>
                      <w:sz w:val="20"/>
                      <w:szCs w:val="20"/>
                    </w:rPr>
                  </w:pPr>
                  <w:r w:rsidRPr="001C09A4">
                    <w:rPr>
                      <w:rFonts w:ascii="Arial" w:hAnsi="Arial" w:cs="Arial"/>
                      <w:sz w:val="20"/>
                      <w:szCs w:val="20"/>
                    </w:rPr>
                    <w:t xml:space="preserve">The purpose of this poster is to explore and explain the principles of health, lifestyles and well-being within Early Years. Furthermore, various theories and different models will also be discussed and will be linked into Early Years Practice. Also, this poster aims to examine the responsibilities and contributions of practitioners in early years practice with regards to supporting the health, well-being, and lifestyles of young children </w:t>
                  </w:r>
                  <w:proofErr w:type="gramStart"/>
                  <w:r w:rsidRPr="001C09A4">
                    <w:rPr>
                      <w:rFonts w:ascii="Arial" w:hAnsi="Arial" w:cs="Arial"/>
                      <w:sz w:val="20"/>
                      <w:szCs w:val="20"/>
                    </w:rPr>
                    <w:t>in order to</w:t>
                  </w:r>
                  <w:proofErr w:type="gramEnd"/>
                  <w:r w:rsidRPr="001C09A4">
                    <w:rPr>
                      <w:rFonts w:ascii="Arial" w:hAnsi="Arial" w:cs="Arial"/>
                      <w:sz w:val="20"/>
                      <w:szCs w:val="20"/>
                    </w:rPr>
                    <w:t xml:space="preserve"> facilitate their holistic development. Various perspectives on the role of the practitioner in this context will be explored and discussed. The poster will also explore the interconnections between all three concepts with positive relationships being the key theme running through this poster. According to Bristol University (2024) the wellbeing of children is greatly affected by their interpersonal connections with those around them, impacting their social, emotional, and cognitive development.</w:t>
                  </w:r>
                </w:p>
              </w:txbxContent>
            </v:textbox>
            <w10:wrap type="square" anchorx="page"/>
          </v:shape>
        </w:pict>
      </w:r>
      <w:r>
        <w:rPr>
          <w:noProof/>
        </w:rPr>
        <w:pict w14:anchorId="3B9324DB">
          <v:shape id="_x0000_s2051" type="#_x0000_t202" style="position:absolute;margin-left:271.5pt;margin-top:.1pt;width:531pt;height:502.5pt;z-index:25165772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fillcolor="white [3201]" strokecolor="#47d459 [1942]" strokeweight="1pt">
            <v:fill color2="#84e290 [1302]" focusposition="1" focussize="" focus="100%" type="gradient"/>
            <v:shadow on="t" type="perspective" color="#0c3511 [1606]" opacity=".5" offset="1pt" offset2="-3pt"/>
            <v:textbox>
              <w:txbxContent>
                <w:p w14:paraId="352D2457" w14:textId="77777777" w:rsidR="005D4D2B" w:rsidRPr="005D4D2B" w:rsidRDefault="005D4D2B" w:rsidP="00D315B3">
                  <w:pPr>
                    <w:jc w:val="center"/>
                    <w:rPr>
                      <w:sz w:val="20"/>
                      <w:szCs w:val="20"/>
                    </w:rPr>
                  </w:pPr>
                  <w:r w:rsidRPr="005D4D2B">
                    <w:rPr>
                      <w:sz w:val="20"/>
                      <w:szCs w:val="20"/>
                    </w:rPr>
                    <w:t>Concepts</w:t>
                  </w:r>
                </w:p>
                <w:p w14:paraId="3AB5882A" w14:textId="4C39CFD4" w:rsidR="005D4D2B" w:rsidRPr="001C09A4" w:rsidRDefault="00D315B3" w:rsidP="005D4D2B">
                  <w:pPr>
                    <w:rPr>
                      <w:rFonts w:ascii="Arial" w:hAnsi="Arial" w:cs="Arial"/>
                      <w:sz w:val="20"/>
                      <w:szCs w:val="20"/>
                    </w:rPr>
                  </w:pPr>
                  <w:r w:rsidRPr="001C09A4">
                    <w:rPr>
                      <w:rFonts w:ascii="Arial" w:hAnsi="Arial" w:cs="Arial"/>
                      <w:sz w:val="20"/>
                      <w:szCs w:val="20"/>
                    </w:rPr>
                    <w:t>According to</w:t>
                  </w:r>
                  <w:r w:rsidR="005D4D2B" w:rsidRPr="001C09A4">
                    <w:rPr>
                      <w:rFonts w:ascii="Arial" w:hAnsi="Arial" w:cs="Arial"/>
                      <w:sz w:val="20"/>
                      <w:szCs w:val="20"/>
                    </w:rPr>
                    <w:t xml:space="preserve"> Halfon and Forrest (2017) the concepts of health, wellbeing, and lifestyles are interconnected and essential in shaping the overall development and well-being of children, particularly in the early years of life. Apostu, (2013) mention that lifestyle choices, such as diet, physical activity, and stress management, can directly influence a child`s health and overall wellbeing.</w:t>
                  </w:r>
                </w:p>
                <w:p w14:paraId="54BD27CC" w14:textId="77777777" w:rsidR="002F1D04" w:rsidRPr="001C09A4" w:rsidRDefault="005D4D2B" w:rsidP="005D4D2B">
                  <w:pPr>
                    <w:rPr>
                      <w:rFonts w:ascii="Arial" w:hAnsi="Arial" w:cs="Arial"/>
                      <w:b/>
                      <w:bCs/>
                      <w:sz w:val="20"/>
                      <w:szCs w:val="20"/>
                      <w:u w:val="single"/>
                    </w:rPr>
                  </w:pPr>
                  <w:r w:rsidRPr="001C09A4">
                    <w:rPr>
                      <w:rFonts w:ascii="Arial" w:hAnsi="Arial" w:cs="Arial"/>
                      <w:b/>
                      <w:bCs/>
                      <w:sz w:val="20"/>
                      <w:szCs w:val="20"/>
                      <w:u w:val="single"/>
                    </w:rPr>
                    <w:t>Wellbeing</w:t>
                  </w:r>
                </w:p>
                <w:p w14:paraId="23ECA66D" w14:textId="174631A7" w:rsidR="005D4D2B" w:rsidRPr="001C09A4" w:rsidRDefault="005D4D2B" w:rsidP="005D4D2B">
                  <w:pPr>
                    <w:rPr>
                      <w:rFonts w:ascii="Arial" w:hAnsi="Arial" w:cs="Arial"/>
                      <w:b/>
                      <w:bCs/>
                      <w:sz w:val="20"/>
                      <w:szCs w:val="20"/>
                      <w:u w:val="single"/>
                    </w:rPr>
                  </w:pPr>
                  <w:r w:rsidRPr="001C09A4">
                    <w:rPr>
                      <w:rFonts w:ascii="Arial" w:hAnsi="Arial" w:cs="Arial"/>
                      <w:sz w:val="20"/>
                      <w:szCs w:val="20"/>
                    </w:rPr>
                    <w:t xml:space="preserve">According to World Health Organization (2024) (WHO) the concept of well-being pertains to the positive state of individuals and societies as they experience a sense of physical, mental, and emotional wellness. In parallel to health, this resource plays a crucial role in sustaining everyday activities and is influenced by social, economic, and environmental factors. Berlinski and </w:t>
                  </w:r>
                  <w:proofErr w:type="spellStart"/>
                  <w:r w:rsidRPr="001C09A4">
                    <w:rPr>
                      <w:rFonts w:ascii="Arial" w:hAnsi="Arial" w:cs="Arial"/>
                      <w:sz w:val="20"/>
                      <w:szCs w:val="20"/>
                    </w:rPr>
                    <w:t>Schady</w:t>
                  </w:r>
                  <w:proofErr w:type="spellEnd"/>
                  <w:r w:rsidRPr="001C09A4">
                    <w:rPr>
                      <w:rFonts w:ascii="Arial" w:hAnsi="Arial" w:cs="Arial"/>
                      <w:sz w:val="20"/>
                      <w:szCs w:val="20"/>
                    </w:rPr>
                    <w:t xml:space="preserve"> (2015</w:t>
                  </w:r>
                  <w:r w:rsidR="00005011" w:rsidRPr="001C09A4">
                    <w:rPr>
                      <w:rFonts w:ascii="Arial" w:hAnsi="Arial" w:cs="Arial"/>
                      <w:sz w:val="20"/>
                      <w:szCs w:val="20"/>
                    </w:rPr>
                    <w:t>), says</w:t>
                  </w:r>
                  <w:r w:rsidRPr="001C09A4">
                    <w:rPr>
                      <w:rFonts w:ascii="Arial" w:hAnsi="Arial" w:cs="Arial"/>
                      <w:sz w:val="20"/>
                      <w:szCs w:val="20"/>
                    </w:rPr>
                    <w:t xml:space="preserve"> that wellbeing is defined as the state of being characterized by happiness, health, or prosperity.</w:t>
                  </w:r>
                </w:p>
                <w:p w14:paraId="48B978F1" w14:textId="2717E50F" w:rsidR="005D4D2B" w:rsidRPr="001C09A4" w:rsidRDefault="005D4D2B" w:rsidP="005D4D2B">
                  <w:pPr>
                    <w:rPr>
                      <w:rFonts w:ascii="Arial" w:hAnsi="Arial" w:cs="Arial"/>
                      <w:sz w:val="20"/>
                      <w:szCs w:val="20"/>
                    </w:rPr>
                  </w:pPr>
                  <w:r w:rsidRPr="001C09A4">
                    <w:rPr>
                      <w:rFonts w:ascii="Arial" w:hAnsi="Arial" w:cs="Arial"/>
                      <w:sz w:val="20"/>
                      <w:szCs w:val="20"/>
                    </w:rPr>
                    <w:t>Wellbeing is particularly crucial during the early years of an individual's life, as this period lays the foundation for future development and success. Research has shown that higher levels of wellbeing in childhood are predictive of positive outcomes in adulthood, such as greater educational attainment, better occupational functioning, and enhanced physical and mental health (Kiefer, 2008</w:t>
                  </w:r>
                  <w:r w:rsidR="00005011">
                    <w:rPr>
                      <w:rFonts w:ascii="Arial" w:hAnsi="Arial" w:cs="Arial"/>
                      <w:sz w:val="20"/>
                      <w:szCs w:val="20"/>
                    </w:rPr>
                    <w:t>a</w:t>
                  </w:r>
                  <w:r w:rsidRPr="001C09A4">
                    <w:rPr>
                      <w:rFonts w:ascii="Arial" w:hAnsi="Arial" w:cs="Arial"/>
                      <w:sz w:val="20"/>
                      <w:szCs w:val="20"/>
                    </w:rPr>
                    <w:t>) (Ronen and Kerret, 2020) (Ruggeri,</w:t>
                  </w:r>
                  <w:r w:rsidR="00FE739F" w:rsidRPr="001C09A4">
                    <w:rPr>
                      <w:rFonts w:ascii="Arial" w:hAnsi="Arial" w:cs="Arial"/>
                      <w:sz w:val="20"/>
                      <w:szCs w:val="20"/>
                    </w:rPr>
                    <w:t xml:space="preserve"> </w:t>
                  </w:r>
                  <w:r w:rsidRPr="002D1B21">
                    <w:rPr>
                      <w:rFonts w:ascii="Arial" w:hAnsi="Arial" w:cs="Arial"/>
                      <w:i/>
                      <w:iCs/>
                      <w:sz w:val="20"/>
                      <w:szCs w:val="20"/>
                    </w:rPr>
                    <w:t>et al</w:t>
                  </w:r>
                  <w:r w:rsidRPr="001C09A4">
                    <w:rPr>
                      <w:rFonts w:ascii="Arial" w:hAnsi="Arial" w:cs="Arial"/>
                      <w:sz w:val="20"/>
                      <w:szCs w:val="20"/>
                    </w:rPr>
                    <w:t>., 2020</w:t>
                  </w:r>
                  <w:r w:rsidR="00005011">
                    <w:rPr>
                      <w:rFonts w:ascii="Arial" w:hAnsi="Arial" w:cs="Arial"/>
                      <w:sz w:val="20"/>
                      <w:szCs w:val="20"/>
                    </w:rPr>
                    <w:t>a</w:t>
                  </w:r>
                  <w:r w:rsidRPr="001C09A4">
                    <w:rPr>
                      <w:rFonts w:ascii="Arial" w:hAnsi="Arial" w:cs="Arial"/>
                      <w:sz w:val="20"/>
                      <w:szCs w:val="20"/>
                    </w:rPr>
                    <w:t>). Longitudinal research has revealed that an individual's state of wellbeing in childhood is a strong predictor of their wellbeing in adulthood, underscoring the importance of fostering positive states of being from an early age in order. (Hoyt, et al, 2012)</w:t>
                  </w:r>
                </w:p>
                <w:p w14:paraId="2E037D4F" w14:textId="5A35778F" w:rsidR="002F1D04" w:rsidRPr="001C09A4" w:rsidRDefault="005D4D2B" w:rsidP="005D4D2B">
                  <w:pPr>
                    <w:rPr>
                      <w:rFonts w:ascii="Arial" w:hAnsi="Arial" w:cs="Arial"/>
                      <w:sz w:val="20"/>
                      <w:szCs w:val="20"/>
                    </w:rPr>
                  </w:pPr>
                  <w:r w:rsidRPr="001C09A4">
                    <w:rPr>
                      <w:rFonts w:ascii="Arial" w:hAnsi="Arial" w:cs="Arial"/>
                      <w:sz w:val="20"/>
                      <w:szCs w:val="20"/>
                    </w:rPr>
                    <w:t>Wellbeing is particularly crucial during the early years of an individual's life, as this period lays the foundation for future development and success. Research has shown that higher levels of wellbeing in childhood are predictive of positive outcomes in adulthood, such as greater educational attainment, better occupational functioning, and enhanced physical and mental health (Kiefer,</w:t>
                  </w:r>
                  <w:r w:rsidR="00FE739F" w:rsidRPr="001C09A4">
                    <w:rPr>
                      <w:rFonts w:ascii="Arial" w:hAnsi="Arial" w:cs="Arial"/>
                      <w:sz w:val="20"/>
                      <w:szCs w:val="20"/>
                    </w:rPr>
                    <w:t xml:space="preserve"> </w:t>
                  </w:r>
                  <w:r w:rsidR="00D315B3" w:rsidRPr="001C09A4">
                    <w:rPr>
                      <w:rFonts w:ascii="Arial" w:hAnsi="Arial" w:cs="Arial"/>
                      <w:sz w:val="20"/>
                      <w:szCs w:val="20"/>
                    </w:rPr>
                    <w:t>2008</w:t>
                  </w:r>
                  <w:r w:rsidR="00005011">
                    <w:rPr>
                      <w:rFonts w:ascii="Arial" w:hAnsi="Arial" w:cs="Arial"/>
                      <w:sz w:val="20"/>
                      <w:szCs w:val="20"/>
                    </w:rPr>
                    <w:t>b</w:t>
                  </w:r>
                  <w:r w:rsidR="00D315B3" w:rsidRPr="001C09A4">
                    <w:rPr>
                      <w:rFonts w:ascii="Arial" w:hAnsi="Arial" w:cs="Arial"/>
                      <w:sz w:val="20"/>
                      <w:szCs w:val="20"/>
                    </w:rPr>
                    <w:t>) (</w:t>
                  </w:r>
                  <w:r w:rsidRPr="001C09A4">
                    <w:rPr>
                      <w:rFonts w:ascii="Arial" w:hAnsi="Arial" w:cs="Arial"/>
                      <w:sz w:val="20"/>
                      <w:szCs w:val="20"/>
                    </w:rPr>
                    <w:t>Ronen,</w:t>
                  </w:r>
                  <w:r w:rsidR="00FE739F" w:rsidRPr="001C09A4">
                    <w:rPr>
                      <w:rFonts w:ascii="Arial" w:hAnsi="Arial" w:cs="Arial"/>
                      <w:sz w:val="20"/>
                      <w:szCs w:val="20"/>
                    </w:rPr>
                    <w:t xml:space="preserve"> </w:t>
                  </w:r>
                  <w:r w:rsidRPr="001C09A4">
                    <w:rPr>
                      <w:rFonts w:ascii="Arial" w:hAnsi="Arial" w:cs="Arial"/>
                      <w:sz w:val="20"/>
                      <w:szCs w:val="20"/>
                    </w:rPr>
                    <w:t>and Kerret, 2020)</w:t>
                  </w:r>
                  <w:r w:rsidR="00FE739F" w:rsidRPr="001C09A4">
                    <w:rPr>
                      <w:rFonts w:ascii="Arial" w:hAnsi="Arial" w:cs="Arial"/>
                      <w:sz w:val="20"/>
                      <w:szCs w:val="20"/>
                    </w:rPr>
                    <w:t xml:space="preserve"> </w:t>
                  </w:r>
                  <w:r w:rsidRPr="001C09A4">
                    <w:rPr>
                      <w:rFonts w:ascii="Arial" w:hAnsi="Arial" w:cs="Arial"/>
                      <w:sz w:val="20"/>
                      <w:szCs w:val="20"/>
                    </w:rPr>
                    <w:t>(Ruggeri,</w:t>
                  </w:r>
                  <w:r w:rsidR="00FE739F" w:rsidRPr="001C09A4">
                    <w:rPr>
                      <w:rFonts w:ascii="Arial" w:hAnsi="Arial" w:cs="Arial"/>
                      <w:sz w:val="20"/>
                      <w:szCs w:val="20"/>
                    </w:rPr>
                    <w:t xml:space="preserve"> </w:t>
                  </w:r>
                  <w:r w:rsidRPr="002D1B21">
                    <w:rPr>
                      <w:rFonts w:ascii="Arial" w:hAnsi="Arial" w:cs="Arial"/>
                      <w:i/>
                      <w:iCs/>
                      <w:sz w:val="20"/>
                      <w:szCs w:val="20"/>
                    </w:rPr>
                    <w:t>et al</w:t>
                  </w:r>
                  <w:r w:rsidRPr="001C09A4">
                    <w:rPr>
                      <w:rFonts w:ascii="Arial" w:hAnsi="Arial" w:cs="Arial"/>
                      <w:sz w:val="20"/>
                      <w:szCs w:val="20"/>
                    </w:rPr>
                    <w:t>., 2020</w:t>
                  </w:r>
                  <w:r w:rsidR="00005011">
                    <w:rPr>
                      <w:rFonts w:ascii="Arial" w:hAnsi="Arial" w:cs="Arial"/>
                      <w:sz w:val="20"/>
                      <w:szCs w:val="20"/>
                    </w:rPr>
                    <w:t>b</w:t>
                  </w:r>
                  <w:r w:rsidRPr="001C09A4">
                    <w:rPr>
                      <w:rFonts w:ascii="Arial" w:hAnsi="Arial" w:cs="Arial"/>
                      <w:sz w:val="20"/>
                      <w:szCs w:val="20"/>
                    </w:rPr>
                    <w:t xml:space="preserve">). Longitudinal research has revealed that an individual's state of wellbeing in childhood is a strong predictor of their wellbeing in adulthood, underscoring the importance of fostering positive states of being from an early age in order. (Hoyt, </w:t>
                  </w:r>
                  <w:r w:rsidRPr="002D1B21">
                    <w:rPr>
                      <w:rFonts w:ascii="Arial" w:hAnsi="Arial" w:cs="Arial"/>
                      <w:i/>
                      <w:iCs/>
                      <w:sz w:val="20"/>
                      <w:szCs w:val="20"/>
                    </w:rPr>
                    <w:t>et al</w:t>
                  </w:r>
                  <w:r w:rsidRPr="001C09A4">
                    <w:rPr>
                      <w:rFonts w:ascii="Arial" w:hAnsi="Arial" w:cs="Arial"/>
                      <w:sz w:val="20"/>
                      <w:szCs w:val="20"/>
                    </w:rPr>
                    <w:t>., 2012) Wellbeing in the early years is shaped by a complex interplay of genetic, environmental, and family-related factors. Children and young people with better mental wellbeing are more likely to cope effectively with stress and trauma, recover more quickly from illness, and engage in fewer risky health behaviours.</w:t>
                  </w:r>
                  <w:r w:rsidR="00FE739F" w:rsidRPr="001C09A4">
                    <w:rPr>
                      <w:rFonts w:ascii="Arial" w:hAnsi="Arial" w:cs="Arial"/>
                    </w:rPr>
                    <w:t xml:space="preserve"> </w:t>
                  </w:r>
                  <w:r w:rsidR="00FE739F" w:rsidRPr="001C09A4">
                    <w:rPr>
                      <w:rFonts w:ascii="Arial" w:hAnsi="Arial" w:cs="Arial"/>
                      <w:sz w:val="20"/>
                      <w:szCs w:val="20"/>
                    </w:rPr>
                    <w:t xml:space="preserve">Crucially, childhood experiences in infancy and the first five years of life have been found to have a lasting impact upon a child's mental wellbeing, underscoring the importance of prioritizing the promotion of wellbeing during this critical developmental period (Netw, 2015). </w:t>
                  </w:r>
                </w:p>
                <w:p w14:paraId="0E618B1F" w14:textId="24A37670" w:rsidR="005D4D2B" w:rsidRPr="001C09A4" w:rsidRDefault="002F1D04" w:rsidP="005D4D2B">
                  <w:pPr>
                    <w:rPr>
                      <w:rFonts w:ascii="Arial" w:hAnsi="Arial" w:cs="Arial"/>
                      <w:sz w:val="20"/>
                      <w:szCs w:val="20"/>
                    </w:rPr>
                  </w:pPr>
                  <w:r w:rsidRPr="001C09A4">
                    <w:rPr>
                      <w:rFonts w:ascii="Arial" w:hAnsi="Arial" w:cs="Arial"/>
                      <w:sz w:val="20"/>
                      <w:szCs w:val="20"/>
                    </w:rPr>
                    <w:t>One framework that can be useful in understanding and addressing the needs of early years children is Maslow's hierarchy of needs (Steenbakkers, Steen and Grietens, 2017). Maslow's hierarchy outlines a series of basic and psychological needs that individuals must satisfy in order to achieve self-actualization and overall wellbeing. The lower-level needs, such as physiological and safety needs, must be met before higher-level needs like belonging, esteem, and self-actualization can be pursued. (Maslow's Hierarchy of Needs, 2012).</w:t>
                  </w:r>
                </w:p>
                <w:p w14:paraId="3CBC162D" w14:textId="77777777" w:rsidR="001957F4" w:rsidRPr="005D4D2B" w:rsidRDefault="001957F4" w:rsidP="005D4D2B">
                  <w:pPr>
                    <w:rPr>
                      <w:sz w:val="20"/>
                      <w:szCs w:val="20"/>
                    </w:rPr>
                  </w:pPr>
                </w:p>
                <w:p w14:paraId="2F73927D" w14:textId="134DF6CE" w:rsidR="005D4D2B" w:rsidRDefault="005D4D2B"/>
              </w:txbxContent>
            </v:textbox>
            <w10:wrap type="square"/>
          </v:shape>
        </w:pict>
      </w:r>
      <w:r w:rsidR="00D315B3" w:rsidRPr="001C09A4">
        <w:t xml:space="preserve"> </w:t>
      </w:r>
      <w:r w:rsidR="00D315B3" w:rsidRPr="00D315B3">
        <w:drawing>
          <wp:inline distT="0" distB="0" distL="0" distR="0" wp14:anchorId="429CC143" wp14:editId="0ED9149A">
            <wp:extent cx="3253904" cy="2257425"/>
            <wp:effectExtent l="0" t="0" r="3810" b="0"/>
            <wp:docPr id="1731087725" name="Picture 1" descr="A pyramid of needs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1087725" name="Picture 1" descr="A pyramid of needs with text&#10;&#10;Description automatically generated"/>
                    <pic:cNvPicPr/>
                  </pic:nvPicPr>
                  <pic:blipFill>
                    <a:blip r:embed="rId7"/>
                    <a:stretch>
                      <a:fillRect/>
                    </a:stretch>
                  </pic:blipFill>
                  <pic:spPr>
                    <a:xfrm>
                      <a:off x="0" y="0"/>
                      <a:ext cx="3299990" cy="2289398"/>
                    </a:xfrm>
                    <a:prstGeom prst="rect">
                      <a:avLst/>
                    </a:prstGeom>
                  </pic:spPr>
                </pic:pic>
              </a:graphicData>
            </a:graphic>
          </wp:inline>
        </w:drawing>
      </w:r>
    </w:p>
    <w:p w14:paraId="5739052F" w14:textId="2534C7A6" w:rsidR="00D315B3" w:rsidRPr="001C09A4" w:rsidRDefault="00D315B3" w:rsidP="002F1D04">
      <w:pPr>
        <w:jc w:val="center"/>
        <w:rPr>
          <w:color w:val="000000" w:themeColor="text1"/>
          <w:sz w:val="16"/>
          <w:szCs w:val="16"/>
        </w:rPr>
      </w:pPr>
      <w:r w:rsidRPr="001C09A4">
        <w:rPr>
          <w:sz w:val="16"/>
          <w:szCs w:val="16"/>
        </w:rPr>
        <w:t xml:space="preserve">Source: </w:t>
      </w:r>
      <w:r w:rsidR="00E84416" w:rsidRPr="001C09A4">
        <w:rPr>
          <w:color w:val="000000" w:themeColor="text1"/>
          <w:sz w:val="16"/>
          <w:szCs w:val="16"/>
        </w:rPr>
        <w:t xml:space="preserve">Teacher </w:t>
      </w:r>
      <w:r w:rsidR="002F1D04" w:rsidRPr="001C09A4">
        <w:rPr>
          <w:color w:val="000000" w:themeColor="text1"/>
          <w:sz w:val="16"/>
          <w:szCs w:val="16"/>
        </w:rPr>
        <w:t>toolbox</w:t>
      </w:r>
      <w:r w:rsidR="00E84416" w:rsidRPr="001C09A4">
        <w:rPr>
          <w:color w:val="000000" w:themeColor="text1"/>
          <w:sz w:val="16"/>
          <w:szCs w:val="16"/>
        </w:rPr>
        <w:t xml:space="preserve"> (no date)</w:t>
      </w:r>
    </w:p>
    <w:p w14:paraId="0A9488BB" w14:textId="7AEBCF44" w:rsidR="00D315B3" w:rsidRPr="001C09A4" w:rsidRDefault="00D315B3" w:rsidP="005D4D2B"/>
    <w:p w14:paraId="3F7F9388" w14:textId="604A3CF1" w:rsidR="00E84416" w:rsidRPr="001C09A4" w:rsidRDefault="00E84416" w:rsidP="005D4D2B"/>
    <w:p w14:paraId="1D0957A6" w14:textId="4EBED909" w:rsidR="00E84416" w:rsidRPr="001C09A4" w:rsidRDefault="00E84416" w:rsidP="005D4D2B"/>
    <w:p w14:paraId="25A9868A" w14:textId="6BEEA1D1" w:rsidR="00E84416" w:rsidRPr="001C09A4" w:rsidRDefault="00260E3E" w:rsidP="005D4D2B">
      <w:r>
        <w:rPr>
          <w:noProof/>
        </w:rPr>
        <w:lastRenderedPageBreak/>
        <w:drawing>
          <wp:inline distT="0" distB="0" distL="0" distR="0" wp14:anchorId="2BFE8288" wp14:editId="0861E7BA">
            <wp:extent cx="1666875" cy="1666875"/>
            <wp:effectExtent l="0" t="0" r="0" b="0"/>
            <wp:docPr id="10761998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6875" cy="1666875"/>
                    </a:xfrm>
                    <a:prstGeom prst="rect">
                      <a:avLst/>
                    </a:prstGeom>
                    <a:noFill/>
                  </pic:spPr>
                </pic:pic>
              </a:graphicData>
            </a:graphic>
          </wp:inline>
        </w:drawing>
      </w:r>
      <w:r w:rsidR="001C09A4" w:rsidRPr="00236572">
        <w:rPr>
          <w:noProof/>
          <w:sz w:val="16"/>
          <w:szCs w:val="16"/>
        </w:rPr>
        <w:pict w14:anchorId="400A0D2F">
          <v:shape id="_x0000_s2050" type="#_x0000_t202" style="position:absolute;margin-left:-24pt;margin-top:11.35pt;width:816pt;height:378.75pt;z-index:251659776;visibility:visible;mso-wrap-distance-left:9pt;mso-wrap-distance-top:3.6pt;mso-wrap-distance-right:9pt;mso-wrap-distance-bottom:3.6pt;mso-position-horizontal:absolute;mso-position-horizontal-relative:text;mso-position-vertical:absolute;mso-position-vertical-relative:text;mso-width-relative:margin;mso-height-relative:margin;v-text-anchor:top" fillcolor="white [3201]" strokecolor="#45b0e1 [1940]" strokeweight="1pt">
            <v:fill color2="#83caeb [1300]" focusposition="1" focussize="" focus="100%" type="gradient"/>
            <v:shadow on="t" type="perspective" color="#0a2f40 [1604]" opacity=".5" offset="1pt" offset2="-3pt"/>
            <v:textbox>
              <w:txbxContent>
                <w:p w14:paraId="284B51C9" w14:textId="5ED450CA" w:rsidR="002F1D04" w:rsidRPr="00B06284" w:rsidRDefault="002F1D04">
                  <w:pPr>
                    <w:rPr>
                      <w:b/>
                      <w:bCs/>
                      <w:sz w:val="20"/>
                      <w:szCs w:val="20"/>
                      <w:u w:val="single"/>
                    </w:rPr>
                  </w:pPr>
                  <w:r w:rsidRPr="00B06284">
                    <w:rPr>
                      <w:b/>
                      <w:bCs/>
                      <w:sz w:val="20"/>
                      <w:szCs w:val="20"/>
                      <w:u w:val="single"/>
                    </w:rPr>
                    <w:t>Health</w:t>
                  </w:r>
                </w:p>
                <w:p w14:paraId="0A16A44C" w14:textId="7DFBC1CD" w:rsidR="00AD17C2" w:rsidRPr="00B06284" w:rsidRDefault="00AD17C2" w:rsidP="00AD17C2">
                  <w:pPr>
                    <w:rPr>
                      <w:sz w:val="20"/>
                      <w:szCs w:val="20"/>
                    </w:rPr>
                  </w:pPr>
                  <w:r w:rsidRPr="00B06284">
                    <w:rPr>
                      <w:sz w:val="20"/>
                      <w:szCs w:val="20"/>
                    </w:rPr>
                    <w:t xml:space="preserve">The concept of health in the early years of a child's life is a multifaceted and complex topic that encompasses physical, mental, emotional, and social well-being. Health is not merely the absence of disease, but rather an evolving human resource that helps children adapt to life's challenges, resist infections, cope with adversity, and interact with their surroundings in a way that promotes successful development (Yoshikawa, 2010). According to Harris (2010) The World Health Organization's (WHO) 1948 definition of health as "a state of complete physical, mental and social well-being and not merely the absence of disease or infirmity" has been expanded over the years to consider health in the broader context of its contribution to social development. However, Huber, </w:t>
                  </w:r>
                  <w:r w:rsidRPr="00B06284">
                    <w:rPr>
                      <w:i/>
                      <w:iCs/>
                      <w:sz w:val="20"/>
                      <w:szCs w:val="20"/>
                    </w:rPr>
                    <w:t>et, al</w:t>
                  </w:r>
                  <w:r w:rsidRPr="00B06284">
                    <w:rPr>
                      <w:sz w:val="20"/>
                      <w:szCs w:val="20"/>
                    </w:rPr>
                    <w:t xml:space="preserve"> (2011) states that this definition recognizes that health is not just about the physical body, but also includes the mental and social aspects of an individual's life.</w:t>
                  </w:r>
                </w:p>
                <w:p w14:paraId="0617F107" w14:textId="44CF66E2" w:rsidR="00AD17C2" w:rsidRPr="00B06284" w:rsidRDefault="00AD17C2" w:rsidP="00AD17C2">
                  <w:pPr>
                    <w:rPr>
                      <w:sz w:val="20"/>
                      <w:szCs w:val="20"/>
                    </w:rPr>
                  </w:pPr>
                  <w:r w:rsidRPr="00B06284">
                    <w:rPr>
                      <w:sz w:val="20"/>
                      <w:szCs w:val="20"/>
                    </w:rPr>
                    <w:t xml:space="preserve">According to Yoshikawa (2010) the foundations of lifelong health are built in early childhood, as adverse events or experiences that occur during the prenatal period and earliest years of life can have lasting consequences for both physical and mental well-being. </w:t>
                  </w:r>
                </w:p>
                <w:p w14:paraId="4502FF0E" w14:textId="3B16FABE" w:rsidR="00AF5B01" w:rsidRPr="00B06284" w:rsidRDefault="00AD17C2" w:rsidP="00AF5B01">
                  <w:pPr>
                    <w:rPr>
                      <w:sz w:val="20"/>
                      <w:szCs w:val="20"/>
                    </w:rPr>
                  </w:pPr>
                  <w:r w:rsidRPr="00B06284">
                    <w:rPr>
                      <w:sz w:val="20"/>
                      <w:szCs w:val="20"/>
                    </w:rPr>
                    <w:t>Young children often see health as a positive, enabling concept unassociated with illness, while older children begin to associate health and illness, though still viewing health as long-term and sickness as short-term</w:t>
                  </w:r>
                  <w:r w:rsidR="001C09A4" w:rsidRPr="00B06284">
                    <w:rPr>
                      <w:sz w:val="20"/>
                      <w:szCs w:val="20"/>
                    </w:rPr>
                    <w:t xml:space="preserve"> </w:t>
                  </w:r>
                  <w:r w:rsidRPr="00B06284">
                    <w:rPr>
                      <w:sz w:val="20"/>
                      <w:szCs w:val="20"/>
                    </w:rPr>
                    <w:t>(Natapoff,1982)</w:t>
                  </w:r>
                  <w:r w:rsidR="001C09A4" w:rsidRPr="00B06284">
                    <w:rPr>
                      <w:sz w:val="20"/>
                      <w:szCs w:val="20"/>
                    </w:rPr>
                    <w:t xml:space="preserve">. </w:t>
                  </w:r>
                  <w:r w:rsidRPr="00B06284">
                    <w:rPr>
                      <w:sz w:val="20"/>
                      <w:szCs w:val="20"/>
                    </w:rPr>
                    <w:t xml:space="preserve"> This developmental progression in the understanding of health follows a pattern </w:t>
                  </w:r>
                  <w:proofErr w:type="gramStart"/>
                  <w:r w:rsidRPr="00B06284">
                    <w:rPr>
                      <w:sz w:val="20"/>
                      <w:szCs w:val="20"/>
                    </w:rPr>
                    <w:t>similar to</w:t>
                  </w:r>
                  <w:proofErr w:type="gramEnd"/>
                  <w:r w:rsidRPr="00B06284">
                    <w:rPr>
                      <w:sz w:val="20"/>
                      <w:szCs w:val="20"/>
                    </w:rPr>
                    <w:t xml:space="preserve"> that outlined by Piaget, where the ability to consider cause and effect, conserve ideas, reverse thinking, and formulate hypotheses matures with age and experience. (Fuson,1976)</w:t>
                  </w:r>
                  <w:r w:rsidR="000523EE" w:rsidRPr="00B06284">
                    <w:rPr>
                      <w:sz w:val="20"/>
                      <w:szCs w:val="20"/>
                    </w:rPr>
                    <w:t xml:space="preserve">. </w:t>
                  </w:r>
                  <w:r w:rsidR="00AF5B01" w:rsidRPr="00B06284">
                    <w:rPr>
                      <w:sz w:val="20"/>
                      <w:szCs w:val="20"/>
                    </w:rPr>
                    <w:t xml:space="preserve">Larsen &amp; Boody, </w:t>
                  </w:r>
                  <w:r w:rsidR="001C09A4" w:rsidRPr="00B06284">
                    <w:rPr>
                      <w:sz w:val="20"/>
                      <w:szCs w:val="20"/>
                    </w:rPr>
                    <w:t>(</w:t>
                  </w:r>
                  <w:r w:rsidR="00AF5B01" w:rsidRPr="00B06284">
                    <w:rPr>
                      <w:sz w:val="20"/>
                      <w:szCs w:val="20"/>
                    </w:rPr>
                    <w:t>1971)</w:t>
                  </w:r>
                  <w:r w:rsidR="001C09A4" w:rsidRPr="00B06284">
                    <w:rPr>
                      <w:sz w:val="20"/>
                      <w:szCs w:val="20"/>
                    </w:rPr>
                    <w:t xml:space="preserve"> </w:t>
                  </w:r>
                  <w:r w:rsidR="00AF5B01" w:rsidRPr="00B06284">
                    <w:rPr>
                      <w:sz w:val="20"/>
                      <w:szCs w:val="20"/>
                    </w:rPr>
                    <w:t>mention that Piaget's developmental theory has long been a cornerstone in the field of child psychology, providing valuable insights into the cognitive, social, and emotional maturation of individuals across various stages of life. Central to Piaget's theory is the idea that children actively build their understanding of the world through a series of successive stages, with each stage marked by unique cognitive capacities and modes of engagement with their surroundings. Particularly relevant to the field of health and wellbeing is Piaget's conceptualization of the sensorimotor stage, which spans from birth to approximately 2 years of age (Sanghvi, 2020).</w:t>
                  </w:r>
                </w:p>
                <w:p w14:paraId="1218E951" w14:textId="55B0A97A" w:rsidR="001C09A4" w:rsidRPr="00B06284" w:rsidRDefault="001C09A4" w:rsidP="001C09A4">
                  <w:pPr>
                    <w:rPr>
                      <w:sz w:val="20"/>
                      <w:szCs w:val="20"/>
                    </w:rPr>
                  </w:pPr>
                  <w:r w:rsidRPr="00B06284">
                    <w:rPr>
                      <w:sz w:val="20"/>
                      <w:szCs w:val="20"/>
                    </w:rPr>
                    <w:t xml:space="preserve">According to </w:t>
                  </w:r>
                  <w:r w:rsidRPr="00B06284">
                    <w:rPr>
                      <w:sz w:val="20"/>
                      <w:szCs w:val="20"/>
                    </w:rPr>
                    <w:t>Welsh Government's</w:t>
                  </w:r>
                  <w:r w:rsidRPr="00B06284">
                    <w:rPr>
                      <w:sz w:val="20"/>
                      <w:szCs w:val="20"/>
                    </w:rPr>
                    <w:t xml:space="preserve"> (2021)</w:t>
                  </w:r>
                  <w:r w:rsidRPr="00B06284">
                    <w:rPr>
                      <w:sz w:val="20"/>
                      <w:szCs w:val="20"/>
                    </w:rPr>
                    <w:t xml:space="preserve"> commitment to ensur</w:t>
                  </w:r>
                  <w:r w:rsidRPr="00B06284">
                    <w:rPr>
                      <w:sz w:val="20"/>
                      <w:szCs w:val="20"/>
                    </w:rPr>
                    <w:t>e</w:t>
                  </w:r>
                  <w:r w:rsidRPr="00B06284">
                    <w:rPr>
                      <w:sz w:val="20"/>
                      <w:szCs w:val="20"/>
                    </w:rPr>
                    <w:t xml:space="preserve"> the well-being and healthy development of </w:t>
                  </w:r>
                  <w:r w:rsidRPr="00B06284">
                    <w:rPr>
                      <w:sz w:val="20"/>
                      <w:szCs w:val="20"/>
                    </w:rPr>
                    <w:t>early years</w:t>
                  </w:r>
                  <w:r w:rsidRPr="00B06284">
                    <w:rPr>
                      <w:sz w:val="20"/>
                      <w:szCs w:val="20"/>
                    </w:rPr>
                    <w:t xml:space="preserve"> is exemplified through a robust portfolio of early years’ health schemes and </w:t>
                  </w:r>
                  <w:r w:rsidRPr="00B06284">
                    <w:rPr>
                      <w:sz w:val="20"/>
                      <w:szCs w:val="20"/>
                    </w:rPr>
                    <w:t xml:space="preserve">interventions. </w:t>
                  </w:r>
                  <w:r w:rsidRPr="00B06284">
                    <w:rPr>
                      <w:sz w:val="20"/>
                      <w:szCs w:val="20"/>
                    </w:rPr>
                    <w:t xml:space="preserve"> Sawyer, </w:t>
                  </w:r>
                  <w:proofErr w:type="spellStart"/>
                  <w:r w:rsidRPr="00B06284">
                    <w:rPr>
                      <w:sz w:val="20"/>
                      <w:szCs w:val="20"/>
                    </w:rPr>
                    <w:t>Raniti</w:t>
                  </w:r>
                  <w:proofErr w:type="spellEnd"/>
                  <w:r w:rsidRPr="00B06284">
                    <w:rPr>
                      <w:sz w:val="20"/>
                      <w:szCs w:val="20"/>
                    </w:rPr>
                    <w:t xml:space="preserve"> </w:t>
                  </w:r>
                  <w:r w:rsidRPr="00B06284">
                    <w:rPr>
                      <w:sz w:val="20"/>
                      <w:szCs w:val="20"/>
                    </w:rPr>
                    <w:t xml:space="preserve">and </w:t>
                  </w:r>
                  <w:r w:rsidRPr="00B06284">
                    <w:rPr>
                      <w:sz w:val="20"/>
                      <w:szCs w:val="20"/>
                    </w:rPr>
                    <w:t>Aston (</w:t>
                  </w:r>
                  <w:r w:rsidRPr="00B06284">
                    <w:rPr>
                      <w:sz w:val="20"/>
                      <w:szCs w:val="20"/>
                    </w:rPr>
                    <w:t>2021)</w:t>
                  </w:r>
                  <w:r w:rsidRPr="00B06284">
                    <w:rPr>
                      <w:sz w:val="20"/>
                      <w:szCs w:val="20"/>
                    </w:rPr>
                    <w:t xml:space="preserve"> mentions that t</w:t>
                  </w:r>
                  <w:r w:rsidRPr="00B06284">
                    <w:rPr>
                      <w:sz w:val="20"/>
                      <w:szCs w:val="20"/>
                    </w:rPr>
                    <w:t xml:space="preserve">he </w:t>
                  </w:r>
                  <w:r w:rsidRPr="00B06284">
                    <w:rPr>
                      <w:sz w:val="20"/>
                      <w:szCs w:val="20"/>
                    </w:rPr>
                    <w:t>c</w:t>
                  </w:r>
                  <w:r w:rsidRPr="00B06284">
                    <w:rPr>
                      <w:sz w:val="20"/>
                      <w:szCs w:val="20"/>
                    </w:rPr>
                    <w:t xml:space="preserve">hildhood </w:t>
                  </w:r>
                  <w:r w:rsidRPr="00B06284">
                    <w:rPr>
                      <w:sz w:val="20"/>
                      <w:szCs w:val="20"/>
                    </w:rPr>
                    <w:t>d</w:t>
                  </w:r>
                  <w:r w:rsidRPr="00B06284">
                    <w:rPr>
                      <w:sz w:val="20"/>
                      <w:szCs w:val="20"/>
                    </w:rPr>
                    <w:t xml:space="preserve">evelopment </w:t>
                  </w:r>
                  <w:r w:rsidRPr="00B06284">
                    <w:rPr>
                      <w:sz w:val="20"/>
                      <w:szCs w:val="20"/>
                    </w:rPr>
                    <w:t>i</w:t>
                  </w:r>
                  <w:r w:rsidRPr="00B06284">
                    <w:rPr>
                      <w:sz w:val="20"/>
                      <w:szCs w:val="20"/>
                    </w:rPr>
                    <w:t xml:space="preserve">nitiative's </w:t>
                  </w:r>
                  <w:r w:rsidRPr="00B06284">
                    <w:rPr>
                      <w:sz w:val="20"/>
                      <w:szCs w:val="20"/>
                    </w:rPr>
                    <w:t>h</w:t>
                  </w:r>
                  <w:r w:rsidRPr="00B06284">
                    <w:rPr>
                      <w:sz w:val="20"/>
                      <w:szCs w:val="20"/>
                    </w:rPr>
                    <w:t xml:space="preserve">ealthy </w:t>
                  </w:r>
                  <w:r w:rsidRPr="00B06284">
                    <w:rPr>
                      <w:sz w:val="20"/>
                      <w:szCs w:val="20"/>
                    </w:rPr>
                    <w:t>s</w:t>
                  </w:r>
                  <w:r w:rsidRPr="00B06284">
                    <w:rPr>
                      <w:sz w:val="20"/>
                      <w:szCs w:val="20"/>
                    </w:rPr>
                    <w:t xml:space="preserve">chools </w:t>
                  </w:r>
                  <w:r w:rsidRPr="00B06284">
                    <w:rPr>
                      <w:sz w:val="20"/>
                      <w:szCs w:val="20"/>
                    </w:rPr>
                    <w:t>p</w:t>
                  </w:r>
                  <w:r w:rsidRPr="00B06284">
                    <w:rPr>
                      <w:sz w:val="20"/>
                      <w:szCs w:val="20"/>
                    </w:rPr>
                    <w:t xml:space="preserve">rogramme, a manualised initiative based on the World Health Organization's model for a health-promoting school, seeks to holistically address the health and well-being of primary school children.  Mooney, </w:t>
                  </w:r>
                  <w:r w:rsidRPr="00B06284">
                    <w:rPr>
                      <w:i/>
                      <w:iCs/>
                      <w:sz w:val="20"/>
                      <w:szCs w:val="20"/>
                    </w:rPr>
                    <w:t>et al</w:t>
                  </w:r>
                  <w:r w:rsidRPr="00B06284">
                    <w:rPr>
                      <w:sz w:val="20"/>
                      <w:szCs w:val="20"/>
                    </w:rPr>
                    <w:t xml:space="preserve">., </w:t>
                  </w:r>
                  <w:r w:rsidRPr="00B06284">
                    <w:rPr>
                      <w:sz w:val="20"/>
                      <w:szCs w:val="20"/>
                    </w:rPr>
                    <w:t>(</w:t>
                  </w:r>
                  <w:r w:rsidRPr="00B06284">
                    <w:rPr>
                      <w:sz w:val="20"/>
                      <w:szCs w:val="20"/>
                    </w:rPr>
                    <w:t>2008)</w:t>
                  </w:r>
                  <w:r w:rsidRPr="00B06284">
                    <w:rPr>
                      <w:sz w:val="20"/>
                      <w:szCs w:val="20"/>
                    </w:rPr>
                    <w:t xml:space="preserve"> states that t</w:t>
                  </w:r>
                  <w:r w:rsidRPr="00B06284">
                    <w:rPr>
                      <w:sz w:val="20"/>
                      <w:szCs w:val="20"/>
                    </w:rPr>
                    <w:t>his comprehensive approach includes integrating health concepts into the formal curriculum, fostering a safe and nurturing school environment, providing appropriate health services, and actively engaging families and the wider community.  Recognizing the crucial role of early childhood in laying the foundation for lifelong health, these programs have expanded their reach to include early years settings, such as nurseries and childcare facilities.</w:t>
                  </w:r>
                </w:p>
                <w:p w14:paraId="7AE25C02" w14:textId="50389106" w:rsidR="001C09A4" w:rsidRPr="00B06284" w:rsidRDefault="00D514C6" w:rsidP="00AF5B01">
                  <w:pPr>
                    <w:rPr>
                      <w:sz w:val="20"/>
                      <w:szCs w:val="20"/>
                    </w:rPr>
                  </w:pPr>
                  <w:r w:rsidRPr="00B06284">
                    <w:rPr>
                      <w:sz w:val="20"/>
                      <w:szCs w:val="20"/>
                    </w:rPr>
                    <w:t>According to Musgrave (2017</w:t>
                  </w:r>
                  <w:r w:rsidR="00005011" w:rsidRPr="00B06284">
                    <w:rPr>
                      <w:sz w:val="20"/>
                      <w:szCs w:val="20"/>
                    </w:rPr>
                    <w:t>a</w:t>
                  </w:r>
                  <w:r w:rsidR="009A76C3" w:rsidRPr="00B06284">
                    <w:rPr>
                      <w:sz w:val="20"/>
                      <w:szCs w:val="20"/>
                    </w:rPr>
                    <w:t>, p. 5</w:t>
                  </w:r>
                  <w:r w:rsidRPr="00B06284">
                    <w:rPr>
                      <w:sz w:val="20"/>
                      <w:szCs w:val="20"/>
                    </w:rPr>
                    <w:t>), Bronfenbrenner's ecological systems theory (1979) is a valuable framework for examining the impact of various contexts on the health of children. In McDowall Clark's (2013</w:t>
                  </w:r>
                  <w:r w:rsidR="007B5CC5" w:rsidRPr="00B06284">
                    <w:rPr>
                      <w:sz w:val="20"/>
                      <w:szCs w:val="20"/>
                    </w:rPr>
                    <w:t xml:space="preserve">, </w:t>
                  </w:r>
                  <w:r w:rsidR="000970E2" w:rsidRPr="00B06284">
                    <w:rPr>
                      <w:sz w:val="20"/>
                      <w:szCs w:val="20"/>
                    </w:rPr>
                    <w:t>quoted in Musgrave</w:t>
                  </w:r>
                  <w:r w:rsidR="00A1659D" w:rsidRPr="00B06284">
                    <w:rPr>
                      <w:sz w:val="20"/>
                      <w:szCs w:val="20"/>
                    </w:rPr>
                    <w:t>, 2017, p. 5</w:t>
                  </w:r>
                  <w:r w:rsidRPr="00B06284">
                    <w:rPr>
                      <w:sz w:val="20"/>
                      <w:szCs w:val="20"/>
                    </w:rPr>
                    <w:t>) study on the application of Bronfenbrenner's systems theory to early childhood development, it is emphasized that children concurrently exist within two distinct microsystems: their home environment and their early years setting.</w:t>
                  </w:r>
                </w:p>
                <w:p w14:paraId="7809B123" w14:textId="77777777" w:rsidR="001C09A4" w:rsidRPr="00AF5B01" w:rsidRDefault="001C09A4" w:rsidP="00AF5B01">
                  <w:pPr>
                    <w:rPr>
                      <w:sz w:val="20"/>
                      <w:szCs w:val="20"/>
                    </w:rPr>
                  </w:pPr>
                </w:p>
                <w:p w14:paraId="45B49D04" w14:textId="1EFFA4FD" w:rsidR="002F1D04" w:rsidRPr="000523EE" w:rsidRDefault="002F1D04" w:rsidP="00AD17C2">
                  <w:pPr>
                    <w:rPr>
                      <w:sz w:val="20"/>
                      <w:szCs w:val="20"/>
                    </w:rPr>
                  </w:pPr>
                </w:p>
              </w:txbxContent>
            </v:textbox>
            <w10:wrap type="square"/>
          </v:shape>
        </w:pict>
      </w:r>
      <w:r w:rsidRPr="00236572">
        <w:rPr>
          <w:sz w:val="16"/>
          <w:szCs w:val="16"/>
        </w:rPr>
        <w:t>S</w:t>
      </w:r>
      <w:r w:rsidR="00E92BB1" w:rsidRPr="00236572">
        <w:rPr>
          <w:sz w:val="16"/>
          <w:szCs w:val="16"/>
        </w:rPr>
        <w:t xml:space="preserve">ource: Simple </w:t>
      </w:r>
      <w:r w:rsidR="00236572" w:rsidRPr="00236572">
        <w:rPr>
          <w:sz w:val="16"/>
          <w:szCs w:val="16"/>
        </w:rPr>
        <w:t>psychology</w:t>
      </w:r>
    </w:p>
    <w:p w14:paraId="1F875BC7" w14:textId="4DB99BF2" w:rsidR="00E84416" w:rsidRPr="001C09A4" w:rsidRDefault="00D10E19" w:rsidP="005D4D2B">
      <w:r>
        <w:rPr>
          <w:noProof/>
        </w:rPr>
        <w:lastRenderedPageBreak/>
        <w:pict w14:anchorId="3BD4B987">
          <v:shape id="_x0000_s2057" type="#_x0000_t202" style="position:absolute;margin-left:383.55pt;margin-top:7.6pt;width:421.55pt;height:446.25pt;z-index:251663872;visibility:visible;mso-wrap-distance-left:9pt;mso-wrap-distance-top:3.6pt;mso-wrap-distance-right:9pt;mso-wrap-distance-bottom:3.6pt;mso-position-horizontal-relative:text;mso-position-vertical-relative:text;mso-width-relative:margin;mso-height-relative:margin;v-text-anchor:top" fillcolor="white [3201]" strokecolor="#d86dcb [1944]" strokeweight="1pt">
            <v:fill color2="#e59edc [1304]" focusposition="1" focussize="" focus="100%" type="gradient"/>
            <v:shadow on="t" type="perspective" color="#4f1548 [1608]" opacity=".5" offset="1pt" offset2="-3pt"/>
            <v:textbox>
              <w:txbxContent>
                <w:p w14:paraId="44E5E560" w14:textId="58A14D3D" w:rsidR="00F53DCF" w:rsidRDefault="002D1B21">
                  <w:pPr>
                    <w:rPr>
                      <w:b/>
                      <w:bCs/>
                      <w:sz w:val="20"/>
                      <w:szCs w:val="20"/>
                      <w:u w:val="single"/>
                    </w:rPr>
                  </w:pPr>
                  <w:r w:rsidRPr="002D1B21">
                    <w:rPr>
                      <w:b/>
                      <w:bCs/>
                      <w:sz w:val="20"/>
                      <w:szCs w:val="20"/>
                      <w:u w:val="single"/>
                    </w:rPr>
                    <w:t>Role of the Practitioner</w:t>
                  </w:r>
                </w:p>
                <w:p w14:paraId="6A4146D3" w14:textId="77777777" w:rsidR="009D6BCF" w:rsidRDefault="00EC01AE" w:rsidP="009D6BCF">
                  <w:pPr>
                    <w:rPr>
                      <w:sz w:val="20"/>
                      <w:szCs w:val="20"/>
                    </w:rPr>
                  </w:pPr>
                  <w:r>
                    <w:rPr>
                      <w:sz w:val="20"/>
                      <w:szCs w:val="20"/>
                    </w:rPr>
                    <w:t xml:space="preserve">Hallet, (2013) </w:t>
                  </w:r>
                  <w:r w:rsidR="00371553">
                    <w:rPr>
                      <w:sz w:val="20"/>
                      <w:szCs w:val="20"/>
                    </w:rPr>
                    <w:t>states the p</w:t>
                  </w:r>
                  <w:r w:rsidRPr="00EC01AE">
                    <w:rPr>
                      <w:sz w:val="20"/>
                      <w:szCs w:val="20"/>
                    </w:rPr>
                    <w:t>ractitioners in the early years sector play a crucial role in shaping the experiences and development of young children</w:t>
                  </w:r>
                  <w:r w:rsidR="00371553">
                    <w:rPr>
                      <w:sz w:val="20"/>
                      <w:szCs w:val="20"/>
                    </w:rPr>
                    <w:t>.</w:t>
                  </w:r>
                  <w:r w:rsidR="0071376F">
                    <w:rPr>
                      <w:sz w:val="20"/>
                      <w:szCs w:val="20"/>
                    </w:rPr>
                    <w:t xml:space="preserve"> </w:t>
                  </w:r>
                  <w:r w:rsidR="0071376F" w:rsidRPr="0071376F">
                    <w:rPr>
                      <w:sz w:val="20"/>
                      <w:szCs w:val="20"/>
                    </w:rPr>
                    <w:t xml:space="preserve">Their leadership and collaborative approach within settings enable them to lead change in pedagogy and improve professional practice.  The importance of the </w:t>
                  </w:r>
                  <w:r w:rsidR="0071376F">
                    <w:rPr>
                      <w:sz w:val="20"/>
                      <w:szCs w:val="20"/>
                    </w:rPr>
                    <w:t>practitioner</w:t>
                  </w:r>
                  <w:r w:rsidR="0071376F" w:rsidRPr="0071376F">
                    <w:rPr>
                      <w:sz w:val="20"/>
                      <w:szCs w:val="20"/>
                    </w:rPr>
                    <w:t xml:space="preserve"> in early childhood settings has been increasingly recognized, although the specific nature of the role and the expectations placed upon it have remained unclear.</w:t>
                  </w:r>
                  <w:r w:rsidR="0071376F">
                    <w:rPr>
                      <w:sz w:val="20"/>
                      <w:szCs w:val="20"/>
                    </w:rPr>
                    <w:t xml:space="preserve"> </w:t>
                  </w:r>
                  <w:r w:rsidR="0071376F" w:rsidRPr="0071376F">
                    <w:rPr>
                      <w:sz w:val="20"/>
                      <w:szCs w:val="20"/>
                    </w:rPr>
                    <w:t>(Fleet,</w:t>
                  </w:r>
                  <w:r w:rsidR="0071376F">
                    <w:rPr>
                      <w:sz w:val="20"/>
                      <w:szCs w:val="20"/>
                    </w:rPr>
                    <w:t xml:space="preserve"> </w:t>
                  </w:r>
                  <w:r w:rsidR="0071376F" w:rsidRPr="0071376F">
                    <w:rPr>
                      <w:i/>
                      <w:iCs/>
                      <w:sz w:val="20"/>
                      <w:szCs w:val="20"/>
                    </w:rPr>
                    <w:t>et al</w:t>
                  </w:r>
                  <w:r w:rsidR="0071376F" w:rsidRPr="0071376F">
                    <w:rPr>
                      <w:sz w:val="20"/>
                      <w:szCs w:val="20"/>
                    </w:rPr>
                    <w:t>., 2015).</w:t>
                  </w:r>
                  <w:r w:rsidR="0071376F">
                    <w:rPr>
                      <w:sz w:val="20"/>
                      <w:szCs w:val="20"/>
                    </w:rPr>
                    <w:t xml:space="preserve"> </w:t>
                  </w:r>
                  <w:r w:rsidR="00117EDE">
                    <w:rPr>
                      <w:sz w:val="20"/>
                      <w:szCs w:val="20"/>
                    </w:rPr>
                    <w:t xml:space="preserve"> </w:t>
                  </w:r>
                </w:p>
                <w:p w14:paraId="44A950B2" w14:textId="456DF753" w:rsidR="00117EDE" w:rsidRDefault="009D6BCF" w:rsidP="009D6BCF">
                  <w:pPr>
                    <w:rPr>
                      <w:sz w:val="20"/>
                      <w:szCs w:val="20"/>
                    </w:rPr>
                  </w:pPr>
                  <w:r w:rsidRPr="009D6BCF">
                    <w:rPr>
                      <w:sz w:val="20"/>
                      <w:szCs w:val="20"/>
                    </w:rPr>
                    <w:t xml:space="preserve">Practitioners in </w:t>
                  </w:r>
                  <w:r>
                    <w:rPr>
                      <w:sz w:val="20"/>
                      <w:szCs w:val="20"/>
                    </w:rPr>
                    <w:t>early years</w:t>
                  </w:r>
                  <w:r w:rsidRPr="009D6BCF">
                    <w:rPr>
                      <w:sz w:val="20"/>
                      <w:szCs w:val="20"/>
                    </w:rPr>
                    <w:t xml:space="preserve"> are responsible for creating a nurturing and enriching environment that fosters children's learning and growth. They must possess a deep understanding of child development, effective teaching strategies, and the ability to collaborate with families and other professionals. Practitioners play a crucial role in shaping the early years of a child's life, as they are responsible for providing a stimulating and supportive environment that enables young learners to </w:t>
                  </w:r>
                  <w:r w:rsidRPr="009D6BCF">
                    <w:rPr>
                      <w:sz w:val="20"/>
                      <w:szCs w:val="20"/>
                    </w:rPr>
                    <w:t>thrive.</w:t>
                  </w:r>
                  <w:r w:rsidRPr="009D6BCF">
                    <w:rPr>
                      <w:sz w:val="20"/>
                      <w:szCs w:val="20"/>
                    </w:rPr>
                    <w:t xml:space="preserve"> By employing a range of teaching methods and engaging in meaningful interactions with children, practitioners can cultivate a love of learning and help children develop essential cognitive, social, and emotional skills (</w:t>
                  </w:r>
                  <w:proofErr w:type="spellStart"/>
                  <w:proofErr w:type="gramStart"/>
                  <w:r w:rsidRPr="009D6BCF">
                    <w:rPr>
                      <w:sz w:val="20"/>
                      <w:szCs w:val="20"/>
                    </w:rPr>
                    <w:t>Allen,et</w:t>
                  </w:r>
                  <w:proofErr w:type="spellEnd"/>
                  <w:r w:rsidRPr="009D6BCF">
                    <w:rPr>
                      <w:sz w:val="20"/>
                      <w:szCs w:val="20"/>
                    </w:rPr>
                    <w:t xml:space="preserve"> al.</w:t>
                  </w:r>
                  <w:proofErr w:type="gramEnd"/>
                  <w:r w:rsidRPr="009D6BCF">
                    <w:rPr>
                      <w:sz w:val="20"/>
                      <w:szCs w:val="20"/>
                    </w:rPr>
                    <w:t>, 2015)</w:t>
                  </w:r>
                  <w:r w:rsidR="00FC1859">
                    <w:rPr>
                      <w:sz w:val="20"/>
                      <w:szCs w:val="20"/>
                    </w:rPr>
                    <w:t>.</w:t>
                  </w:r>
                </w:p>
                <w:p w14:paraId="130C0482" w14:textId="66CA8241" w:rsidR="00CF6DF6" w:rsidRDefault="00CF6DF6" w:rsidP="009D6BCF">
                  <w:pPr>
                    <w:rPr>
                      <w:sz w:val="20"/>
                      <w:szCs w:val="20"/>
                    </w:rPr>
                  </w:pPr>
                  <w:r w:rsidRPr="0032240B">
                    <w:rPr>
                      <w:sz w:val="20"/>
                      <w:szCs w:val="20"/>
                    </w:rPr>
                    <w:t>Bain</w:t>
                  </w:r>
                  <w:r w:rsidR="009274FF" w:rsidRPr="0032240B">
                    <w:rPr>
                      <w:sz w:val="20"/>
                      <w:szCs w:val="20"/>
                    </w:rPr>
                    <w:t xml:space="preserve"> </w:t>
                  </w:r>
                  <w:r w:rsidR="009274FF">
                    <w:rPr>
                      <w:i/>
                      <w:iCs/>
                      <w:sz w:val="20"/>
                      <w:szCs w:val="20"/>
                    </w:rPr>
                    <w:t>et al.</w:t>
                  </w:r>
                  <w:r w:rsidR="009274FF">
                    <w:rPr>
                      <w:sz w:val="20"/>
                      <w:szCs w:val="20"/>
                    </w:rPr>
                    <w:t xml:space="preserve"> (2015) states that the</w:t>
                  </w:r>
                  <w:r w:rsidRPr="00CF6DF6">
                    <w:rPr>
                      <w:sz w:val="20"/>
                      <w:szCs w:val="20"/>
                    </w:rPr>
                    <w:t xml:space="preserve"> role of the practitioner in supporting the holistic development of children is a multifaceted one, as they are uniquely positioned to design and facilitate learning environments that cater to the diverse needs and perspectives of young learners.</w:t>
                  </w:r>
                </w:p>
                <w:p w14:paraId="56BE2A6B" w14:textId="1CD101F5" w:rsidR="00616BC4" w:rsidRDefault="00616BC4" w:rsidP="009D6BCF">
                  <w:pPr>
                    <w:rPr>
                      <w:sz w:val="20"/>
                      <w:szCs w:val="20"/>
                    </w:rPr>
                  </w:pPr>
                  <w:r w:rsidRPr="00616BC4">
                    <w:rPr>
                      <w:sz w:val="20"/>
                      <w:szCs w:val="20"/>
                    </w:rPr>
                    <w:t>Musgrave (2017</w:t>
                  </w:r>
                  <w:r w:rsidR="000A3070">
                    <w:rPr>
                      <w:sz w:val="20"/>
                      <w:szCs w:val="20"/>
                    </w:rPr>
                    <w:t>, p.</w:t>
                  </w:r>
                  <w:r w:rsidR="00F26F0F">
                    <w:rPr>
                      <w:sz w:val="20"/>
                      <w:szCs w:val="20"/>
                    </w:rPr>
                    <w:t>71</w:t>
                  </w:r>
                  <w:r w:rsidRPr="00616BC4">
                    <w:rPr>
                      <w:sz w:val="20"/>
                      <w:szCs w:val="20"/>
                    </w:rPr>
                    <w:t>) suggests that practitioners can enhance a child's well-being by facilitating outdoor play and enabling them to explore and express creativity within a secure setting, as well as by permitting them to take risks without apprehension of consequences. This approach aligns with the principles outlined in Article 31 of the United Nations Conventions on the Rights of the Child (UNCRC), which stipulates that all children possess the entitlement to leisure, rest, and unrestricted engagement in play</w:t>
                  </w:r>
                  <w:r>
                    <w:rPr>
                      <w:sz w:val="20"/>
                      <w:szCs w:val="20"/>
                    </w:rPr>
                    <w:t xml:space="preserve">. </w:t>
                  </w:r>
                  <w:r w:rsidRPr="00616BC4">
                    <w:rPr>
                      <w:sz w:val="20"/>
                      <w:szCs w:val="20"/>
                    </w:rPr>
                    <w:t xml:space="preserve"> (UNICEF, 2021).</w:t>
                  </w:r>
                  <w:r w:rsidR="00A6285D" w:rsidRPr="00A6285D">
                    <w:t xml:space="preserve"> </w:t>
                  </w:r>
                </w:p>
                <w:p w14:paraId="3020F37D" w14:textId="5B848361" w:rsidR="00FC1859" w:rsidRPr="00117EDE" w:rsidRDefault="00D44D2F" w:rsidP="009D6BCF">
                  <w:pPr>
                    <w:rPr>
                      <w:sz w:val="20"/>
                      <w:szCs w:val="20"/>
                    </w:rPr>
                  </w:pPr>
                  <w:r w:rsidRPr="00D44D2F">
                    <w:rPr>
                      <w:sz w:val="20"/>
                      <w:szCs w:val="20"/>
                    </w:rPr>
                    <w:t>The Curriculum for Wales guidance is designed to assist individual schools in the development of their own curriculum, with the goal of facilitating learner progression towards the four overarching purposes of the curriculum</w:t>
                  </w:r>
                  <w:r w:rsidR="00EE2A84">
                    <w:rPr>
                      <w:sz w:val="20"/>
                      <w:szCs w:val="20"/>
                    </w:rPr>
                    <w:t xml:space="preserve"> which are</w:t>
                  </w:r>
                  <w:r w:rsidR="00EE2A84" w:rsidRPr="00EE2A84">
                    <w:t xml:space="preserve"> </w:t>
                  </w:r>
                  <w:r w:rsidR="00EE2A84" w:rsidRPr="00EE2A84">
                    <w:rPr>
                      <w:sz w:val="20"/>
                      <w:szCs w:val="20"/>
                    </w:rPr>
                    <w:t>ambitious, capable learners</w:t>
                  </w:r>
                  <w:r w:rsidR="00EE2A84">
                    <w:rPr>
                      <w:sz w:val="20"/>
                      <w:szCs w:val="20"/>
                    </w:rPr>
                    <w:t xml:space="preserve">, </w:t>
                  </w:r>
                  <w:r w:rsidR="002A7F23" w:rsidRPr="002A7F23">
                    <w:rPr>
                      <w:sz w:val="20"/>
                      <w:szCs w:val="20"/>
                    </w:rPr>
                    <w:t>enterprising, creative contributors</w:t>
                  </w:r>
                  <w:r w:rsidR="002A7F23">
                    <w:rPr>
                      <w:sz w:val="20"/>
                      <w:szCs w:val="20"/>
                    </w:rPr>
                    <w:t>,</w:t>
                  </w:r>
                  <w:r w:rsidR="002642EC" w:rsidRPr="002642EC">
                    <w:t xml:space="preserve"> </w:t>
                  </w:r>
                  <w:r w:rsidR="002642EC" w:rsidRPr="002642EC">
                    <w:rPr>
                      <w:sz w:val="20"/>
                      <w:szCs w:val="20"/>
                    </w:rPr>
                    <w:t>ethical, informed citizens</w:t>
                  </w:r>
                  <w:r w:rsidR="002642EC">
                    <w:rPr>
                      <w:sz w:val="20"/>
                      <w:szCs w:val="20"/>
                    </w:rPr>
                    <w:t xml:space="preserve"> and </w:t>
                  </w:r>
                  <w:r w:rsidR="004F63BA" w:rsidRPr="004F63BA">
                    <w:rPr>
                      <w:sz w:val="20"/>
                      <w:szCs w:val="20"/>
                    </w:rPr>
                    <w:t>healthy, confident individuals</w:t>
                  </w:r>
                  <w:r w:rsidRPr="00D44D2F">
                    <w:rPr>
                      <w:sz w:val="20"/>
                      <w:szCs w:val="20"/>
                    </w:rPr>
                    <w:t>. These purposes serve as the foundational principles and aspirations for every child and young person in Wales.</w:t>
                  </w:r>
                  <w:r w:rsidR="00CD565A">
                    <w:rPr>
                      <w:sz w:val="20"/>
                      <w:szCs w:val="20"/>
                    </w:rPr>
                    <w:t xml:space="preserve"> (Welsh</w:t>
                  </w:r>
                  <w:r w:rsidR="00627B31">
                    <w:rPr>
                      <w:sz w:val="20"/>
                      <w:szCs w:val="20"/>
                    </w:rPr>
                    <w:t xml:space="preserve"> </w:t>
                  </w:r>
                  <w:r w:rsidR="00834C40">
                    <w:rPr>
                      <w:sz w:val="20"/>
                      <w:szCs w:val="20"/>
                    </w:rPr>
                    <w:t>Government, 2022)</w:t>
                  </w:r>
                </w:p>
                <w:p w14:paraId="23D92491" w14:textId="2E898E1D" w:rsidR="002D1B21" w:rsidRPr="00EC01AE" w:rsidRDefault="002D1B21">
                  <w:pPr>
                    <w:rPr>
                      <w:sz w:val="20"/>
                      <w:szCs w:val="20"/>
                    </w:rPr>
                  </w:pPr>
                </w:p>
                <w:p w14:paraId="5756147D" w14:textId="77777777" w:rsidR="002D1B21" w:rsidRDefault="002D1B21"/>
              </w:txbxContent>
            </v:textbox>
            <w10:wrap type="square"/>
          </v:shape>
        </w:pict>
      </w:r>
      <w:r>
        <w:rPr>
          <w:noProof/>
        </w:rPr>
        <w:pict w14:anchorId="7733E875">
          <v:shape id="_x0000_s2055" type="#_x0000_t202" style="position:absolute;margin-left:-36pt;margin-top:6.85pt;width:416.25pt;height:486.2pt;z-index:251661824;visibility:visible;mso-wrap-distance-left:9pt;mso-wrap-distance-top:3.6pt;mso-wrap-distance-right:9pt;mso-wrap-distance-bottom:3.6pt;mso-position-horizontal-relative:text;mso-position-vertical-relative:text;mso-width-relative:margin;mso-height-relative:margin;v-text-anchor:top" fillcolor="white [3201]" strokecolor="#666 [1936]" strokeweight="1pt">
            <v:fill color2="#999 [1296]" focusposition="1" focussize="" focus="100%" type="gradient"/>
            <v:shadow on="t" type="perspective" color="#7f7f7f [1601]" opacity=".5" offset="1pt" offset2="-3pt"/>
            <v:textbox style="mso-next-textbox:#_x0000_s2055">
              <w:txbxContent>
                <w:p w14:paraId="2523281B" w14:textId="1D606E11" w:rsidR="00BC404E" w:rsidRPr="002D1B21" w:rsidRDefault="00BC404E">
                  <w:pPr>
                    <w:rPr>
                      <w:b/>
                      <w:bCs/>
                      <w:sz w:val="20"/>
                      <w:szCs w:val="20"/>
                      <w:u w:val="single"/>
                    </w:rPr>
                  </w:pPr>
                  <w:r w:rsidRPr="002D1B21">
                    <w:rPr>
                      <w:b/>
                      <w:bCs/>
                      <w:sz w:val="20"/>
                      <w:szCs w:val="20"/>
                      <w:u w:val="single"/>
                    </w:rPr>
                    <w:t>Lifes</w:t>
                  </w:r>
                  <w:r w:rsidR="008A1A46" w:rsidRPr="002D1B21">
                    <w:rPr>
                      <w:b/>
                      <w:bCs/>
                      <w:sz w:val="20"/>
                      <w:szCs w:val="20"/>
                      <w:u w:val="single"/>
                    </w:rPr>
                    <w:t>tyles</w:t>
                  </w:r>
                </w:p>
                <w:p w14:paraId="5AD85743" w14:textId="687C9B81" w:rsidR="00916AF7" w:rsidRPr="002D1B21" w:rsidRDefault="007458F6">
                  <w:pPr>
                    <w:rPr>
                      <w:sz w:val="20"/>
                      <w:szCs w:val="20"/>
                    </w:rPr>
                  </w:pPr>
                  <w:r w:rsidRPr="002D1B21">
                    <w:rPr>
                      <w:sz w:val="20"/>
                      <w:szCs w:val="20"/>
                    </w:rPr>
                    <w:t>According to</w:t>
                  </w:r>
                  <w:r w:rsidR="00916AF7" w:rsidRPr="002D1B21">
                    <w:rPr>
                      <w:sz w:val="20"/>
                      <w:szCs w:val="20"/>
                    </w:rPr>
                    <w:t xml:space="preserve"> </w:t>
                  </w:r>
                  <w:r w:rsidR="00E4650E" w:rsidRPr="002D1B21">
                    <w:rPr>
                      <w:sz w:val="20"/>
                      <w:szCs w:val="20"/>
                    </w:rPr>
                    <w:t xml:space="preserve">The World Health Organization (WHO) lifestyle as the way a person lives based on their living conditions, environmental influence, personal </w:t>
                  </w:r>
                  <w:r w:rsidR="00E4650E" w:rsidRPr="002D1B21">
                    <w:rPr>
                      <w:sz w:val="20"/>
                      <w:szCs w:val="20"/>
                    </w:rPr>
                    <w:t>behaviour</w:t>
                  </w:r>
                  <w:r w:rsidR="00E4650E" w:rsidRPr="002D1B21">
                    <w:rPr>
                      <w:sz w:val="20"/>
                      <w:szCs w:val="20"/>
                    </w:rPr>
                    <w:t>, and sociocultural aspects.</w:t>
                  </w:r>
                  <w:r w:rsidR="00E4650E" w:rsidRPr="002D1B21">
                    <w:rPr>
                      <w:sz w:val="20"/>
                      <w:szCs w:val="20"/>
                    </w:rPr>
                    <w:t xml:space="preserve"> </w:t>
                  </w:r>
                  <w:r w:rsidR="007558F8" w:rsidRPr="002D1B21">
                    <w:rPr>
                      <w:sz w:val="20"/>
                      <w:szCs w:val="20"/>
                    </w:rPr>
                    <w:t>Cambri</w:t>
                  </w:r>
                  <w:r w:rsidR="00A7188A" w:rsidRPr="002D1B21">
                    <w:rPr>
                      <w:sz w:val="20"/>
                      <w:szCs w:val="20"/>
                    </w:rPr>
                    <w:t xml:space="preserve">dge </w:t>
                  </w:r>
                  <w:r w:rsidR="00033B4C" w:rsidRPr="002D1B21">
                    <w:rPr>
                      <w:sz w:val="20"/>
                      <w:szCs w:val="20"/>
                    </w:rPr>
                    <w:t>dictionary (</w:t>
                  </w:r>
                  <w:r w:rsidR="00483720" w:rsidRPr="002D1B21">
                    <w:rPr>
                      <w:sz w:val="20"/>
                      <w:szCs w:val="20"/>
                    </w:rPr>
                    <w:t>2024)</w:t>
                  </w:r>
                  <w:r w:rsidR="009C2D42" w:rsidRPr="002D1B21">
                    <w:rPr>
                      <w:sz w:val="20"/>
                      <w:szCs w:val="20"/>
                    </w:rPr>
                    <w:t xml:space="preserve"> defines</w:t>
                  </w:r>
                  <w:r w:rsidR="003B7612" w:rsidRPr="002D1B21">
                    <w:rPr>
                      <w:sz w:val="20"/>
                      <w:szCs w:val="20"/>
                    </w:rPr>
                    <w:t xml:space="preserve"> lifestyles as </w:t>
                  </w:r>
                  <w:r w:rsidR="003B7612" w:rsidRPr="002D1B21">
                    <w:rPr>
                      <w:sz w:val="20"/>
                      <w:szCs w:val="20"/>
                    </w:rPr>
                    <w:t xml:space="preserve">someone's way of living; the things that a person or </w:t>
                  </w:r>
                  <w:r w:rsidR="00E16932" w:rsidRPr="002D1B21">
                    <w:rPr>
                      <w:sz w:val="20"/>
                      <w:szCs w:val="20"/>
                    </w:rPr>
                    <w:t>group</w:t>
                  </w:r>
                  <w:r w:rsidR="003B7612" w:rsidRPr="002D1B21">
                    <w:rPr>
                      <w:sz w:val="20"/>
                      <w:szCs w:val="20"/>
                    </w:rPr>
                    <w:t xml:space="preserve"> of people usually do.</w:t>
                  </w:r>
                  <w:r w:rsidR="00B92086" w:rsidRPr="002D1B21">
                    <w:rPr>
                      <w:sz w:val="20"/>
                      <w:szCs w:val="20"/>
                    </w:rPr>
                    <w:t xml:space="preserve"> </w:t>
                  </w:r>
                </w:p>
                <w:p w14:paraId="5FA87354" w14:textId="56A0DB1E" w:rsidR="00620DA8" w:rsidRPr="002D1B21" w:rsidRDefault="00620DA8">
                  <w:pPr>
                    <w:rPr>
                      <w:sz w:val="20"/>
                      <w:szCs w:val="20"/>
                    </w:rPr>
                  </w:pPr>
                  <w:r w:rsidRPr="002D1B21">
                    <w:rPr>
                      <w:sz w:val="20"/>
                      <w:szCs w:val="20"/>
                    </w:rPr>
                    <w:t>Apos</w:t>
                  </w:r>
                  <w:r w:rsidR="00530B9D" w:rsidRPr="002D1B21">
                    <w:rPr>
                      <w:sz w:val="20"/>
                      <w:szCs w:val="20"/>
                    </w:rPr>
                    <w:t xml:space="preserve">tu </w:t>
                  </w:r>
                  <w:r w:rsidR="00BB4BAF" w:rsidRPr="002D1B21">
                    <w:rPr>
                      <w:sz w:val="20"/>
                      <w:szCs w:val="20"/>
                    </w:rPr>
                    <w:t>(</w:t>
                  </w:r>
                  <w:r w:rsidR="00530B9D" w:rsidRPr="002D1B21">
                    <w:rPr>
                      <w:sz w:val="20"/>
                      <w:szCs w:val="20"/>
                    </w:rPr>
                    <w:t>2013)</w:t>
                  </w:r>
                  <w:r w:rsidR="002F1EAB" w:rsidRPr="002D1B21">
                    <w:rPr>
                      <w:sz w:val="20"/>
                      <w:szCs w:val="20"/>
                    </w:rPr>
                    <w:t xml:space="preserve"> </w:t>
                  </w:r>
                  <w:r w:rsidR="00187A56" w:rsidRPr="002D1B21">
                    <w:rPr>
                      <w:sz w:val="20"/>
                      <w:szCs w:val="20"/>
                    </w:rPr>
                    <w:t>believes that l</w:t>
                  </w:r>
                  <w:r w:rsidRPr="002D1B21">
                    <w:rPr>
                      <w:sz w:val="20"/>
                      <w:szCs w:val="20"/>
                    </w:rPr>
                    <w:t xml:space="preserve">ifestyles in the early years of an individual's life are crucial in shaping their development, values, and overall well-being.  Lifestyle refers to the way individuals live their everyday lives, encompassing a wide range of factors such as their habits, </w:t>
                  </w:r>
                  <w:r w:rsidRPr="002D1B21">
                    <w:rPr>
                      <w:sz w:val="20"/>
                      <w:szCs w:val="20"/>
                    </w:rPr>
                    <w:t>behaviours</w:t>
                  </w:r>
                  <w:r w:rsidRPr="002D1B21">
                    <w:rPr>
                      <w:sz w:val="20"/>
                      <w:szCs w:val="20"/>
                    </w:rPr>
                    <w:t xml:space="preserve">, and </w:t>
                  </w:r>
                  <w:r w:rsidRPr="002D1B21">
                    <w:rPr>
                      <w:sz w:val="20"/>
                      <w:szCs w:val="20"/>
                    </w:rPr>
                    <w:t xml:space="preserve">choices. </w:t>
                  </w:r>
                  <w:r w:rsidR="008C259F" w:rsidRPr="002D1B21">
                    <w:rPr>
                      <w:sz w:val="20"/>
                      <w:szCs w:val="20"/>
                    </w:rPr>
                    <w:t>Additionally,</w:t>
                  </w:r>
                  <w:r w:rsidR="003937F8" w:rsidRPr="002D1B21">
                    <w:rPr>
                      <w:sz w:val="20"/>
                      <w:szCs w:val="20"/>
                    </w:rPr>
                    <w:t xml:space="preserve"> </w:t>
                  </w:r>
                  <w:proofErr w:type="spellStart"/>
                  <w:r w:rsidR="003937F8" w:rsidRPr="002D1B21">
                    <w:rPr>
                      <w:sz w:val="20"/>
                      <w:szCs w:val="20"/>
                    </w:rPr>
                    <w:t>Farhud</w:t>
                  </w:r>
                  <w:proofErr w:type="spellEnd"/>
                  <w:r w:rsidR="003937F8" w:rsidRPr="002D1B21">
                    <w:rPr>
                      <w:sz w:val="20"/>
                      <w:szCs w:val="20"/>
                    </w:rPr>
                    <w:t xml:space="preserve"> (2015)</w:t>
                  </w:r>
                  <w:r w:rsidR="00805B81" w:rsidRPr="002D1B21">
                    <w:rPr>
                      <w:sz w:val="20"/>
                      <w:szCs w:val="20"/>
                    </w:rPr>
                    <w:t xml:space="preserve"> </w:t>
                  </w:r>
                  <w:r w:rsidR="008C259F" w:rsidRPr="002D1B21">
                    <w:rPr>
                      <w:sz w:val="20"/>
                      <w:szCs w:val="20"/>
                    </w:rPr>
                    <w:t>states that</w:t>
                  </w:r>
                  <w:r w:rsidR="003937F8" w:rsidRPr="002D1B21">
                    <w:rPr>
                      <w:sz w:val="20"/>
                      <w:szCs w:val="20"/>
                    </w:rPr>
                    <w:t xml:space="preserve"> </w:t>
                  </w:r>
                  <w:r w:rsidR="00353B5C" w:rsidRPr="002D1B21">
                    <w:rPr>
                      <w:sz w:val="20"/>
                      <w:szCs w:val="20"/>
                    </w:rPr>
                    <w:t>t</w:t>
                  </w:r>
                  <w:r w:rsidRPr="002D1B21">
                    <w:rPr>
                      <w:sz w:val="20"/>
                      <w:szCs w:val="20"/>
                    </w:rPr>
                    <w:t xml:space="preserve">hese lifestyle choices can have a significant impact on an individual's health and well-being, both in the short and long </w:t>
                  </w:r>
                  <w:r w:rsidRPr="002D1B21">
                    <w:rPr>
                      <w:sz w:val="20"/>
                      <w:szCs w:val="20"/>
                    </w:rPr>
                    <w:t>term.</w:t>
                  </w:r>
                </w:p>
                <w:p w14:paraId="3CDA6615" w14:textId="24799250" w:rsidR="00846F0D" w:rsidRPr="002D1B21" w:rsidRDefault="00846F0D">
                  <w:pPr>
                    <w:rPr>
                      <w:sz w:val="20"/>
                      <w:szCs w:val="20"/>
                    </w:rPr>
                  </w:pPr>
                  <w:r w:rsidRPr="002D1B21">
                    <w:rPr>
                      <w:sz w:val="20"/>
                      <w:szCs w:val="20"/>
                    </w:rPr>
                    <w:t xml:space="preserve">According to </w:t>
                  </w:r>
                  <w:r w:rsidR="007F6CFC" w:rsidRPr="002D1B21">
                    <w:rPr>
                      <w:sz w:val="20"/>
                      <w:szCs w:val="20"/>
                    </w:rPr>
                    <w:t xml:space="preserve">Porter (2014) </w:t>
                  </w:r>
                  <w:r w:rsidRPr="002D1B21">
                    <w:rPr>
                      <w:sz w:val="20"/>
                      <w:szCs w:val="20"/>
                    </w:rPr>
                    <w:t xml:space="preserve">lifestyles of </w:t>
                  </w:r>
                  <w:r w:rsidR="007F6CFC" w:rsidRPr="002D1B21">
                    <w:rPr>
                      <w:sz w:val="20"/>
                      <w:szCs w:val="20"/>
                    </w:rPr>
                    <w:t>children</w:t>
                  </w:r>
                  <w:r w:rsidRPr="002D1B21">
                    <w:rPr>
                      <w:sz w:val="20"/>
                      <w:szCs w:val="20"/>
                    </w:rPr>
                    <w:t xml:space="preserve"> during the early years of their lives can have a profound impact on their overall development, both physically and mentally.  Research has shown that the first five years of a child's life, often referred to as the "</w:t>
                  </w:r>
                  <w:r w:rsidR="00CC5B04" w:rsidRPr="002D1B21">
                    <w:rPr>
                      <w:sz w:val="20"/>
                      <w:szCs w:val="20"/>
                    </w:rPr>
                    <w:t>Early</w:t>
                  </w:r>
                  <w:r w:rsidRPr="002D1B21">
                    <w:rPr>
                      <w:sz w:val="20"/>
                      <w:szCs w:val="20"/>
                    </w:rPr>
                    <w:t xml:space="preserve"> </w:t>
                  </w:r>
                  <w:r w:rsidR="00CC5B04" w:rsidRPr="002D1B21">
                    <w:rPr>
                      <w:sz w:val="20"/>
                      <w:szCs w:val="20"/>
                    </w:rPr>
                    <w:t>Y</w:t>
                  </w:r>
                  <w:r w:rsidRPr="002D1B21">
                    <w:rPr>
                      <w:sz w:val="20"/>
                      <w:szCs w:val="20"/>
                    </w:rPr>
                    <w:t>ears", are critical for laying the foundation for future success and well-being.  These early years are a time of rapid growth and development, particularly in terms of brain development and social-emotional skills.</w:t>
                  </w:r>
                  <w:r w:rsidRPr="002D1B21">
                    <w:rPr>
                      <w:sz w:val="20"/>
                      <w:szCs w:val="20"/>
                    </w:rPr>
                    <w:t xml:space="preserve"> </w:t>
                  </w:r>
                </w:p>
                <w:p w14:paraId="4F661901" w14:textId="2DCED75A" w:rsidR="0045460A" w:rsidRPr="002D1B21" w:rsidRDefault="001D51E3">
                  <w:pPr>
                    <w:rPr>
                      <w:sz w:val="20"/>
                      <w:szCs w:val="20"/>
                    </w:rPr>
                  </w:pPr>
                  <w:proofErr w:type="spellStart"/>
                  <w:r w:rsidRPr="002D1B21">
                    <w:rPr>
                      <w:sz w:val="20"/>
                      <w:szCs w:val="20"/>
                    </w:rPr>
                    <w:t>Gitterman</w:t>
                  </w:r>
                  <w:proofErr w:type="spellEnd"/>
                  <w:r w:rsidRPr="002D1B21">
                    <w:rPr>
                      <w:sz w:val="20"/>
                      <w:szCs w:val="20"/>
                    </w:rPr>
                    <w:t xml:space="preserve"> </w:t>
                  </w:r>
                  <w:r w:rsidR="009D10FC" w:rsidRPr="002D1B21">
                    <w:rPr>
                      <w:sz w:val="20"/>
                      <w:szCs w:val="20"/>
                    </w:rPr>
                    <w:t>et al, (</w:t>
                  </w:r>
                  <w:r w:rsidRPr="002D1B21">
                    <w:rPr>
                      <w:sz w:val="20"/>
                      <w:szCs w:val="20"/>
                    </w:rPr>
                    <w:t>2016)</w:t>
                  </w:r>
                  <w:r w:rsidR="003D7A76" w:rsidRPr="002D1B21">
                    <w:rPr>
                      <w:sz w:val="20"/>
                      <w:szCs w:val="20"/>
                    </w:rPr>
                    <w:t xml:space="preserve"> point out that t</w:t>
                  </w:r>
                  <w:r w:rsidR="0045460A" w:rsidRPr="002D1B21">
                    <w:rPr>
                      <w:sz w:val="20"/>
                      <w:szCs w:val="20"/>
                    </w:rPr>
                    <w:t xml:space="preserve">he early years of </w:t>
                  </w:r>
                  <w:r w:rsidR="00805B81" w:rsidRPr="002D1B21">
                    <w:rPr>
                      <w:sz w:val="20"/>
                      <w:szCs w:val="20"/>
                    </w:rPr>
                    <w:t>a</w:t>
                  </w:r>
                  <w:r w:rsidR="0045460A" w:rsidRPr="002D1B21">
                    <w:rPr>
                      <w:sz w:val="20"/>
                      <w:szCs w:val="20"/>
                    </w:rPr>
                    <w:t xml:space="preserve"> </w:t>
                  </w:r>
                  <w:r w:rsidR="003D7A76" w:rsidRPr="002D1B21">
                    <w:rPr>
                      <w:sz w:val="20"/>
                      <w:szCs w:val="20"/>
                    </w:rPr>
                    <w:t>child</w:t>
                  </w:r>
                  <w:r w:rsidR="009D10FC" w:rsidRPr="002D1B21">
                    <w:rPr>
                      <w:sz w:val="20"/>
                      <w:szCs w:val="20"/>
                    </w:rPr>
                    <w:t>’s</w:t>
                  </w:r>
                  <w:r w:rsidR="0045460A" w:rsidRPr="002D1B21">
                    <w:rPr>
                      <w:sz w:val="20"/>
                      <w:szCs w:val="20"/>
                    </w:rPr>
                    <w:t xml:space="preserve"> life, from birth to around the age of 5 or 6, are a critical period that shapes their physical, cognitive, social, and emotional development. During this time, children's environments, relationships, and experiences have a profound impact on their future well-being and ability to contribute to society. Factors that can affect a child's lifestyle during the early years include the family's socioeconomic status, access to quality healthcare and education, exposure to adverse experiences such as poverty or abuse, and the presence of supportive and nurturing relationships with caregivers and community members.</w:t>
                  </w:r>
                </w:p>
                <w:p w14:paraId="4757714B" w14:textId="357FCD05" w:rsidR="00805B81" w:rsidRDefault="00805B81">
                  <w:r w:rsidRPr="002D1B21">
                    <w:rPr>
                      <w:sz w:val="20"/>
                      <w:szCs w:val="20"/>
                    </w:rPr>
                    <w:t xml:space="preserve">However, some research suggests that a child's lifestyle during the early years may not be solely determined by their family's socioeconomic status or access to resources. Certain innate factors, such as a child's temperament and genetic predispositions, can also play a significant role in shaping their </w:t>
                  </w:r>
                  <w:r w:rsidR="00A61D64" w:rsidRPr="002D1B21">
                    <w:rPr>
                      <w:sz w:val="20"/>
                      <w:szCs w:val="20"/>
                    </w:rPr>
                    <w:t>behaviours</w:t>
                  </w:r>
                  <w:r w:rsidRPr="002D1B21">
                    <w:rPr>
                      <w:sz w:val="20"/>
                      <w:szCs w:val="20"/>
                    </w:rPr>
                    <w:t>, preferences, and overall well-being. Additionally, the influence of peer relationships and the broader social and cultural contexts in which a child grows up can have a significant impact on their lifestyle and development. While the quality of a child's early environment and relationships is undoubtedly important, it is essential to recognize that a child's individual characteristics and the complex interplay of various environmental and social factors can also contribute to the lifestyle they experience during their formative years.</w:t>
                  </w:r>
                  <w:r w:rsidR="00D23922" w:rsidRPr="002D1B21">
                    <w:rPr>
                      <w:sz w:val="20"/>
                      <w:szCs w:val="20"/>
                    </w:rPr>
                    <w:t xml:space="preserve"> </w:t>
                  </w:r>
                  <w:r w:rsidR="00F53DCF" w:rsidRPr="002D1B21">
                    <w:rPr>
                      <w:sz w:val="20"/>
                      <w:szCs w:val="20"/>
                    </w:rPr>
                    <w:t>(Worthman, Tomlinson</w:t>
                  </w:r>
                  <w:r w:rsidR="00F53DCF" w:rsidRPr="002D1B21">
                    <w:rPr>
                      <w:sz w:val="20"/>
                      <w:szCs w:val="20"/>
                    </w:rPr>
                    <w:t xml:space="preserve">, </w:t>
                  </w:r>
                  <w:r w:rsidR="00F53DCF" w:rsidRPr="002D1B21">
                    <w:rPr>
                      <w:sz w:val="20"/>
                      <w:szCs w:val="20"/>
                    </w:rPr>
                    <w:t xml:space="preserve">and </w:t>
                  </w:r>
                  <w:proofErr w:type="spellStart"/>
                  <w:r w:rsidR="00F53DCF" w:rsidRPr="002D1B21">
                    <w:rPr>
                      <w:sz w:val="20"/>
                      <w:szCs w:val="20"/>
                    </w:rPr>
                    <w:t>Rotheram</w:t>
                  </w:r>
                  <w:proofErr w:type="spellEnd"/>
                  <w:r w:rsidR="00F53DCF" w:rsidRPr="002D1B21">
                    <w:rPr>
                      <w:rFonts w:ascii="Cambria Math" w:hAnsi="Cambria Math" w:cs="Cambria Math"/>
                      <w:sz w:val="20"/>
                      <w:szCs w:val="20"/>
                    </w:rPr>
                    <w:t>‐</w:t>
                  </w:r>
                  <w:r w:rsidR="00F53DCF" w:rsidRPr="002D1B21">
                    <w:rPr>
                      <w:sz w:val="20"/>
                      <w:szCs w:val="20"/>
                    </w:rPr>
                    <w:t>Borus, J</w:t>
                  </w:r>
                  <w:r w:rsidR="00F53DCF" w:rsidRPr="002D1B21">
                    <w:rPr>
                      <w:sz w:val="20"/>
                      <w:szCs w:val="20"/>
                    </w:rPr>
                    <w:t xml:space="preserve"> </w:t>
                  </w:r>
                  <w:r w:rsidR="00F53DCF" w:rsidRPr="002D1B21">
                    <w:rPr>
                      <w:sz w:val="20"/>
                      <w:szCs w:val="20"/>
                    </w:rPr>
                    <w:t>2016)</w:t>
                  </w:r>
                </w:p>
                <w:p w14:paraId="0B5A06C7" w14:textId="77777777" w:rsidR="008A1A46" w:rsidRDefault="008A1A46"/>
              </w:txbxContent>
            </v:textbox>
            <w10:wrap type="square"/>
          </v:shape>
        </w:pict>
      </w:r>
    </w:p>
    <w:p w14:paraId="5E0998A6" w14:textId="41901E63" w:rsidR="00E84416" w:rsidRDefault="00E84416" w:rsidP="00782030"/>
    <w:p w14:paraId="2C019584" w14:textId="64A067F5" w:rsidR="00E84416" w:rsidRPr="001C09A4" w:rsidRDefault="00D10E19" w:rsidP="005D4D2B">
      <w:r>
        <w:rPr>
          <w:noProof/>
        </w:rPr>
        <w:lastRenderedPageBreak/>
        <w:pict w14:anchorId="393B4552">
          <v:shape id="_x0000_s2058" type="#_x0000_t202" style="position:absolute;margin-left:0;margin-top:9.15pt;width:795.8pt;height:154.35pt;z-index:251665920;visibility:visible;mso-height-percent:200;mso-wrap-distance-left:9pt;mso-wrap-distance-top:3.6pt;mso-wrap-distance-right:9pt;mso-wrap-distance-bottom:3.6pt;mso-position-horizontal-relative:text;mso-position-vertical-relative:text;mso-height-percent:200;mso-width-relative:margin;mso-height-relative:margin;v-text-anchor:top" fillcolor="white [3201]" strokecolor="#d86dcb [1944]" strokeweight="1pt">
            <v:fill color2="#e59edc [1304]" focusposition="1" focussize="" focus="100%" type="gradient"/>
            <v:shadow on="t" type="perspective" color="#4f1548 [1608]" opacity=".5" offset="1pt" offset2="-3pt"/>
            <v:textbox style="mso-fit-shape-to-text:t">
              <w:txbxContent>
                <w:p w14:paraId="01932989" w14:textId="69B0350F" w:rsidR="009046DC" w:rsidRDefault="00192941">
                  <w:r w:rsidRPr="00192941">
                    <w:t>Conclusion</w:t>
                  </w:r>
                </w:p>
                <w:p w14:paraId="4C1D8B09" w14:textId="4F8CFB00" w:rsidR="00192941" w:rsidRDefault="00B20DF7">
                  <w:r w:rsidRPr="00B20DF7">
                    <w:t xml:space="preserve">The poster provides compelling evidence supporting the interconnectedness between health, well-being, and lifestyles, and the significant impact they have on each other. The necessity for young children to be exposed to a healthy lifestyle, including positive and nurturing relationships, </w:t>
                  </w:r>
                  <w:r w:rsidR="00834C40" w:rsidRPr="00B20DF7">
                    <w:t>to</w:t>
                  </w:r>
                  <w:r w:rsidRPr="00B20DF7">
                    <w:t xml:space="preserve"> promote their healthy development and growth has been established. It is apparent that practitioners play a pivotal role in promoting the positive well-being of young children, and there are various methods through which this can be accomplished, along with the associated benefits. The discourse on models and theories reveals the significance of adopting a comprehensive perspective in addressing children's developmental needs, aimed at providing effective support and promoting positive well-being. This is underscored by the guidance from the Welsh government regarding the promotion of health and well-being within early years practice.</w:t>
                  </w:r>
                </w:p>
              </w:txbxContent>
            </v:textbox>
            <w10:wrap type="square"/>
          </v:shape>
        </w:pict>
      </w:r>
    </w:p>
    <w:p w14:paraId="2C5C6EC5" w14:textId="39288742" w:rsidR="00E84416" w:rsidRPr="001C09A4" w:rsidRDefault="00E84416" w:rsidP="005D4D2B"/>
    <w:p w14:paraId="672F8AC7" w14:textId="77777777" w:rsidR="00E84416" w:rsidRPr="001C09A4" w:rsidRDefault="00E84416" w:rsidP="005D4D2B"/>
    <w:p w14:paraId="679C82FB" w14:textId="77777777" w:rsidR="00E84416" w:rsidRPr="001C09A4" w:rsidRDefault="00E84416" w:rsidP="005D4D2B"/>
    <w:p w14:paraId="5F8CB1F8" w14:textId="77777777" w:rsidR="00E84416" w:rsidRPr="001C09A4" w:rsidRDefault="00E84416" w:rsidP="005D4D2B"/>
    <w:p w14:paraId="5DB21E52" w14:textId="77777777" w:rsidR="00E84416" w:rsidRPr="001C09A4" w:rsidRDefault="00E84416" w:rsidP="005D4D2B"/>
    <w:p w14:paraId="22CB67E7" w14:textId="77777777" w:rsidR="00E84416" w:rsidRPr="001C09A4" w:rsidRDefault="00E84416" w:rsidP="005D4D2B"/>
    <w:p w14:paraId="58DD2BAC" w14:textId="77777777" w:rsidR="00E84416" w:rsidRPr="001C09A4" w:rsidRDefault="00E84416" w:rsidP="005D4D2B"/>
    <w:p w14:paraId="5627B1C1" w14:textId="77777777" w:rsidR="00E84416" w:rsidRPr="001C09A4" w:rsidRDefault="00E84416" w:rsidP="005D4D2B"/>
    <w:p w14:paraId="32A5FBF2" w14:textId="77777777" w:rsidR="00E84416" w:rsidRPr="001C09A4" w:rsidRDefault="00E84416" w:rsidP="005D4D2B"/>
    <w:p w14:paraId="58DC6633" w14:textId="77777777" w:rsidR="00E84416" w:rsidRPr="001C09A4" w:rsidRDefault="00E84416" w:rsidP="005D4D2B"/>
    <w:p w14:paraId="14556FE8" w14:textId="77777777" w:rsidR="00E84416" w:rsidRPr="001C09A4" w:rsidRDefault="00E84416" w:rsidP="005D4D2B"/>
    <w:p w14:paraId="64A8A8A9" w14:textId="77777777" w:rsidR="00E84416" w:rsidRPr="001C09A4" w:rsidRDefault="00E84416" w:rsidP="005D4D2B"/>
    <w:p w14:paraId="09F02FA0" w14:textId="77777777" w:rsidR="00E84416" w:rsidRPr="001C09A4" w:rsidRDefault="00E84416" w:rsidP="005D4D2B"/>
    <w:p w14:paraId="18B7B947" w14:textId="77777777" w:rsidR="00E84416" w:rsidRPr="001C09A4" w:rsidRDefault="00E84416" w:rsidP="005D4D2B"/>
    <w:p w14:paraId="45E739C4" w14:textId="77777777" w:rsidR="001C09A4" w:rsidRDefault="001C09A4" w:rsidP="00834C40"/>
    <w:p w14:paraId="58E9DE41" w14:textId="77777777" w:rsidR="00604CD1" w:rsidRDefault="00604CD1" w:rsidP="00604CD1">
      <w:pPr>
        <w:jc w:val="center"/>
      </w:pPr>
    </w:p>
    <w:p w14:paraId="662CC860" w14:textId="092B3055" w:rsidR="00E84416" w:rsidRPr="00E84416" w:rsidRDefault="00E84416" w:rsidP="00604CD1">
      <w:pPr>
        <w:jc w:val="center"/>
      </w:pPr>
      <w:r w:rsidRPr="00E84416">
        <w:t>References for poster</w:t>
      </w:r>
    </w:p>
    <w:p w14:paraId="003465E4" w14:textId="77777777" w:rsidR="00B263EF" w:rsidRDefault="00B263EF" w:rsidP="00E84416"/>
    <w:p w14:paraId="426A9E02" w14:textId="18975213" w:rsidR="00E84416" w:rsidRDefault="00E84416" w:rsidP="00E84416">
      <w:r w:rsidRPr="00E84416">
        <w:t xml:space="preserve">Apostu, M. (2013) "New Points of View on Concept of Health and Lifestyle," Elsevier BV, </w:t>
      </w:r>
      <w:proofErr w:type="gramStart"/>
      <w:r w:rsidRPr="00E84416">
        <w:t>92,p.</w:t>
      </w:r>
      <w:proofErr w:type="gramEnd"/>
      <w:r w:rsidRPr="00E84416">
        <w:t xml:space="preserve"> 50-54. Available at: </w:t>
      </w:r>
      <w:hyperlink r:id="rId9" w:history="1">
        <w:r w:rsidR="00B43B5F" w:rsidRPr="009D42A8">
          <w:rPr>
            <w:rStyle w:val="Hyperlink"/>
          </w:rPr>
          <w:t>https://doi.org/10.1016/j.sbspro.2013.08.636</w:t>
        </w:r>
      </w:hyperlink>
      <w:r w:rsidRPr="00E84416">
        <w:t>.</w:t>
      </w:r>
      <w:r w:rsidR="00B43B5F">
        <w:t xml:space="preserve"> </w:t>
      </w:r>
      <w:r w:rsidRPr="00E84416">
        <w:t>(Accessed: 15 June 2024)</w:t>
      </w:r>
    </w:p>
    <w:p w14:paraId="4D58F583" w14:textId="4802CBAF" w:rsidR="00B43B5F" w:rsidRPr="00B43B5F" w:rsidRDefault="00B43B5F" w:rsidP="00E84416">
      <w:r>
        <w:t xml:space="preserve">Berlinski, S and Schady, N. (2015) </w:t>
      </w:r>
      <w:r>
        <w:rPr>
          <w:i/>
          <w:iCs/>
        </w:rPr>
        <w:t xml:space="preserve">The Early Years Child Well-Being and the Role of Public Policy. </w:t>
      </w:r>
      <w:r>
        <w:t>Hampshire: Palgrave</w:t>
      </w:r>
    </w:p>
    <w:p w14:paraId="0F3C8C58" w14:textId="06FD4EA3" w:rsidR="00E84416" w:rsidRPr="00E84416" w:rsidRDefault="00E84416" w:rsidP="00E84416">
      <w:r w:rsidRPr="00E84416">
        <w:t xml:space="preserve">Bristol University (2024) The impact of family relationships on children's developmental. Available at: </w:t>
      </w:r>
      <w:hyperlink r:id="rId10" w:history="1">
        <w:r w:rsidR="00B43B5F" w:rsidRPr="009D42A8">
          <w:rPr>
            <w:rStyle w:val="Hyperlink"/>
          </w:rPr>
          <w:t>https://research-information.bris.ac.uk/en/projects/the-impact-of-family-relationships-on-childrens-developmental-hea</w:t>
        </w:r>
      </w:hyperlink>
      <w:r w:rsidR="00B43B5F">
        <w:t xml:space="preserve"> </w:t>
      </w:r>
      <w:r w:rsidRPr="00E84416">
        <w:t>(Accessed: 14 June 2024)</w:t>
      </w:r>
    </w:p>
    <w:p w14:paraId="6A81BA0C" w14:textId="6BD3F30A" w:rsidR="00E84416" w:rsidRDefault="00E84416" w:rsidP="00E84416">
      <w:r w:rsidRPr="00E84416">
        <w:t xml:space="preserve">Halfon, N. and Forrest, B, C. (2017) The Emerging Theoretical Framework of Life Course Health Development. Available at: </w:t>
      </w:r>
      <w:hyperlink r:id="rId11" w:history="1">
        <w:r w:rsidR="00B43B5F" w:rsidRPr="009D42A8">
          <w:rPr>
            <w:rStyle w:val="Hyperlink"/>
          </w:rPr>
          <w:t>https://doi.org/10.1007/978-3-319-47143-3_2</w:t>
        </w:r>
      </w:hyperlink>
      <w:r w:rsidRPr="00E84416">
        <w:t>.</w:t>
      </w:r>
      <w:r w:rsidR="00B43B5F">
        <w:t xml:space="preserve"> </w:t>
      </w:r>
      <w:r w:rsidRPr="00E84416">
        <w:t>(Accessed: 15 June 2024)</w:t>
      </w:r>
    </w:p>
    <w:p w14:paraId="37E4CD74" w14:textId="290568C9" w:rsidR="00B43B5F" w:rsidRPr="00E84416" w:rsidRDefault="00B43B5F" w:rsidP="00E84416">
      <w:r w:rsidRPr="00B43B5F">
        <w:t xml:space="preserve">Teachers toolbox (no date). Maslow’s Hierarchy of Needs. Available at: </w:t>
      </w:r>
      <w:hyperlink r:id="rId12" w:history="1">
        <w:r w:rsidRPr="009D42A8">
          <w:rPr>
            <w:rStyle w:val="Hyperlink"/>
          </w:rPr>
          <w:t>https://www.teacherstoolbox.co.uk/</w:t>
        </w:r>
      </w:hyperlink>
      <w:r>
        <w:t xml:space="preserve"> </w:t>
      </w:r>
      <w:r w:rsidRPr="00B43B5F">
        <w:t>(Accessed 15 June 2024)</w:t>
      </w:r>
    </w:p>
    <w:p w14:paraId="72E1523A" w14:textId="3A303A82" w:rsidR="00E84416" w:rsidRPr="00E84416" w:rsidRDefault="00E84416" w:rsidP="00E84416">
      <w:r w:rsidRPr="00E84416">
        <w:t xml:space="preserve"> World Health Organization (2024) Promoting Wellbeing. Available at: </w:t>
      </w:r>
      <w:hyperlink r:id="rId13" w:history="1">
        <w:r w:rsidR="00B43B5F" w:rsidRPr="009D42A8">
          <w:rPr>
            <w:rStyle w:val="Hyperlink"/>
          </w:rPr>
          <w:t>https://www.who.int/activities/promoting-well-being#:~:text=Well%2Dbeing%20is%20a%20positive,social%2C%20economic%20and%20environmental%20conditions</w:t>
        </w:r>
      </w:hyperlink>
      <w:r w:rsidR="00B43B5F">
        <w:t xml:space="preserve">. </w:t>
      </w:r>
      <w:r w:rsidRPr="00E84416">
        <w:t>(Accessed: 15 June 2024)</w:t>
      </w:r>
    </w:p>
    <w:p w14:paraId="080C83AC" w14:textId="05AFCC0F" w:rsidR="001957F4" w:rsidRDefault="001957F4" w:rsidP="001957F4">
      <w:r w:rsidRPr="001957F4">
        <w:t xml:space="preserve">Maslow's Hierarchy of Needs (2012). Available at: </w:t>
      </w:r>
      <w:hyperlink r:id="rId14" w:history="1">
        <w:r w:rsidRPr="009D42A8">
          <w:rPr>
            <w:rStyle w:val="Hyperlink"/>
          </w:rPr>
          <w:t>https://doi.org/10.1007/springerreference_180253</w:t>
        </w:r>
      </w:hyperlink>
      <w:r w:rsidRPr="001957F4">
        <w:t>.</w:t>
      </w:r>
      <w:r>
        <w:t xml:space="preserve"> (Accessed:15 June 2024)</w:t>
      </w:r>
    </w:p>
    <w:p w14:paraId="54FF3477" w14:textId="2C54BF2E" w:rsidR="00E84416" w:rsidRDefault="001957F4" w:rsidP="001957F4">
      <w:r w:rsidRPr="001957F4">
        <w:t>Steenbakkers, A., Steen, d, v, S. and Grietens, H. (2017) "</w:t>
      </w:r>
      <w:r w:rsidRPr="001957F4">
        <w:rPr>
          <w:i/>
          <w:iCs/>
        </w:rPr>
        <w:t>The Needs of Foster Children and How to Satisfy Them</w:t>
      </w:r>
      <w:r w:rsidRPr="001957F4">
        <w:t xml:space="preserve">: A Systematic Review of the Literature," Springer Science+Business Media, 21(1),p. 1-12. Available at: </w:t>
      </w:r>
      <w:hyperlink r:id="rId15" w:history="1">
        <w:r w:rsidRPr="009D42A8">
          <w:rPr>
            <w:rStyle w:val="Hyperlink"/>
          </w:rPr>
          <w:t>https://doi.org/10.1007/s10567-017-0246-1</w:t>
        </w:r>
      </w:hyperlink>
      <w:r w:rsidRPr="001957F4">
        <w:t>.</w:t>
      </w:r>
      <w:r>
        <w:t xml:space="preserve"> (Accessed:15 June 2024)</w:t>
      </w:r>
    </w:p>
    <w:p w14:paraId="52444E59" w14:textId="0596618E" w:rsidR="001957F4" w:rsidRDefault="002F1D04" w:rsidP="001957F4">
      <w:r w:rsidRPr="002F1D04">
        <w:t xml:space="preserve">Ruggeri, K. et al. (2020) "Well-being is more than happiness and life satisfaction: a multidimensional analysis of 21 countries," BioMed Central, 18(1). Available at: </w:t>
      </w:r>
      <w:hyperlink r:id="rId16" w:history="1">
        <w:r w:rsidR="00C3740C" w:rsidRPr="009A1C73">
          <w:rPr>
            <w:rStyle w:val="Hyperlink"/>
          </w:rPr>
          <w:t>https://doi.org/10.1186/s12955-020-01423-y</w:t>
        </w:r>
      </w:hyperlink>
      <w:r w:rsidRPr="002F1D04">
        <w:t>.</w:t>
      </w:r>
      <w:r w:rsidR="00C3740C">
        <w:t xml:space="preserve"> (Accessed: </w:t>
      </w:r>
      <w:r w:rsidR="00130430">
        <w:t>12 June 2024)</w:t>
      </w:r>
    </w:p>
    <w:p w14:paraId="7105EAF8" w14:textId="5B0D9168" w:rsidR="002F1D04" w:rsidRPr="002F1D04" w:rsidRDefault="002F1D04" w:rsidP="002F1D04">
      <w:r w:rsidRPr="002F1D04">
        <w:t xml:space="preserve">Hoyt, T, L. et al. (2012) Positive Youth, Healthy Adults: Does Positive Well-being in Adolescence Predict Better Perceived Health and Fewer Risky Health Behaviors in Young </w:t>
      </w:r>
      <w:proofErr w:type="gramStart"/>
      <w:r w:rsidRPr="002F1D04">
        <w:t>Adulthood?.</w:t>
      </w:r>
      <w:proofErr w:type="gramEnd"/>
      <w:r w:rsidRPr="002F1D04">
        <w:t xml:space="preserve"> Available at: </w:t>
      </w:r>
      <w:hyperlink r:id="rId17" w:history="1">
        <w:r w:rsidR="00C3740C" w:rsidRPr="009A1C73">
          <w:rPr>
            <w:rStyle w:val="Hyperlink"/>
          </w:rPr>
          <w:t>https://doi.org/10.1016/j.jadohealth.2011.05.002</w:t>
        </w:r>
      </w:hyperlink>
      <w:r w:rsidRPr="002F1D04">
        <w:t>.</w:t>
      </w:r>
      <w:r w:rsidR="00C3740C">
        <w:t xml:space="preserve"> (Accessed 12 June 2024)</w:t>
      </w:r>
    </w:p>
    <w:p w14:paraId="0B142DE0" w14:textId="0C85537E" w:rsidR="002F1D04" w:rsidRPr="002F1D04" w:rsidRDefault="002F1D04" w:rsidP="002F1D04">
      <w:r w:rsidRPr="002F1D04">
        <w:t>Kiefer, A, R. (2008) "An Integrative Review of the Concept of Well-Being," Lippincott Williams &amp; Wilkins, 22(5</w:t>
      </w:r>
      <w:proofErr w:type="gramStart"/>
      <w:r w:rsidRPr="002F1D04">
        <w:t>),p.</w:t>
      </w:r>
      <w:proofErr w:type="gramEnd"/>
      <w:r w:rsidRPr="002F1D04">
        <w:t xml:space="preserve"> 244-252. Available at: </w:t>
      </w:r>
      <w:hyperlink r:id="rId18" w:history="1">
        <w:r w:rsidR="00406E56" w:rsidRPr="009A1C73">
          <w:rPr>
            <w:rStyle w:val="Hyperlink"/>
          </w:rPr>
          <w:t>https://doi.org/10.1097/01.hnp.0000334915.16186.b2</w:t>
        </w:r>
      </w:hyperlink>
      <w:r w:rsidRPr="002F1D04">
        <w:t>.</w:t>
      </w:r>
      <w:r w:rsidR="00406E56">
        <w:t xml:space="preserve"> (Access</w:t>
      </w:r>
      <w:r w:rsidR="00C3740C">
        <w:t>ed: 12 June 2024)</w:t>
      </w:r>
    </w:p>
    <w:p w14:paraId="20308E91" w14:textId="3CD1EE37" w:rsidR="002F1D04" w:rsidRPr="002F1D04" w:rsidRDefault="002F1D04" w:rsidP="002F1D04">
      <w:proofErr w:type="spellStart"/>
      <w:r w:rsidRPr="002F1D04">
        <w:t>Netw</w:t>
      </w:r>
      <w:proofErr w:type="spellEnd"/>
      <w:r w:rsidRPr="002F1D04">
        <w:t xml:space="preserve">, I, N. (2015) Measuring mental wellbeing in children and young people. Available at: </w:t>
      </w:r>
      <w:hyperlink r:id="rId19" w:history="1">
        <w:r w:rsidR="00406E56" w:rsidRPr="009A1C73">
          <w:rPr>
            <w:rStyle w:val="Hyperlink"/>
          </w:rPr>
          <w:t>https://www.yhpho.org.uk/default.aspx?RID=213417</w:t>
        </w:r>
      </w:hyperlink>
      <w:r w:rsidRPr="002F1D04">
        <w:t>.</w:t>
      </w:r>
      <w:r w:rsidR="00406E56">
        <w:t xml:space="preserve"> (Accessed:12 June 2024)</w:t>
      </w:r>
    </w:p>
    <w:p w14:paraId="7697C384" w14:textId="2741734B" w:rsidR="00E84416" w:rsidRDefault="002F1D04" w:rsidP="00AD17C2">
      <w:r w:rsidRPr="002F1D04">
        <w:t>Ronen, T. and Kerret, D. (2020) "Promoting Sustainable Wellbeing: Integrating Positive Psychology and Environmental Sustainability in Education," Multidisciplinary Digital Publishing Institute, 17(19</w:t>
      </w:r>
      <w:proofErr w:type="gramStart"/>
      <w:r w:rsidRPr="002F1D04">
        <w:t>),p.</w:t>
      </w:r>
      <w:proofErr w:type="gramEnd"/>
      <w:r w:rsidRPr="002F1D04">
        <w:t xml:space="preserve"> 6968-6968. Available at: </w:t>
      </w:r>
      <w:hyperlink r:id="rId20" w:history="1">
        <w:r w:rsidR="001C09A4" w:rsidRPr="00C75BA7">
          <w:rPr>
            <w:rStyle w:val="Hyperlink"/>
          </w:rPr>
          <w:t>https://doi.org/10.3390/ijerph17196968</w:t>
        </w:r>
      </w:hyperlink>
      <w:r w:rsidR="001C09A4">
        <w:t xml:space="preserve">. </w:t>
      </w:r>
      <w:r w:rsidR="00600BD1">
        <w:t xml:space="preserve"> (</w:t>
      </w:r>
      <w:proofErr w:type="gramStart"/>
      <w:r w:rsidR="00600BD1">
        <w:t>Accessed :</w:t>
      </w:r>
      <w:proofErr w:type="gramEnd"/>
      <w:r w:rsidR="00600BD1">
        <w:t xml:space="preserve"> 15 June 2024)</w:t>
      </w:r>
    </w:p>
    <w:p w14:paraId="2DDF95F9" w14:textId="77777777" w:rsidR="00191389" w:rsidRDefault="00191389" w:rsidP="001C09A4"/>
    <w:p w14:paraId="0BCF180D" w14:textId="77777777" w:rsidR="00604CD1" w:rsidRDefault="00604CD1" w:rsidP="001C09A4"/>
    <w:p w14:paraId="7695F728" w14:textId="0348681F" w:rsidR="001C09A4" w:rsidRPr="001C09A4" w:rsidRDefault="001C09A4" w:rsidP="001C09A4">
      <w:r w:rsidRPr="001C09A4">
        <w:t xml:space="preserve">Fuson, C, K. (1976) Piagetian Stages in Causality: Children's Answers to "Why?". Available at: </w:t>
      </w:r>
      <w:hyperlink r:id="rId21" w:history="1">
        <w:r w:rsidR="00600BD1" w:rsidRPr="009A1C73">
          <w:rPr>
            <w:rStyle w:val="Hyperlink"/>
          </w:rPr>
          <w:t>https://doi.org/10.1086/461041</w:t>
        </w:r>
      </w:hyperlink>
      <w:r w:rsidRPr="001C09A4">
        <w:t>.</w:t>
      </w:r>
      <w:r w:rsidR="00600BD1">
        <w:t xml:space="preserve"> (Accessed: 15 June 2024)</w:t>
      </w:r>
    </w:p>
    <w:p w14:paraId="7237A56D" w14:textId="046BD163" w:rsidR="001C09A4" w:rsidRPr="001C09A4" w:rsidRDefault="001C09A4" w:rsidP="001C09A4">
      <w:r w:rsidRPr="001C09A4">
        <w:t>Halfon, N. (2003) "Optimizing the Health and Development of Children," American Medical Association, 290(23</w:t>
      </w:r>
      <w:proofErr w:type="gramStart"/>
      <w:r w:rsidRPr="001C09A4">
        <w:t>),p.</w:t>
      </w:r>
      <w:proofErr w:type="gramEnd"/>
      <w:r w:rsidRPr="001C09A4">
        <w:t xml:space="preserve"> 3136-3136. Available at: </w:t>
      </w:r>
      <w:hyperlink r:id="rId22" w:history="1">
        <w:r w:rsidR="00191389" w:rsidRPr="009A1C73">
          <w:rPr>
            <w:rStyle w:val="Hyperlink"/>
          </w:rPr>
          <w:t>https://doi.org/10.1001/jama.290.23.3136</w:t>
        </w:r>
      </w:hyperlink>
      <w:r w:rsidRPr="001C09A4">
        <w:t>.</w:t>
      </w:r>
      <w:r w:rsidR="00191389">
        <w:t xml:space="preserve"> (Accessed:</w:t>
      </w:r>
      <w:r w:rsidR="00600BD1">
        <w:t xml:space="preserve"> 15 June 2024)</w:t>
      </w:r>
    </w:p>
    <w:p w14:paraId="5BD23604" w14:textId="7018E9BA" w:rsidR="001C09A4" w:rsidRPr="001C09A4" w:rsidRDefault="001C09A4" w:rsidP="001C09A4">
      <w:r w:rsidRPr="001C09A4">
        <w:t xml:space="preserve">Harris, M, K. (2010) "An integrative approach to health," Springer </w:t>
      </w:r>
      <w:proofErr w:type="spellStart"/>
      <w:r w:rsidRPr="001C09A4">
        <w:t>Science+Business</w:t>
      </w:r>
      <w:proofErr w:type="spellEnd"/>
      <w:r w:rsidRPr="001C09A4">
        <w:t xml:space="preserve"> Media, 47(1</w:t>
      </w:r>
      <w:r w:rsidR="00191389" w:rsidRPr="001C09A4">
        <w:t>), p.</w:t>
      </w:r>
      <w:r w:rsidRPr="001C09A4">
        <w:t xml:space="preserve"> 1-22. Available at: </w:t>
      </w:r>
      <w:hyperlink r:id="rId23" w:history="1">
        <w:r w:rsidR="006C0BBA" w:rsidRPr="009A1C73">
          <w:rPr>
            <w:rStyle w:val="Hyperlink"/>
          </w:rPr>
          <w:t>https://doi.org/10.1353/dem.0.0091</w:t>
        </w:r>
      </w:hyperlink>
      <w:r w:rsidRPr="001C09A4">
        <w:t>.</w:t>
      </w:r>
      <w:r w:rsidR="006C0BBA">
        <w:t xml:space="preserve"> (Accessed: </w:t>
      </w:r>
      <w:r w:rsidR="00191389">
        <w:t>13 June 2024)</w:t>
      </w:r>
    </w:p>
    <w:p w14:paraId="2A6F1531" w14:textId="667BE8D0" w:rsidR="001C09A4" w:rsidRPr="001C09A4" w:rsidRDefault="001C09A4" w:rsidP="001C09A4">
      <w:r w:rsidRPr="001C09A4">
        <w:t xml:space="preserve">Huber, M. et al. (2011) How should we define </w:t>
      </w:r>
      <w:proofErr w:type="gramStart"/>
      <w:r w:rsidRPr="001C09A4">
        <w:t>health?.</w:t>
      </w:r>
      <w:proofErr w:type="gramEnd"/>
      <w:r w:rsidRPr="001C09A4">
        <w:t xml:space="preserve"> Available at: </w:t>
      </w:r>
      <w:hyperlink r:id="rId24" w:history="1">
        <w:r w:rsidR="006C0BBA" w:rsidRPr="009A1C73">
          <w:rPr>
            <w:rStyle w:val="Hyperlink"/>
          </w:rPr>
          <w:t>https://doi.org/10.1136/bmj.d4163</w:t>
        </w:r>
      </w:hyperlink>
      <w:r w:rsidRPr="001C09A4">
        <w:t>.</w:t>
      </w:r>
      <w:r w:rsidR="006C0BBA">
        <w:t xml:space="preserve"> (Accessed: 10 June 2024)</w:t>
      </w:r>
    </w:p>
    <w:p w14:paraId="028CB532" w14:textId="551C2D72" w:rsidR="001C09A4" w:rsidRPr="001C09A4" w:rsidRDefault="001C09A4" w:rsidP="001C09A4">
      <w:proofErr w:type="spellStart"/>
      <w:r w:rsidRPr="001C09A4">
        <w:t>Natapoff</w:t>
      </w:r>
      <w:proofErr w:type="spellEnd"/>
      <w:r w:rsidRPr="001C09A4">
        <w:t>, N, J. (1982) "A Developmental Analysis of Children's Ideas of Health," SAGE Publishing, 9(2-3</w:t>
      </w:r>
      <w:proofErr w:type="gramStart"/>
      <w:r w:rsidRPr="001C09A4">
        <w:t>),p.</w:t>
      </w:r>
      <w:proofErr w:type="gramEnd"/>
      <w:r w:rsidRPr="001C09A4">
        <w:t xml:space="preserve"> 34-45. Available at: </w:t>
      </w:r>
      <w:hyperlink r:id="rId25" w:history="1">
        <w:r w:rsidR="000317A1" w:rsidRPr="009A1C73">
          <w:rPr>
            <w:rStyle w:val="Hyperlink"/>
          </w:rPr>
          <w:t>https://doi.org/10.1177/109019818200900205</w:t>
        </w:r>
      </w:hyperlink>
      <w:r w:rsidRPr="001C09A4">
        <w:t>.</w:t>
      </w:r>
      <w:r w:rsidR="000317A1">
        <w:t xml:space="preserve"> (</w:t>
      </w:r>
      <w:r w:rsidR="006C0BBA">
        <w:t>Accessed: 9 June 2024)</w:t>
      </w:r>
    </w:p>
    <w:p w14:paraId="6B100213" w14:textId="0E29B255" w:rsidR="001C09A4" w:rsidRPr="001C09A4" w:rsidRDefault="001C09A4" w:rsidP="001C09A4">
      <w:r w:rsidRPr="001C09A4">
        <w:t xml:space="preserve">Schor, L, E. (2021) Life Course Health Development in </w:t>
      </w:r>
      <w:proofErr w:type="spellStart"/>
      <w:r w:rsidRPr="001C09A4">
        <w:t>Pediatric</w:t>
      </w:r>
      <w:proofErr w:type="spellEnd"/>
      <w:r w:rsidRPr="001C09A4">
        <w:t xml:space="preserve"> Practice. Available at: </w:t>
      </w:r>
      <w:hyperlink r:id="rId26" w:history="1">
        <w:r w:rsidR="000317A1" w:rsidRPr="009A1C73">
          <w:rPr>
            <w:rStyle w:val="Hyperlink"/>
          </w:rPr>
          <w:t>https://doi.org/10.1542/peds.2020-009308</w:t>
        </w:r>
      </w:hyperlink>
      <w:r w:rsidRPr="001C09A4">
        <w:t>.</w:t>
      </w:r>
      <w:r w:rsidR="000317A1">
        <w:t xml:space="preserve"> (Accessed:12 June 2024)</w:t>
      </w:r>
    </w:p>
    <w:p w14:paraId="777A427B" w14:textId="4298EFCB" w:rsidR="00E84416" w:rsidRPr="001C09A4" w:rsidRDefault="001C09A4" w:rsidP="001C09A4">
      <w:r w:rsidRPr="001C09A4">
        <w:t xml:space="preserve">Yoshikawa, H. (2010) The foundations of lifelong health are built in early childhood. Available at: </w:t>
      </w:r>
      <w:hyperlink r:id="rId27" w:history="1">
        <w:r w:rsidR="000317A1" w:rsidRPr="009A1C73">
          <w:rPr>
            <w:rStyle w:val="Hyperlink"/>
          </w:rPr>
          <w:t>https://nyuscholars.nyu.edu/en/publications/the-foundations-of-lifelong-health-are-built-in-early-childhood</w:t>
        </w:r>
      </w:hyperlink>
      <w:r w:rsidRPr="001C09A4">
        <w:t>.</w:t>
      </w:r>
      <w:r w:rsidR="000317A1">
        <w:t xml:space="preserve"> (Accessed: 11 June 2024)</w:t>
      </w:r>
    </w:p>
    <w:p w14:paraId="6F2FC396" w14:textId="3D37523B" w:rsidR="00E84416" w:rsidRPr="001C09A4" w:rsidRDefault="001C09A4" w:rsidP="005D4D2B">
      <w:r w:rsidRPr="001C09A4">
        <w:t>Larsen, L, R. and Boody, G, C. (1971) "</w:t>
      </w:r>
      <w:r w:rsidRPr="007458F6">
        <w:rPr>
          <w:i/>
          <w:iCs/>
        </w:rPr>
        <w:t>Some Implications for Music Education in the Work of Jean Piaget</w:t>
      </w:r>
      <w:r w:rsidRPr="001C09A4">
        <w:t>," SAGE Publishing, 19(1</w:t>
      </w:r>
      <w:proofErr w:type="gramStart"/>
      <w:r w:rsidRPr="001C09A4">
        <w:t>),p.</w:t>
      </w:r>
      <w:proofErr w:type="gramEnd"/>
      <w:r w:rsidRPr="001C09A4">
        <w:t xml:space="preserve"> 35-50. Available at: </w:t>
      </w:r>
      <w:hyperlink r:id="rId28" w:history="1">
        <w:r w:rsidR="008E61FD" w:rsidRPr="009A1C73">
          <w:rPr>
            <w:rStyle w:val="Hyperlink"/>
          </w:rPr>
          <w:t>https://doi.org/10.2307/3344113</w:t>
        </w:r>
      </w:hyperlink>
      <w:r w:rsidRPr="001C09A4">
        <w:t>.</w:t>
      </w:r>
      <w:r w:rsidR="008E61FD">
        <w:t xml:space="preserve"> (</w:t>
      </w:r>
      <w:r w:rsidR="000317A1">
        <w:t>Accessed: 12 June 2024)</w:t>
      </w:r>
    </w:p>
    <w:p w14:paraId="3AAD2B4A" w14:textId="2BB8B03D" w:rsidR="001C09A4" w:rsidRPr="001C09A4" w:rsidRDefault="001C09A4" w:rsidP="001C09A4">
      <w:r w:rsidRPr="001C09A4">
        <w:t>Mooney, A. et al. (2008) "</w:t>
      </w:r>
      <w:r w:rsidRPr="007458F6">
        <w:rPr>
          <w:i/>
          <w:iCs/>
        </w:rPr>
        <w:t>Approaches to developing health in early years settings</w:t>
      </w:r>
      <w:r w:rsidRPr="001C09A4">
        <w:t>," Emerald Publishing Limited, 108(2</w:t>
      </w:r>
      <w:proofErr w:type="gramStart"/>
      <w:r w:rsidRPr="001C09A4">
        <w:t>),p.</w:t>
      </w:r>
      <w:proofErr w:type="gramEnd"/>
      <w:r w:rsidRPr="001C09A4">
        <w:t xml:space="preserve"> 163-177. Available at: </w:t>
      </w:r>
      <w:hyperlink r:id="rId29" w:history="1">
        <w:r w:rsidR="008E61FD" w:rsidRPr="009A1C73">
          <w:rPr>
            <w:rStyle w:val="Hyperlink"/>
          </w:rPr>
          <w:t>https://doi.org/10.1108/09654280810855603</w:t>
        </w:r>
      </w:hyperlink>
      <w:r w:rsidRPr="001C09A4">
        <w:t>.</w:t>
      </w:r>
      <w:r w:rsidR="008E61FD">
        <w:t xml:space="preserve"> (Accessed: 12 June 2024)</w:t>
      </w:r>
    </w:p>
    <w:p w14:paraId="20628F6D" w14:textId="3A00BC2A" w:rsidR="001C09A4" w:rsidRPr="001C09A4" w:rsidRDefault="001C09A4" w:rsidP="001C09A4">
      <w:r>
        <w:t>Welsh Government (2021</w:t>
      </w:r>
      <w:r w:rsidRPr="001C09A4">
        <w:rPr>
          <w:i/>
          <w:iCs/>
        </w:rPr>
        <w:t xml:space="preserve">) </w:t>
      </w:r>
      <w:r w:rsidRPr="001C09A4">
        <w:rPr>
          <w:i/>
          <w:iCs/>
        </w:rPr>
        <w:t xml:space="preserve">Our </w:t>
      </w:r>
      <w:r w:rsidRPr="001C09A4">
        <w:rPr>
          <w:i/>
          <w:iCs/>
        </w:rPr>
        <w:t>priorities</w:t>
      </w:r>
      <w:r w:rsidRPr="001C09A4">
        <w:t>.</w:t>
      </w:r>
      <w:r w:rsidRPr="001C09A4">
        <w:t xml:space="preserve"> Available at: </w:t>
      </w:r>
      <w:hyperlink r:id="rId30" w:history="1">
        <w:r w:rsidR="00D262E4" w:rsidRPr="009A1C73">
          <w:rPr>
            <w:rStyle w:val="Hyperlink"/>
          </w:rPr>
          <w:t>https://www.gov.wales/our-priorities</w:t>
        </w:r>
      </w:hyperlink>
      <w:r w:rsidRPr="001C09A4">
        <w:t>.</w:t>
      </w:r>
      <w:r w:rsidR="00D262E4">
        <w:t xml:space="preserve"> (Accessed: 9</w:t>
      </w:r>
      <w:r w:rsidR="008E61FD">
        <w:t xml:space="preserve"> June 2024)</w:t>
      </w:r>
    </w:p>
    <w:p w14:paraId="46369BA7" w14:textId="767C59EB" w:rsidR="00E84416" w:rsidRPr="001C09A4" w:rsidRDefault="001C09A4" w:rsidP="001C09A4">
      <w:r w:rsidRPr="001C09A4">
        <w:t xml:space="preserve">Sawyer, M, S., </w:t>
      </w:r>
      <w:proofErr w:type="spellStart"/>
      <w:r w:rsidRPr="001C09A4">
        <w:t>Raniti</w:t>
      </w:r>
      <w:proofErr w:type="spellEnd"/>
      <w:r w:rsidRPr="001C09A4">
        <w:t xml:space="preserve">, M. and Aston, R. (2021) </w:t>
      </w:r>
      <w:r w:rsidRPr="007458F6">
        <w:rPr>
          <w:i/>
          <w:iCs/>
        </w:rPr>
        <w:t>Making every school a health-promoting school</w:t>
      </w:r>
      <w:r w:rsidRPr="001C09A4">
        <w:t xml:space="preserve">. Available at: </w:t>
      </w:r>
      <w:hyperlink r:id="rId31" w:history="1">
        <w:r w:rsidR="00D262E4" w:rsidRPr="009A1C73">
          <w:rPr>
            <w:rStyle w:val="Hyperlink"/>
          </w:rPr>
          <w:t>https://doi.org/10.1016/s2352-4642(21)00190-5</w:t>
        </w:r>
      </w:hyperlink>
      <w:r w:rsidRPr="001C09A4">
        <w:t>.</w:t>
      </w:r>
      <w:r w:rsidR="00D262E4">
        <w:t xml:space="preserve"> (Accessed: 9 June 2024)</w:t>
      </w:r>
    </w:p>
    <w:p w14:paraId="2C2C8E84" w14:textId="0EAE06DB" w:rsidR="00E84416" w:rsidRDefault="00224D1F" w:rsidP="005D4D2B">
      <w:r>
        <w:t xml:space="preserve">Simply </w:t>
      </w:r>
      <w:r w:rsidR="003030B5">
        <w:t>(2024)</w:t>
      </w:r>
      <w:r w:rsidR="000843D8">
        <w:t xml:space="preserve"> </w:t>
      </w:r>
      <w:r w:rsidR="003030B5">
        <w:rPr>
          <w:i/>
          <w:iCs/>
        </w:rPr>
        <w:t>Bronfenbrenner</w:t>
      </w:r>
      <w:r w:rsidR="00D30932">
        <w:rPr>
          <w:i/>
          <w:iCs/>
        </w:rPr>
        <w:t xml:space="preserve">. </w:t>
      </w:r>
      <w:r w:rsidR="00D30932">
        <w:t>Available at:</w:t>
      </w:r>
      <w:r w:rsidR="000843D8">
        <w:t xml:space="preserve"> </w:t>
      </w:r>
      <w:hyperlink r:id="rId32" w:history="1">
        <w:r w:rsidR="000843D8" w:rsidRPr="009A1C73">
          <w:rPr>
            <w:rStyle w:val="Hyperlink"/>
          </w:rPr>
          <w:t>https://ww</w:t>
        </w:r>
        <w:r w:rsidR="000843D8" w:rsidRPr="009A1C73">
          <w:rPr>
            <w:rStyle w:val="Hyperlink"/>
          </w:rPr>
          <w:t>w</w:t>
        </w:r>
        <w:r w:rsidR="000843D8" w:rsidRPr="009A1C73">
          <w:rPr>
            <w:rStyle w:val="Hyperlink"/>
          </w:rPr>
          <w:t>.simplypsychology.org/bronfenbrenner.html</w:t>
        </w:r>
      </w:hyperlink>
      <w:r w:rsidR="00D30932">
        <w:t xml:space="preserve"> (Accessed:</w:t>
      </w:r>
      <w:r w:rsidR="00D262E4">
        <w:t xml:space="preserve"> 10 June 2024)</w:t>
      </w:r>
    </w:p>
    <w:p w14:paraId="40A60744" w14:textId="6668559B" w:rsidR="00E92BB1" w:rsidRPr="001C09A4" w:rsidRDefault="007458F6" w:rsidP="005D4D2B">
      <w:r w:rsidRPr="007458F6">
        <w:t xml:space="preserve">Kraus, B., </w:t>
      </w:r>
      <w:proofErr w:type="spellStart"/>
      <w:r w:rsidRPr="007458F6">
        <w:t>Stašová</w:t>
      </w:r>
      <w:proofErr w:type="spellEnd"/>
      <w:r w:rsidRPr="007458F6">
        <w:t xml:space="preserve">, L. and </w:t>
      </w:r>
      <w:proofErr w:type="spellStart"/>
      <w:r w:rsidRPr="007458F6">
        <w:t>Junová</w:t>
      </w:r>
      <w:proofErr w:type="spellEnd"/>
      <w:r w:rsidRPr="007458F6">
        <w:t>, I. (2020</w:t>
      </w:r>
      <w:r w:rsidRPr="007458F6">
        <w:rPr>
          <w:i/>
          <w:iCs/>
        </w:rPr>
        <w:t>) Contemporary Family Lifestyles in Central and Western Europe Selected Cases</w:t>
      </w:r>
      <w:r w:rsidRPr="007458F6">
        <w:t xml:space="preserve">. 1st ed. 2020. Cham: Springer Nature. Available at: </w:t>
      </w:r>
      <w:hyperlink r:id="rId33" w:history="1">
        <w:r w:rsidR="004408C5" w:rsidRPr="009A1C73">
          <w:rPr>
            <w:rStyle w:val="Hyperlink"/>
          </w:rPr>
          <w:t>https://doi.org/10.1007/978-3-030-48299-2</w:t>
        </w:r>
      </w:hyperlink>
      <w:r w:rsidRPr="007458F6">
        <w:t>.</w:t>
      </w:r>
      <w:r w:rsidR="004408C5">
        <w:t xml:space="preserve"> (Accessed: 10 June 2024)</w:t>
      </w:r>
    </w:p>
    <w:p w14:paraId="4F0DEBF0" w14:textId="345FAC4E" w:rsidR="008720A0" w:rsidRDefault="003F0EC9" w:rsidP="008720A0">
      <w:r>
        <w:t>Cambri</w:t>
      </w:r>
      <w:r w:rsidR="0083713E">
        <w:t xml:space="preserve">dge Dictionary (2024) </w:t>
      </w:r>
      <w:r w:rsidR="001D7603">
        <w:t xml:space="preserve">Definition of </w:t>
      </w:r>
      <w:r w:rsidR="0083713E">
        <w:t>Life</w:t>
      </w:r>
      <w:r w:rsidR="001D7603">
        <w:t xml:space="preserve">style available at: </w:t>
      </w:r>
      <w:hyperlink r:id="rId34" w:history="1">
        <w:r w:rsidR="001D7603" w:rsidRPr="009A1C73">
          <w:rPr>
            <w:rStyle w:val="Hyperlink"/>
          </w:rPr>
          <w:t>https://dictionary.cambridge.org/dictionary/english/lifestyle</w:t>
        </w:r>
      </w:hyperlink>
      <w:r w:rsidR="001D7603">
        <w:t xml:space="preserve"> (Accessed:</w:t>
      </w:r>
      <w:r w:rsidR="00340728">
        <w:t xml:space="preserve"> 16 June 2024)</w:t>
      </w:r>
      <w:r w:rsidR="008720A0">
        <w:t>.</w:t>
      </w:r>
    </w:p>
    <w:p w14:paraId="4AF1B624" w14:textId="4536690A" w:rsidR="003F0EC9" w:rsidRPr="001C09A4" w:rsidRDefault="008720A0" w:rsidP="008720A0">
      <w:proofErr w:type="spellStart"/>
      <w:r>
        <w:t>Farhud</w:t>
      </w:r>
      <w:proofErr w:type="spellEnd"/>
      <w:r>
        <w:t xml:space="preserve">, D, D. (2015) Impact of Lifestyle on Health. Available at: </w:t>
      </w:r>
      <w:hyperlink r:id="rId35" w:history="1">
        <w:r w:rsidR="004408C5" w:rsidRPr="009A1C73">
          <w:rPr>
            <w:rStyle w:val="Hyperlink"/>
          </w:rPr>
          <w:t>https://pubmed.ncbi.nlm.nih.gov/26744700</w:t>
        </w:r>
      </w:hyperlink>
      <w:r>
        <w:t>.</w:t>
      </w:r>
      <w:r w:rsidR="004408C5">
        <w:t xml:space="preserve"> (Accessed: 10 June 2024)</w:t>
      </w:r>
    </w:p>
    <w:p w14:paraId="35C9DFEE" w14:textId="37265B27" w:rsidR="00E84416" w:rsidRPr="001C09A4" w:rsidRDefault="007C7659" w:rsidP="005D4D2B">
      <w:r w:rsidRPr="007C7659">
        <w:lastRenderedPageBreak/>
        <w:t>Porter, S. (2014) "Position Statement on Early Childhood Development," Elsevier BV, 29(2</w:t>
      </w:r>
      <w:proofErr w:type="gramStart"/>
      <w:r w:rsidRPr="007C7659">
        <w:t>),p.</w:t>
      </w:r>
      <w:proofErr w:type="gramEnd"/>
      <w:r w:rsidRPr="007C7659">
        <w:t xml:space="preserve"> 187-188. Available at: </w:t>
      </w:r>
      <w:hyperlink r:id="rId36" w:history="1">
        <w:r w:rsidR="004408C5" w:rsidRPr="009A1C73">
          <w:rPr>
            <w:rStyle w:val="Hyperlink"/>
          </w:rPr>
          <w:t>https://doi.org/10.1016/j.pedn.2013.12.006</w:t>
        </w:r>
      </w:hyperlink>
      <w:r w:rsidRPr="007C7659">
        <w:t>.</w:t>
      </w:r>
      <w:r w:rsidR="004408C5">
        <w:t xml:space="preserve"> (Accessed: 10 June 2024)</w:t>
      </w:r>
    </w:p>
    <w:p w14:paraId="6F7E0D13" w14:textId="77777777" w:rsidR="00130430" w:rsidRDefault="00130430" w:rsidP="005D4D2B"/>
    <w:p w14:paraId="59CEBFC5" w14:textId="6B9FE0C0" w:rsidR="00130430" w:rsidRDefault="00003BBE" w:rsidP="005D4D2B">
      <w:proofErr w:type="spellStart"/>
      <w:r w:rsidRPr="00003BBE">
        <w:t>Gitterman</w:t>
      </w:r>
      <w:proofErr w:type="spellEnd"/>
      <w:r w:rsidRPr="00003BBE">
        <w:t xml:space="preserve">, A, B. et al. (2016) Poverty and Child Health in the United States. Available at: </w:t>
      </w:r>
      <w:hyperlink r:id="rId37" w:history="1">
        <w:r w:rsidR="00C81B3F" w:rsidRPr="009A1C73">
          <w:rPr>
            <w:rStyle w:val="Hyperlink"/>
          </w:rPr>
          <w:t>https://doi.org/10.1542/peds.2016-0339</w:t>
        </w:r>
      </w:hyperlink>
      <w:r w:rsidRPr="00003BBE">
        <w:t>.</w:t>
      </w:r>
      <w:r w:rsidR="00C81B3F">
        <w:t xml:space="preserve"> (Ac</w:t>
      </w:r>
      <w:r w:rsidR="004408C5">
        <w:t>cessed: 12 June 2024)</w:t>
      </w:r>
    </w:p>
    <w:p w14:paraId="3B81756E" w14:textId="4D734299" w:rsidR="00E84416" w:rsidRDefault="00D23922" w:rsidP="005D4D2B">
      <w:r w:rsidRPr="00D23922">
        <w:t xml:space="preserve">Worthman, M, C., Tomlinson, M. and </w:t>
      </w:r>
      <w:proofErr w:type="spellStart"/>
      <w:r w:rsidRPr="00D23922">
        <w:t>Rotheram</w:t>
      </w:r>
      <w:proofErr w:type="spellEnd"/>
      <w:r w:rsidRPr="00D23922">
        <w:rPr>
          <w:rFonts w:ascii="Cambria Math" w:hAnsi="Cambria Math" w:cs="Cambria Math"/>
        </w:rPr>
        <w:t>‐</w:t>
      </w:r>
      <w:r w:rsidRPr="00D23922">
        <w:t xml:space="preserve">Borus, J, M. (2016) When can parents most influence their child's development? Expert knowledge and perceived local realities. Available at: </w:t>
      </w:r>
      <w:hyperlink r:id="rId38" w:history="1">
        <w:r w:rsidRPr="009A1C73">
          <w:rPr>
            <w:rStyle w:val="Hyperlink"/>
          </w:rPr>
          <w:t>https://doi.org/10.1016/j.socscimed.2016.02.040</w:t>
        </w:r>
      </w:hyperlink>
      <w:r w:rsidRPr="00D23922">
        <w:t>.</w:t>
      </w:r>
      <w:r w:rsidR="00854B01">
        <w:t xml:space="preserve"> Acc</w:t>
      </w:r>
      <w:r w:rsidR="00C81B3F">
        <w:t>essed: 12 June 2024)</w:t>
      </w:r>
    </w:p>
    <w:p w14:paraId="0EC6EC6C" w14:textId="22BD17C7" w:rsidR="00D23922" w:rsidRDefault="00885EFE" w:rsidP="005D4D2B">
      <w:r w:rsidRPr="00885EFE">
        <w:t>Fleet, A. et al. (2015) "The Role of the Educational Leader: Perceptions and Expectations in a Period of Change," SAGE Publishing, 40(3</w:t>
      </w:r>
      <w:proofErr w:type="gramStart"/>
      <w:r w:rsidRPr="00885EFE">
        <w:t>),p.</w:t>
      </w:r>
      <w:proofErr w:type="gramEnd"/>
      <w:r w:rsidRPr="00885EFE">
        <w:t xml:space="preserve"> 29-37. Available at: </w:t>
      </w:r>
      <w:hyperlink r:id="rId39" w:history="1">
        <w:r w:rsidRPr="009A1C73">
          <w:rPr>
            <w:rStyle w:val="Hyperlink"/>
          </w:rPr>
          <w:t>https://doi.org/10.1177/183693911504000305</w:t>
        </w:r>
      </w:hyperlink>
      <w:r w:rsidRPr="00885EFE">
        <w:t>.</w:t>
      </w:r>
      <w:r w:rsidR="00854B01">
        <w:t xml:space="preserve"> (Accessed: 14 June 2024)</w:t>
      </w:r>
    </w:p>
    <w:p w14:paraId="7BEEE63C" w14:textId="351D9754" w:rsidR="00885EFE" w:rsidRDefault="000D47AB" w:rsidP="005D4D2B">
      <w:r w:rsidRPr="000D47AB">
        <w:t>Hallet, E. (2013) "‘We all share a common vision and passion’: Early years professionals reflect upon their leadership of practice role," SAGE Publishing, 11(3</w:t>
      </w:r>
      <w:proofErr w:type="gramStart"/>
      <w:r w:rsidRPr="000D47AB">
        <w:t>),p.</w:t>
      </w:r>
      <w:proofErr w:type="gramEnd"/>
      <w:r w:rsidRPr="000D47AB">
        <w:t xml:space="preserve"> 312-325. Available at: </w:t>
      </w:r>
      <w:hyperlink r:id="rId40" w:history="1">
        <w:r w:rsidRPr="009A1C73">
          <w:rPr>
            <w:rStyle w:val="Hyperlink"/>
          </w:rPr>
          <w:t>https://doi.org/10.1177/1476718x13490889</w:t>
        </w:r>
      </w:hyperlink>
      <w:r w:rsidRPr="000D47AB">
        <w:t>.</w:t>
      </w:r>
      <w:r w:rsidR="001D238A">
        <w:t xml:space="preserve"> (A</w:t>
      </w:r>
      <w:r w:rsidR="00854B01">
        <w:t>ccessed 15 June 2024)</w:t>
      </w:r>
    </w:p>
    <w:p w14:paraId="3B0D8075" w14:textId="7EC7F00D" w:rsidR="000D47AB" w:rsidRDefault="001B2B94" w:rsidP="005D4D2B">
      <w:r w:rsidRPr="001B2B94">
        <w:t xml:space="preserve">Allen, L. et al. (2015) Developing the Care and Education Workforce for Children Birth Through Age 8. Available at: </w:t>
      </w:r>
      <w:hyperlink r:id="rId41" w:history="1">
        <w:r w:rsidRPr="009A1C73">
          <w:rPr>
            <w:rStyle w:val="Hyperlink"/>
          </w:rPr>
          <w:t>https://www.ncbi.nlm.nih.gov/books/NBK310540/</w:t>
        </w:r>
      </w:hyperlink>
      <w:r w:rsidRPr="001B2B94">
        <w:t>.</w:t>
      </w:r>
      <w:r w:rsidR="001D238A">
        <w:t xml:space="preserve"> (Accessed: 16 June 2024)</w:t>
      </w:r>
    </w:p>
    <w:p w14:paraId="020C1B01" w14:textId="6D8A4A1A" w:rsidR="001B2B94" w:rsidRDefault="00A51AA3" w:rsidP="005469A6">
      <w:r>
        <w:t>UNICEF</w:t>
      </w:r>
      <w:r w:rsidR="005B0430">
        <w:t xml:space="preserve"> </w:t>
      </w:r>
      <w:r>
        <w:t xml:space="preserve">(no date) </w:t>
      </w:r>
      <w:r>
        <w:rPr>
          <w:i/>
          <w:iCs/>
        </w:rPr>
        <w:t xml:space="preserve">The </w:t>
      </w:r>
      <w:r w:rsidR="00810FCD">
        <w:rPr>
          <w:i/>
          <w:iCs/>
        </w:rPr>
        <w:t xml:space="preserve">United Nation </w:t>
      </w:r>
      <w:r w:rsidR="00562287">
        <w:rPr>
          <w:i/>
          <w:iCs/>
        </w:rPr>
        <w:t>C</w:t>
      </w:r>
      <w:r w:rsidR="00810FCD">
        <w:rPr>
          <w:i/>
          <w:iCs/>
        </w:rPr>
        <w:t>onvention</w:t>
      </w:r>
      <w:r w:rsidR="00562287">
        <w:rPr>
          <w:i/>
          <w:iCs/>
        </w:rPr>
        <w:t xml:space="preserve"> on the Rights of the Child. </w:t>
      </w:r>
      <w:r w:rsidR="00D670AA">
        <w:t>Available at:</w:t>
      </w:r>
      <w:r w:rsidR="00D670AA">
        <w:fldChar w:fldCharType="begin"/>
      </w:r>
      <w:r w:rsidR="00D670AA">
        <w:instrText>HYPERLINK "</w:instrText>
      </w:r>
      <w:r w:rsidR="00D670AA" w:rsidRPr="00D670AA">
        <w:instrText xml:space="preserve"> </w:instrText>
      </w:r>
      <w:r w:rsidR="00D670AA" w:rsidRPr="00D670AA">
        <w:instrText>https://www.unicef.org.uk/wp-content/uploads/2016/08/unicef-convention-rights-child-uncrc.pdf</w:instrText>
      </w:r>
      <w:r w:rsidR="00D670AA">
        <w:instrText>"</w:instrText>
      </w:r>
      <w:r w:rsidR="00D670AA">
        <w:fldChar w:fldCharType="separate"/>
      </w:r>
      <w:r w:rsidR="00D670AA" w:rsidRPr="009A1C73">
        <w:rPr>
          <w:rStyle w:val="Hyperlink"/>
        </w:rPr>
        <w:t xml:space="preserve"> </w:t>
      </w:r>
      <w:r w:rsidR="00D670AA" w:rsidRPr="009A1C73">
        <w:rPr>
          <w:rStyle w:val="Hyperlink"/>
        </w:rPr>
        <w:t>https://www.unicef.org.uk/wp</w:t>
      </w:r>
      <w:r w:rsidR="00D670AA" w:rsidRPr="009A1C73">
        <w:rPr>
          <w:rStyle w:val="Hyperlink"/>
        </w:rPr>
        <w:t>-</w:t>
      </w:r>
      <w:r w:rsidR="00D670AA" w:rsidRPr="009A1C73">
        <w:rPr>
          <w:rStyle w:val="Hyperlink"/>
        </w:rPr>
        <w:t>content/uplo</w:t>
      </w:r>
      <w:r w:rsidR="00D670AA" w:rsidRPr="009A1C73">
        <w:rPr>
          <w:rStyle w:val="Hyperlink"/>
        </w:rPr>
        <w:t>a</w:t>
      </w:r>
      <w:r w:rsidR="00D670AA" w:rsidRPr="009A1C73">
        <w:rPr>
          <w:rStyle w:val="Hyperlink"/>
        </w:rPr>
        <w:t>ds/2016/08/unicef-convention-rights-child-uncrc.pdf</w:t>
      </w:r>
      <w:r w:rsidR="00D670AA">
        <w:fldChar w:fldCharType="end"/>
      </w:r>
      <w:r w:rsidR="00D670AA">
        <w:t xml:space="preserve"> (Accessed: 16 June 20</w:t>
      </w:r>
      <w:r w:rsidR="001D238A">
        <w:t>24)</w:t>
      </w:r>
    </w:p>
    <w:p w14:paraId="5DE354C4" w14:textId="426BA550" w:rsidR="007B57A6" w:rsidRPr="003E30C4" w:rsidRDefault="003C70F4" w:rsidP="005D4D2B">
      <w:r>
        <w:t>Mus</w:t>
      </w:r>
      <w:r w:rsidR="00A71DA3">
        <w:t xml:space="preserve">grave, </w:t>
      </w:r>
      <w:r w:rsidR="00623639">
        <w:t>J</w:t>
      </w:r>
      <w:r w:rsidR="00932CD8">
        <w:t>. (2017)</w:t>
      </w:r>
      <w:r w:rsidR="00932CD8">
        <w:rPr>
          <w:i/>
          <w:iCs/>
        </w:rPr>
        <w:t xml:space="preserve"> Supporting children</w:t>
      </w:r>
      <w:r w:rsidR="003E30C4">
        <w:rPr>
          <w:i/>
          <w:iCs/>
        </w:rPr>
        <w:t>’s health and wellbeing</w:t>
      </w:r>
      <w:r w:rsidR="003E30C4">
        <w:t>. London: Sage Publication</w:t>
      </w:r>
    </w:p>
    <w:p w14:paraId="1E146543" w14:textId="79ACC1DD" w:rsidR="000D571B" w:rsidRDefault="0083013C" w:rsidP="005D4D2B">
      <w:r w:rsidRPr="0083013C">
        <w:t xml:space="preserve">Bain, J., James, D., &amp; Harrison, M. (2015, August 10). Supporting communication development in the early years: A practitioner’s perspective. </w:t>
      </w:r>
      <w:hyperlink r:id="rId42" w:history="1">
        <w:r w:rsidRPr="009A1C73">
          <w:rPr>
            <w:rStyle w:val="Hyperlink"/>
          </w:rPr>
          <w:t>https://doi.org/10.1177/0265659015596795</w:t>
        </w:r>
      </w:hyperlink>
      <w:r w:rsidR="00F8223F">
        <w:t xml:space="preserve"> (Accessed: 16 June 2024)</w:t>
      </w:r>
    </w:p>
    <w:p w14:paraId="4AF28389" w14:textId="4BC23A28" w:rsidR="0083013C" w:rsidRDefault="00FE4989" w:rsidP="005D4D2B">
      <w:r>
        <w:t>Wel</w:t>
      </w:r>
      <w:r w:rsidR="00566C11">
        <w:t>sh Government (</w:t>
      </w:r>
      <w:r w:rsidR="008675CA">
        <w:t>2022</w:t>
      </w:r>
      <w:r w:rsidR="00566C11">
        <w:t xml:space="preserve">) </w:t>
      </w:r>
      <w:r w:rsidR="00566C11">
        <w:rPr>
          <w:i/>
          <w:iCs/>
        </w:rPr>
        <w:t>Curricul</w:t>
      </w:r>
      <w:r w:rsidR="00C53322">
        <w:rPr>
          <w:i/>
          <w:iCs/>
        </w:rPr>
        <w:t>um for Wales .</w:t>
      </w:r>
      <w:r w:rsidR="00C53322">
        <w:t>Available at:</w:t>
      </w:r>
      <w:r w:rsidR="008675CA">
        <w:t xml:space="preserve"> </w:t>
      </w:r>
      <w:hyperlink r:id="rId43" w:history="1">
        <w:r w:rsidR="00834C40" w:rsidRPr="009A1C73">
          <w:rPr>
            <w:rStyle w:val="Hyperlink"/>
          </w:rPr>
          <w:t>https://hwb.gov.wales/curriculum-for-wales/designing-your-curriculum/developing-a-vision-for-curriculum-design/#curriculum-design-and-the-four-purposes</w:t>
        </w:r>
      </w:hyperlink>
      <w:r w:rsidR="00C53322">
        <w:t xml:space="preserve"> </w:t>
      </w:r>
      <w:r w:rsidR="00F8223F">
        <w:t>(Accessed: 16 June 2024)</w:t>
      </w:r>
    </w:p>
    <w:p w14:paraId="6D74DF4F" w14:textId="77777777" w:rsidR="00627B31" w:rsidRPr="001C09A4" w:rsidRDefault="00627B31" w:rsidP="005D4D2B"/>
    <w:p w14:paraId="14E667BF" w14:textId="77777777" w:rsidR="00E84416" w:rsidRDefault="00E84416" w:rsidP="005D4D2B"/>
    <w:p w14:paraId="13A309B3" w14:textId="77777777" w:rsidR="00130430" w:rsidRDefault="00130430" w:rsidP="005D4D2B"/>
    <w:p w14:paraId="5911E27D" w14:textId="77777777" w:rsidR="00130430" w:rsidRDefault="00130430" w:rsidP="005D4D2B"/>
    <w:p w14:paraId="65DFC3F0" w14:textId="77777777" w:rsidR="00130430" w:rsidRDefault="00130430" w:rsidP="005D4D2B"/>
    <w:p w14:paraId="6B313B47" w14:textId="77777777" w:rsidR="00130430" w:rsidRDefault="00130430" w:rsidP="005D4D2B"/>
    <w:p w14:paraId="784EFF21" w14:textId="77777777" w:rsidR="00130430" w:rsidRDefault="00130430" w:rsidP="005D4D2B"/>
    <w:p w14:paraId="1FFFD651" w14:textId="77777777" w:rsidR="00130430" w:rsidRDefault="00130430" w:rsidP="005D4D2B"/>
    <w:p w14:paraId="502938D2" w14:textId="77777777" w:rsidR="00130430" w:rsidRPr="00604CD1" w:rsidRDefault="00130430" w:rsidP="005D4D2B">
      <w:pPr>
        <w:rPr>
          <w:b/>
          <w:bCs/>
        </w:rPr>
      </w:pPr>
    </w:p>
    <w:p w14:paraId="339F7616" w14:textId="700556DF" w:rsidR="00130430" w:rsidRPr="00604CD1" w:rsidRDefault="00130430" w:rsidP="00130430">
      <w:pPr>
        <w:jc w:val="center"/>
        <w:rPr>
          <w:b/>
          <w:bCs/>
        </w:rPr>
      </w:pPr>
      <w:r w:rsidRPr="00604CD1">
        <w:rPr>
          <w:b/>
          <w:bCs/>
        </w:rPr>
        <w:t xml:space="preserve">Reference list for </w:t>
      </w:r>
      <w:r w:rsidR="00980C21" w:rsidRPr="00604CD1">
        <w:rPr>
          <w:b/>
          <w:bCs/>
        </w:rPr>
        <w:t>Presentation</w:t>
      </w:r>
    </w:p>
    <w:p w14:paraId="664A858D" w14:textId="77777777" w:rsidR="00604CD1" w:rsidRDefault="00604CD1" w:rsidP="00604CD1">
      <w:proofErr w:type="spellStart"/>
      <w:r>
        <w:t>Allgulander</w:t>
      </w:r>
      <w:proofErr w:type="spellEnd"/>
      <w:r>
        <w:t>, C. (2012) "Generalized Anxiety Disorder: A Review of Recent Findings," Taipei Medical University, 4(2), p. 88-91. Available at: https://doi.org/10.1016/j.jecm.2012.01.006. (Accessed: 9 June 2024)</w:t>
      </w:r>
    </w:p>
    <w:p w14:paraId="53F24F95" w14:textId="77777777" w:rsidR="00604CD1" w:rsidRDefault="00604CD1" w:rsidP="00604CD1">
      <w:r>
        <w:t>Barnett, D. and Vondra, I, J. (1999) Chapter I. Atypical Patterns of Early Attachment: Theory, Research, and Current Directions. Available at: https://doi.org/10.1111/1540-5834.00031. (Accessed: 7 June 2024)</w:t>
      </w:r>
    </w:p>
    <w:p w14:paraId="11E3ED69" w14:textId="77777777" w:rsidR="00604CD1" w:rsidRDefault="00604CD1" w:rsidP="00604CD1">
      <w:r>
        <w:t xml:space="preserve">Bonsteel, S. (2012) APA </w:t>
      </w:r>
      <w:proofErr w:type="spellStart"/>
      <w:r>
        <w:t>PsycNET</w:t>
      </w:r>
      <w:proofErr w:type="spellEnd"/>
      <w:r>
        <w:t>. Available at: https://doi.org/10.5260/chara.14.1.16. (Accessed:12 June 2024)</w:t>
      </w:r>
    </w:p>
    <w:p w14:paraId="7017864B" w14:textId="77777777" w:rsidR="00604CD1" w:rsidRDefault="00604CD1" w:rsidP="00604CD1">
      <w:r>
        <w:t>Briot, K. et al. (2020) Social Anxiety in Children and Adolescents with Autism Spectrum Disorders Contribute to Impairments in Social Communication and Social Motivation. Available at: https://doi.org/10.3389/fpsyt.2020.00710. (Accessed: 7 June 2024)</w:t>
      </w:r>
    </w:p>
    <w:p w14:paraId="5187F171" w14:textId="77777777" w:rsidR="00604CD1" w:rsidRDefault="00604CD1" w:rsidP="00604CD1">
      <w:proofErr w:type="spellStart"/>
      <w:r>
        <w:t>Brumariu</w:t>
      </w:r>
      <w:proofErr w:type="spellEnd"/>
      <w:r>
        <w:t>, E, L. and Kerns, A, K. (2008) Mother–child attachment and social anxiety symptoms in middle childhood. Available at: https://doi.org/10.1016/j.appdev.2008.06.002. (Accessed: 7 June 2024)</w:t>
      </w:r>
    </w:p>
    <w:p w14:paraId="6746622D" w14:textId="77777777" w:rsidR="00604CD1" w:rsidRDefault="00604CD1" w:rsidP="00604CD1">
      <w:r>
        <w:t xml:space="preserve">Burton, M., </w:t>
      </w:r>
      <w:proofErr w:type="spellStart"/>
      <w:r>
        <w:t>Pavord</w:t>
      </w:r>
      <w:proofErr w:type="spellEnd"/>
      <w:r>
        <w:t>, E., and Williams, B, (2014) An Introduction to Child and Adolescent Mental Health. London: Sage Publication</w:t>
      </w:r>
    </w:p>
    <w:p w14:paraId="1231484B" w14:textId="77777777" w:rsidR="00604CD1" w:rsidRDefault="00604CD1" w:rsidP="00604CD1">
      <w:r>
        <w:t>CDC (2004) About Mental Health available at: https://www.cdc.gov/mentalhealth/learn/index.htm.  (Accessed: 28 May 2024)</w:t>
      </w:r>
    </w:p>
    <w:p w14:paraId="07AF26F6" w14:textId="77777777" w:rsidR="00604CD1" w:rsidRDefault="00604CD1" w:rsidP="00604CD1">
      <w:r>
        <w:t>Dias, V, F. and Campos, B, D, Á, J. (2016) "Causal Factors of Anxiety Symptoms in Children," OMICS Publishing Group, 2(2). Available at: https://doi.org/10.4172/2471-2701.1000131. (Accessed: 12 June 2024)</w:t>
      </w:r>
    </w:p>
    <w:p w14:paraId="65766A4E" w14:textId="77777777" w:rsidR="00604CD1" w:rsidRDefault="00604CD1" w:rsidP="00604CD1">
      <w:r>
        <w:t xml:space="preserve">Dickstein, P, D. (2011) Anxiety in adolescents: Update on its diagnosis and treatment for primary care providers. Available at: https://doi.org/10.2147/ahmt.s7597. (Accessed: 7 June 2024) </w:t>
      </w:r>
    </w:p>
    <w:p w14:paraId="0AD9225B" w14:textId="77777777" w:rsidR="00604CD1" w:rsidRDefault="00604CD1" w:rsidP="00604CD1">
      <w:r>
        <w:t>Dougherty, R, L. et al. (2013) Preschool Anxiety Disorders: Comprehensive Assessment of Clinical, Demographic, Temperamental, Familial, and Life Stress Correlates. Available at: https://doi.org/10.1080/15374416.2012.759225. (Accessed: 12 June 2024)</w:t>
      </w:r>
    </w:p>
    <w:p w14:paraId="4707C5BD" w14:textId="77777777" w:rsidR="00604CD1" w:rsidRDefault="00604CD1" w:rsidP="00604CD1">
      <w:r>
        <w:t>Ehrenreich, T, J., Santucci, C, L. and Weiner, L, C. (2008) SEPARATION ANXIETY DISORDER IN YOUTH: PHENOMENOLOGY, ASSESSMENT, AND TREATMENT. Available at: https://doi.org/10.1901/jaba.2008.16-389. (Accessed: 29 May 2024)</w:t>
      </w:r>
    </w:p>
    <w:p w14:paraId="1039C4D8" w14:textId="77777777" w:rsidR="00604CD1" w:rsidRDefault="00604CD1" w:rsidP="00604CD1">
      <w:r>
        <w:t>Greco, A, L. and Morris, L, T. (2005) Factors influencing the link between social anxiety and peer acceptance: Contributions of social skills and close friendships during middle childhood. Available at: https://doi.org/10.1016/s0005-7894(05)80068-1. (Accessed:12 June 2024)</w:t>
      </w:r>
    </w:p>
    <w:p w14:paraId="13415C80" w14:textId="77777777" w:rsidR="00604CD1" w:rsidRDefault="00604CD1" w:rsidP="00604CD1">
      <w:r>
        <w:lastRenderedPageBreak/>
        <w:t>Hayhoe, R. et al. (2021) Cross-sectional associations of schoolchildren’s fruit and vegetable consumption, and meal choices, with their mental well-being: A cross-sectional study. Available at: https://doi.org/10.1136/bmjnph-2020-000205. (Accessed: 25 May 2024)</w:t>
      </w:r>
    </w:p>
    <w:p w14:paraId="2CBBE5F2" w14:textId="77777777" w:rsidR="00604CD1" w:rsidRDefault="00604CD1" w:rsidP="00604CD1"/>
    <w:p w14:paraId="78810860" w14:textId="77777777" w:rsidR="00604CD1" w:rsidRDefault="00604CD1" w:rsidP="00604CD1"/>
    <w:p w14:paraId="4D865FA9" w14:textId="3F714C18" w:rsidR="00604CD1" w:rsidRDefault="00604CD1" w:rsidP="00604CD1">
      <w:r>
        <w:t xml:space="preserve">Keeton, C., Kolos, C, A. and </w:t>
      </w:r>
      <w:proofErr w:type="spellStart"/>
      <w:r>
        <w:t>Walkup</w:t>
      </w:r>
      <w:proofErr w:type="spellEnd"/>
      <w:r>
        <w:t>, T, J. (2009) "Paediatric Generalized Anxiety Disorder," Adis, Springer Healthcare, 11(3), p. 171-183. Available at: https://doi.org/10.2165/00148581-200911030-00003. (Accessed: 12 June 2024)</w:t>
      </w:r>
    </w:p>
    <w:p w14:paraId="3710A2F9" w14:textId="77777777" w:rsidR="00604CD1" w:rsidRDefault="00604CD1" w:rsidP="00604CD1">
      <w:r>
        <w:t xml:space="preserve">Kendall, P., and Comer., J, (2000) Childhood Disorders.  Anxiety disorders 2nd </w:t>
      </w:r>
      <w:proofErr w:type="spellStart"/>
      <w:r>
        <w:t>edn</w:t>
      </w:r>
      <w:proofErr w:type="spellEnd"/>
      <w:r>
        <w:t>. East Sussex: Psychology Press</w:t>
      </w:r>
    </w:p>
    <w:p w14:paraId="1448F65D" w14:textId="77777777" w:rsidR="00604CD1" w:rsidRDefault="00604CD1" w:rsidP="00604CD1">
      <w:r>
        <w:t>Leigh, E. and Clark, M, D. (2018) "Understanding Social Anxiety Disorder in Adolescents and Improving Treatment Outcomes: Applying the Cognitive Model of Clark and Wells (1995)," Springer Science Business Media, 21(3), p. 388-414. Available at: https://doi.org/10.1007/s10567-018-0258-5. (Accessed: 7 June 2024)</w:t>
      </w:r>
    </w:p>
    <w:p w14:paraId="4E200156" w14:textId="77777777" w:rsidR="00604CD1" w:rsidRDefault="00604CD1" w:rsidP="00604CD1">
      <w:r>
        <w:t>Matthews, T. et al. (2015) Social Isolation and Mental Health at Primary and Secondary School Entry: A Longitudinal Cohort Study. Available at: https://doi.org/10.1016/j.jaac.2014.12.008. (Accessed: 1 June 2024)</w:t>
      </w:r>
    </w:p>
    <w:p w14:paraId="3CE018E2" w14:textId="77777777" w:rsidR="00604CD1" w:rsidRDefault="00604CD1" w:rsidP="00604CD1">
      <w:proofErr w:type="spellStart"/>
      <w:r>
        <w:t>Mazzer</w:t>
      </w:r>
      <w:proofErr w:type="spellEnd"/>
      <w:r>
        <w:t xml:space="preserve">, K., </w:t>
      </w:r>
      <w:proofErr w:type="spellStart"/>
      <w:r>
        <w:t>Rickwood</w:t>
      </w:r>
      <w:proofErr w:type="spellEnd"/>
      <w:r>
        <w:t>, D. and Vanags, T. (2012) "Teachers and Sports Coaches Supporting Young People-s Mental Health: Promotion, Prevention, and Early Intervention," 6(6), p. 1209-1214. Available at: https://doi.org/10.5281/zenodo.1056502. (Accessed: 25 May 2024)</w:t>
      </w:r>
    </w:p>
    <w:p w14:paraId="7C276B5E" w14:textId="77777777" w:rsidR="00604CD1" w:rsidRDefault="00604CD1" w:rsidP="00604CD1">
      <w:r>
        <w:t>Mazzone, L. et al. (2007) The role of anxiety symptoms in school performance in a community sample of children and adolescents. Available at: https://doi.org/10.1186/1471-2458-7-347. (Accessed: 12 June 2024)</w:t>
      </w:r>
    </w:p>
    <w:p w14:paraId="0F4EEA1D" w14:textId="77777777" w:rsidR="00604CD1" w:rsidRDefault="00604CD1" w:rsidP="00604CD1">
      <w:r>
        <w:t>Mental Health Promotion and Prevention (2022) Youth Mental Health Available at: https://youth.gov/youth-topics/youth-mental-health/mental-health-promotion-prevention (Accessed: 25 May 2024)</w:t>
      </w:r>
    </w:p>
    <w:p w14:paraId="617822D7" w14:textId="77777777" w:rsidR="00604CD1" w:rsidRDefault="00604CD1" w:rsidP="00604CD1">
      <w:proofErr w:type="spellStart"/>
      <w:r>
        <w:t>Netw</w:t>
      </w:r>
      <w:proofErr w:type="spellEnd"/>
      <w:r>
        <w:t>, I, N. (2015) Measuring mental wellbeing in children and young people. Available at: https://www.yhpho.org.uk/default.aspx?RID=213417. (Accessed: 25 May 2024)</w:t>
      </w:r>
    </w:p>
    <w:p w14:paraId="58DD76CF" w14:textId="77777777" w:rsidR="00604CD1" w:rsidRDefault="00604CD1" w:rsidP="00604CD1">
      <w:r>
        <w:t>Nevo, A, W, G. et al. (2014) Eight years later: outcomes of CBT-treated versus untreated anxious children. Available at: https://onlinelibrary.wiley.com/doi/10.1002/brb3.274. (Accessed: 12 June 2024)</w:t>
      </w:r>
    </w:p>
    <w:p w14:paraId="4323C1D5" w14:textId="77777777" w:rsidR="00604CD1" w:rsidRDefault="00604CD1" w:rsidP="00604CD1">
      <w:proofErr w:type="spellStart"/>
      <w:r>
        <w:t>Ofrad</w:t>
      </w:r>
      <w:proofErr w:type="spellEnd"/>
      <w:r>
        <w:t>, S., Abdullah, R. and Uba, I. (2010) Attachment patterns and separation anxiety symptom. Available at: https://doi.org/10.5539/ass.v6n11 p148. (Accessed: 10 June 2024)</w:t>
      </w:r>
    </w:p>
    <w:p w14:paraId="4DCFF207" w14:textId="77777777" w:rsidR="00604CD1" w:rsidRDefault="00604CD1" w:rsidP="00604CD1">
      <w:r>
        <w:t>Raftery</w:t>
      </w:r>
      <w:r>
        <w:rPr>
          <w:rFonts w:ascii="Cambria Math" w:hAnsi="Cambria Math" w:cs="Cambria Math"/>
        </w:rPr>
        <w:t>‐</w:t>
      </w:r>
      <w:r>
        <w:t>Helmer, N, J. et al. (2016) Changing problematic parent</w:t>
      </w:r>
      <w:r>
        <w:rPr>
          <w:rFonts w:ascii="Aptos" w:hAnsi="Aptos" w:cs="Aptos"/>
        </w:rPr>
        <w:t>–</w:t>
      </w:r>
      <w:r>
        <w:t>child interaction in child anxiety disorders: The promise of Acceptance and Commitment Therapy (ACT). Available at: https://doi.org/10.1016/j.jcbs.2015.08.002. (Accessed: 12 June 2024)</w:t>
      </w:r>
    </w:p>
    <w:p w14:paraId="3D84D4BA" w14:textId="77777777" w:rsidR="00604CD1" w:rsidRDefault="00604CD1" w:rsidP="00604CD1">
      <w:r>
        <w:t>Robinson, M (2011) Interactions, relationships, and emotional responses. Understanding Behaviour and Development in Early Childhood. A guide to theory and practice. Oxon: Routledge</w:t>
      </w:r>
    </w:p>
    <w:p w14:paraId="2BE1C9C6" w14:textId="77777777" w:rsidR="00604CD1" w:rsidRDefault="00604CD1" w:rsidP="00604CD1">
      <w:proofErr w:type="spellStart"/>
      <w:r>
        <w:lastRenderedPageBreak/>
        <w:t>Schuengel</w:t>
      </w:r>
      <w:proofErr w:type="spellEnd"/>
      <w:r>
        <w:t>, C., Oosterman, M. and Sterkenburg, P. (2009) Children with disrupted attachment histories: Interventions and psychophysiological indices of effects. Available at: https://doi.org/10.1186/1753-2000-3-26.  (</w:t>
      </w:r>
      <w:proofErr w:type="gramStart"/>
      <w:r>
        <w:t>Accessed :</w:t>
      </w:r>
      <w:proofErr w:type="gramEnd"/>
      <w:r>
        <w:t xml:space="preserve"> 26 May 2024)</w:t>
      </w:r>
    </w:p>
    <w:p w14:paraId="1006817B" w14:textId="77777777" w:rsidR="00604CD1" w:rsidRDefault="00604CD1" w:rsidP="00604CD1">
      <w:r>
        <w:t>Senaratne, R. et al. (2010) The Burden of Anxiety Disorders on the Family. Available at: https://doi.org/10.1097/nmd.0b013e3181fe7450. (Accessed: 12 June 2024)</w:t>
      </w:r>
    </w:p>
    <w:p w14:paraId="764EC2AC" w14:textId="77777777" w:rsidR="00604CD1" w:rsidRDefault="00604CD1" w:rsidP="00604CD1"/>
    <w:p w14:paraId="7FBFFC8B" w14:textId="77777777" w:rsidR="00604CD1" w:rsidRDefault="00604CD1" w:rsidP="00604CD1"/>
    <w:p w14:paraId="64A20946" w14:textId="468F3A65" w:rsidR="00604CD1" w:rsidRDefault="00604CD1" w:rsidP="00604CD1">
      <w:r>
        <w:t xml:space="preserve">Towe-Goodman, R, N. et al. (2014) Perceived family impact of preschool anxiety disorders. Available at: https://jaacap.org/retrieve/pii/S0890856714000112. (Accessed: 1 June 2024) </w:t>
      </w:r>
    </w:p>
    <w:p w14:paraId="374AA81C" w14:textId="77777777" w:rsidR="00604CD1" w:rsidRDefault="00604CD1" w:rsidP="00604CD1">
      <w:r>
        <w:t>University of Naples SUN (2024) World Health Organization. Promoting mental health: concepts, emerging evidence, practice (Summary Report). Geneva: World Health Organization, 2004. Available at: https://ueaeprints.uea.ac.uk/id/eprint/65104/1/Final_Galderisi_Mental_Health_Definition.pdf (Accessed: 28 May 2024)</w:t>
      </w:r>
    </w:p>
    <w:p w14:paraId="4620004E" w14:textId="77777777" w:rsidR="00604CD1" w:rsidRDefault="00604CD1" w:rsidP="00604CD1">
      <w:r>
        <w:t>Velten, J. et al. (2014) Lifestyle choices and mental health: a representative population survey. Available at: https://doi.org/10.1186/s40359-014-0055-y. (Accessed: 11 June 2024)</w:t>
      </w:r>
    </w:p>
    <w:p w14:paraId="54B88AC6" w14:textId="77777777" w:rsidR="00604CD1" w:rsidRDefault="00604CD1" w:rsidP="00604CD1">
      <w:r>
        <w:t>Velten, J. et al. (2018) "Lifestyle choices and mental health: a longitudinal survey with German and Chinese students," BioMed Central, 18(1). Available at: https://doi.org/10.1186/s12889-018-5526-2. (Accessed: 13 June 2024)</w:t>
      </w:r>
    </w:p>
    <w:p w14:paraId="46B0B0FC" w14:textId="77777777" w:rsidR="00604CD1" w:rsidRDefault="00604CD1" w:rsidP="00604CD1">
      <w:r>
        <w:t>Waddoups, B, A., Yoshikawa, H. and Strouf, K. (2019) Developmental Effects of Parent–Child Separation. Available at: https://doi.org/10.1146/annurev-devpsych-121318-085142. (Accessed: 29 May 2024)</w:t>
      </w:r>
    </w:p>
    <w:p w14:paraId="03829256" w14:textId="77777777" w:rsidR="00604CD1" w:rsidRDefault="00604CD1" w:rsidP="00604CD1">
      <w:r>
        <w:t>Walmsley, P. (2023) Early Years. Available at: https://www.early-years.org/. (Accessed: 25 May 2024)</w:t>
      </w:r>
    </w:p>
    <w:p w14:paraId="4334981A" w14:textId="77777777" w:rsidR="00604CD1" w:rsidRDefault="00604CD1" w:rsidP="00604CD1">
      <w:r>
        <w:t>Walsh, R. (2011) Lifestyle and mental health. Available at: https://doi.org/10.1037/a0021769. (Accessed:13 June 2024)</w:t>
      </w:r>
    </w:p>
    <w:p w14:paraId="1C9C9731" w14:textId="53BBF363" w:rsidR="00604CD1" w:rsidRPr="001C09A4" w:rsidRDefault="00604CD1" w:rsidP="00604CD1">
      <w:r>
        <w:t xml:space="preserve">Weiss, L., Westerhof, J, G. and </w:t>
      </w:r>
      <w:proofErr w:type="spellStart"/>
      <w:r>
        <w:t>Bohlmeijer</w:t>
      </w:r>
      <w:proofErr w:type="spellEnd"/>
      <w:r>
        <w:t>, T, E. (2016) Can We Increase Psychological Well-Being? The Effects of Interventions on Psychological Well-Being: A Meta-Analysis of Randomized Controlled Trials. Available at: https://doi.org/10.1371/journal.pone.0158092. (Accessed: 25 May 2024)</w:t>
      </w:r>
    </w:p>
    <w:p w14:paraId="775FD82E" w14:textId="77777777" w:rsidR="00E84416" w:rsidRPr="001C09A4" w:rsidRDefault="00E84416" w:rsidP="005D4D2B"/>
    <w:p w14:paraId="06347A36" w14:textId="77777777" w:rsidR="00E84416" w:rsidRPr="001C09A4" w:rsidRDefault="00E84416" w:rsidP="005D4D2B"/>
    <w:p w14:paraId="2C8A01EF" w14:textId="77777777" w:rsidR="00E84416" w:rsidRPr="001C09A4" w:rsidRDefault="00E84416" w:rsidP="005D4D2B"/>
    <w:p w14:paraId="4C33D871" w14:textId="77777777" w:rsidR="00E84416" w:rsidRPr="001C09A4" w:rsidRDefault="00E84416" w:rsidP="005D4D2B"/>
    <w:p w14:paraId="253ECC98" w14:textId="77777777" w:rsidR="00E84416" w:rsidRPr="001C09A4" w:rsidRDefault="00E84416" w:rsidP="005D4D2B"/>
    <w:p w14:paraId="0E8908DE" w14:textId="77777777" w:rsidR="00E84416" w:rsidRPr="001C09A4" w:rsidRDefault="00E84416" w:rsidP="005D4D2B"/>
    <w:sectPr w:rsidR="00E84416" w:rsidRPr="001C09A4" w:rsidSect="001957F4">
      <w:headerReference w:type="default" r:id="rId44"/>
      <w:pgSz w:w="16838" w:h="11906" w:orient="landscape"/>
      <w:pgMar w:top="720" w:right="720" w:bottom="720" w:left="720" w:header="227"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5DD539" w14:textId="77777777" w:rsidR="0003680C" w:rsidRDefault="0003680C" w:rsidP="005D4D2B">
      <w:pPr>
        <w:spacing w:after="0" w:line="240" w:lineRule="auto"/>
      </w:pPr>
      <w:r>
        <w:separator/>
      </w:r>
    </w:p>
  </w:endnote>
  <w:endnote w:type="continuationSeparator" w:id="0">
    <w:p w14:paraId="5683C852" w14:textId="77777777" w:rsidR="0003680C" w:rsidRDefault="0003680C" w:rsidP="005D4D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D25E87D" w14:textId="77777777" w:rsidR="0003680C" w:rsidRDefault="0003680C" w:rsidP="005D4D2B">
      <w:pPr>
        <w:spacing w:after="0" w:line="240" w:lineRule="auto"/>
      </w:pPr>
      <w:r>
        <w:separator/>
      </w:r>
    </w:p>
  </w:footnote>
  <w:footnote w:type="continuationSeparator" w:id="0">
    <w:p w14:paraId="60AC8466" w14:textId="77777777" w:rsidR="0003680C" w:rsidRDefault="0003680C" w:rsidP="005D4D2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87D0515" w14:textId="67059FAE" w:rsidR="005D4D2B" w:rsidRDefault="005D4D2B">
    <w:pPr>
      <w:pStyle w:val="Header"/>
    </w:pPr>
    <w:r w:rsidRPr="005D4D2B">
      <w:t>2219037</w:t>
    </w:r>
    <w:r>
      <w:t xml:space="preserve">                                                                                                                   </w:t>
    </w:r>
    <w:r w:rsidRPr="005D4D2B">
      <w:t>ECEY5009</w:t>
    </w:r>
    <w:r>
      <w:t xml:space="preserve">                                                                                                                Word Count   </w:t>
    </w:r>
    <w:r w:rsidR="00545A9C">
      <w:t>2156</w:t>
    </w:r>
    <w:r>
      <w:t xml:space="preserve">    </w:t>
    </w:r>
  </w:p>
  <w:p w14:paraId="0E21859E" w14:textId="662E47C1" w:rsidR="005D4D2B" w:rsidRDefault="001C09A4">
    <w:pPr>
      <w:pStyle w:val="Header"/>
    </w:pPr>
    <w:r>
      <w:rPr>
        <w:noProof/>
      </w:rPr>
      <w:pict w14:anchorId="15423ABC">
        <v:shapetype id="_x0000_t202" coordsize="21600,21600" o:spt="202" path="m,l,21600r21600,l21600,xe">
          <v:stroke joinstyle="miter"/>
          <v:path gradientshapeok="t" o:connecttype="rect"/>
        </v:shapetype>
        <v:shape id="Text Box 2" o:spid="_x0000_s1025" type="#_x0000_t202" style="position:absolute;margin-left:270pt;margin-top:6.7pt;width:174pt;height:25.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VhdCQgIAAL0EAAAOAAAAZHJzL2Uyb0RvYy54bWysVNuO0zAQfUfiHyy/06TZFrpR09XSBYS0&#10;XMTCB7iO3UQ4HmO7TcrXM7bTbAUrHhAv1jgzc3zmzEzWN0OnyFFY14Ku6HyWUyI0h7rV+4p++/r2&#10;xYoS55mumQItKnoSjt5snj9b96YUBTSgamEJgmhX9qaijfemzDLHG9ExNwMjNDol2I55vNp9VlvW&#10;I3qnsiLPX2Y92NpY4MI5/HqXnHQT8aUU3H+S0glPVEWRm4+njecunNlmzcq9ZaZp+UiD/QOLjrUa&#10;H52g7phn5GDbP6C6lltwIP2MQ5eBlC0XsQasZp7/Vs1Dw4yItaA4zkwyuf8Hyz8eH8xnS/zwGgZs&#10;YCzCmXvg3x3RsG2Y3otba6FvBKvx4XmQLOuNK8fUILUrXQDZ9R+gxiazg4cINEjbBVWwToLo2IDT&#10;JLoYPOH4sSjy61WOLo6+q+JqtYxdyVh5zjbW+XcCOhKMilpsakRnx3vnAxtWnkPCY0qHM9B9o+vY&#10;X89alWwMDe7IP1AeyfuTEin1i5CkrQOtpESYQ7FVlhwZThDjXGi/TK6G1SJ9ni9zLCAxiZMbMiIv&#10;pREwIMtWqQl7VPlp7AQzxodUEcd4Ss7/RiwlTxnxZdB+Su5aDfYpAOVTY5Fpij+LlKQJLfbDbkD8&#10;YO6gPmG/LaR9wv1HowH7k5Ied6mi7seBWUGJeq9xZq7ni0VYvnhZLF8VeLGXnt2lh2mOUBX1lCRz&#10;6+PChmI03OJsyTa2/ZHJSBZ3JKo+7nNYwst7jHr862x+AQAA//8DAFBLAwQUAAYACAAAACEAM+Qf&#10;yt0AAAAJAQAADwAAAGRycy9kb3ducmV2LnhtbEyPwU7DMBBE70j8g7VI3KhNSasQ4lSoKBduLUiI&#10;mxMvSSBeR7bbhL9nOcFxZ0azb8rd4kZxxhAHTxpuVwoEUuvtQJ2G15f6JgcRkyFrRk+o4Rsj7KrL&#10;i9IU1s90wPMxdYJLKBZGQ5/SVEgZ2x6diSs/IbH34YMzic/QSRvMzOVulGulttKZgfhDbybc99h+&#10;HU9OQ/YZTV2v962a75/l0yFsGnp71/r6anl8AJFwSX9h+MVndKiYqfEnslGMGjaZ4i2JjbsMBAfy&#10;PGeh0bDNMpBVKf8vqH4AAAD//wMAUEsBAi0AFAAGAAgAAAAhALaDOJL+AAAA4QEAABMAAAAAAAAA&#10;AAAAAAAAAAAAAFtDb250ZW50X1R5cGVzXS54bWxQSwECLQAUAAYACAAAACEAOP0h/9YAAACUAQAA&#10;CwAAAAAAAAAAAAAAAAAvAQAAX3JlbHMvLnJlbHNQSwECLQAUAAYACAAAACEATlYXQkICAAC9BAAA&#10;DgAAAAAAAAAAAAAAAAAuAgAAZHJzL2Uyb0RvYy54bWxQSwECLQAUAAYACAAAACEAM+Qfyt0AAAAJ&#10;AQAADwAAAAAAAAAAAAAAAACcBAAAZHJzL2Rvd25yZXYueG1sUEsFBgAAAAAEAAQA8wAAAKYFAAAA&#10;AA==&#10;" fillcolor="#a02b93 [3208]" strokecolor="#170615 [488]" strokeweight="1pt">
          <v:textbox>
            <w:txbxContent>
              <w:p w14:paraId="5CAB57C9" w14:textId="761A48B0" w:rsidR="005D4D2B" w:rsidRDefault="005D4D2B">
                <w:r w:rsidRPr="005D4D2B">
                  <w:t>Health, Wellbeing and Lifestyles</w:t>
                </w:r>
              </w:p>
            </w:txbxContent>
          </v:textbox>
          <w10:wrap type="square" anchorx="margin"/>
        </v:shape>
      </w:pict>
    </w:r>
  </w:p>
  <w:p w14:paraId="73C21EEA" w14:textId="6BEE81CC" w:rsidR="005D4D2B" w:rsidRDefault="005D4D2B">
    <w:pPr>
      <w:pStyle w:val="Header"/>
    </w:pPr>
    <w:r>
      <w:t xml:space="preserve">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9"/>
    <o:shapelayout v:ext="edit">
      <o:idmap v:ext="edit" data="1"/>
    </o:shapelayout>
  </w:hdrShapeDefaults>
  <w:footnotePr>
    <w:footnote w:id="-1"/>
    <w:footnote w:id="0"/>
  </w:footnotePr>
  <w:endnotePr>
    <w:endnote w:id="-1"/>
    <w:endnote w:id="0"/>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D4D2B"/>
    <w:rsid w:val="00003BBE"/>
    <w:rsid w:val="00005011"/>
    <w:rsid w:val="000317A1"/>
    <w:rsid w:val="00033B4C"/>
    <w:rsid w:val="0003680C"/>
    <w:rsid w:val="00044866"/>
    <w:rsid w:val="00051318"/>
    <w:rsid w:val="000523EE"/>
    <w:rsid w:val="00061E81"/>
    <w:rsid w:val="00070D3D"/>
    <w:rsid w:val="000843D8"/>
    <w:rsid w:val="000941E0"/>
    <w:rsid w:val="000970E2"/>
    <w:rsid w:val="000A3070"/>
    <w:rsid w:val="000D1A27"/>
    <w:rsid w:val="000D47AB"/>
    <w:rsid w:val="000D571B"/>
    <w:rsid w:val="00117EDE"/>
    <w:rsid w:val="00127A4C"/>
    <w:rsid w:val="00130430"/>
    <w:rsid w:val="00150030"/>
    <w:rsid w:val="00187A56"/>
    <w:rsid w:val="00191389"/>
    <w:rsid w:val="00192941"/>
    <w:rsid w:val="001957F4"/>
    <w:rsid w:val="001A0D48"/>
    <w:rsid w:val="001B2B94"/>
    <w:rsid w:val="001C09A4"/>
    <w:rsid w:val="001C6F78"/>
    <w:rsid w:val="001D238A"/>
    <w:rsid w:val="001D51E3"/>
    <w:rsid w:val="001D5A0D"/>
    <w:rsid w:val="001D7603"/>
    <w:rsid w:val="00224728"/>
    <w:rsid w:val="00224D1F"/>
    <w:rsid w:val="00236572"/>
    <w:rsid w:val="00260E3E"/>
    <w:rsid w:val="002642EC"/>
    <w:rsid w:val="002A7F23"/>
    <w:rsid w:val="002D1B21"/>
    <w:rsid w:val="002E21AD"/>
    <w:rsid w:val="002E3FC3"/>
    <w:rsid w:val="002F1537"/>
    <w:rsid w:val="002F1D04"/>
    <w:rsid w:val="002F1EAB"/>
    <w:rsid w:val="003030B5"/>
    <w:rsid w:val="0032240B"/>
    <w:rsid w:val="00340728"/>
    <w:rsid w:val="00353B5C"/>
    <w:rsid w:val="00356041"/>
    <w:rsid w:val="00371553"/>
    <w:rsid w:val="003937F8"/>
    <w:rsid w:val="003B7612"/>
    <w:rsid w:val="003C70F4"/>
    <w:rsid w:val="003D7A76"/>
    <w:rsid w:val="003E2441"/>
    <w:rsid w:val="003E30C4"/>
    <w:rsid w:val="003F0EC9"/>
    <w:rsid w:val="003F25BD"/>
    <w:rsid w:val="00406E56"/>
    <w:rsid w:val="004408C5"/>
    <w:rsid w:val="0045460A"/>
    <w:rsid w:val="0046760D"/>
    <w:rsid w:val="00483720"/>
    <w:rsid w:val="004C4193"/>
    <w:rsid w:val="004F63BA"/>
    <w:rsid w:val="00530B9D"/>
    <w:rsid w:val="00545A9C"/>
    <w:rsid w:val="005469A6"/>
    <w:rsid w:val="005613B5"/>
    <w:rsid w:val="00562287"/>
    <w:rsid w:val="00566C11"/>
    <w:rsid w:val="005B0430"/>
    <w:rsid w:val="005D32B6"/>
    <w:rsid w:val="005D4D2B"/>
    <w:rsid w:val="005E3E5E"/>
    <w:rsid w:val="005F4AD8"/>
    <w:rsid w:val="0060020D"/>
    <w:rsid w:val="00600BD1"/>
    <w:rsid w:val="00601A35"/>
    <w:rsid w:val="00604CD1"/>
    <w:rsid w:val="00616BC4"/>
    <w:rsid w:val="00620DA8"/>
    <w:rsid w:val="00623639"/>
    <w:rsid w:val="00627B31"/>
    <w:rsid w:val="00660B2F"/>
    <w:rsid w:val="006A05F6"/>
    <w:rsid w:val="006C0BBA"/>
    <w:rsid w:val="0071376F"/>
    <w:rsid w:val="007458F6"/>
    <w:rsid w:val="007558F8"/>
    <w:rsid w:val="00782030"/>
    <w:rsid w:val="007B57A6"/>
    <w:rsid w:val="007B5CC5"/>
    <w:rsid w:val="007C7659"/>
    <w:rsid w:val="007D78C4"/>
    <w:rsid w:val="007F6CFC"/>
    <w:rsid w:val="00805B81"/>
    <w:rsid w:val="00810FCD"/>
    <w:rsid w:val="0083013C"/>
    <w:rsid w:val="00834C40"/>
    <w:rsid w:val="0083713E"/>
    <w:rsid w:val="00846F0D"/>
    <w:rsid w:val="00854B01"/>
    <w:rsid w:val="008675CA"/>
    <w:rsid w:val="008720A0"/>
    <w:rsid w:val="00881359"/>
    <w:rsid w:val="0088449B"/>
    <w:rsid w:val="00885EFE"/>
    <w:rsid w:val="008A1A46"/>
    <w:rsid w:val="008B0A38"/>
    <w:rsid w:val="008B7482"/>
    <w:rsid w:val="008C259F"/>
    <w:rsid w:val="008C36F9"/>
    <w:rsid w:val="008E61FD"/>
    <w:rsid w:val="009046DC"/>
    <w:rsid w:val="00916AF7"/>
    <w:rsid w:val="009274FF"/>
    <w:rsid w:val="00932CD8"/>
    <w:rsid w:val="009767EC"/>
    <w:rsid w:val="00980C21"/>
    <w:rsid w:val="009A76C3"/>
    <w:rsid w:val="009C2D42"/>
    <w:rsid w:val="009D10FC"/>
    <w:rsid w:val="009D6BCF"/>
    <w:rsid w:val="009E3B0D"/>
    <w:rsid w:val="009F0748"/>
    <w:rsid w:val="00A1659D"/>
    <w:rsid w:val="00A236BB"/>
    <w:rsid w:val="00A51AA3"/>
    <w:rsid w:val="00A61D64"/>
    <w:rsid w:val="00A6285D"/>
    <w:rsid w:val="00A7188A"/>
    <w:rsid w:val="00A71DA3"/>
    <w:rsid w:val="00AA4185"/>
    <w:rsid w:val="00AD17C2"/>
    <w:rsid w:val="00AF5B01"/>
    <w:rsid w:val="00B06284"/>
    <w:rsid w:val="00B20DF7"/>
    <w:rsid w:val="00B263EF"/>
    <w:rsid w:val="00B43B5F"/>
    <w:rsid w:val="00B92086"/>
    <w:rsid w:val="00B94317"/>
    <w:rsid w:val="00BA230C"/>
    <w:rsid w:val="00BA5DDC"/>
    <w:rsid w:val="00BB4BAF"/>
    <w:rsid w:val="00BC0F09"/>
    <w:rsid w:val="00BC404E"/>
    <w:rsid w:val="00C33C47"/>
    <w:rsid w:val="00C3740C"/>
    <w:rsid w:val="00C53322"/>
    <w:rsid w:val="00C81B3F"/>
    <w:rsid w:val="00CC100E"/>
    <w:rsid w:val="00CC302E"/>
    <w:rsid w:val="00CC5B04"/>
    <w:rsid w:val="00CD46E6"/>
    <w:rsid w:val="00CD565A"/>
    <w:rsid w:val="00CF6DF6"/>
    <w:rsid w:val="00D10E19"/>
    <w:rsid w:val="00D23922"/>
    <w:rsid w:val="00D262E4"/>
    <w:rsid w:val="00D30932"/>
    <w:rsid w:val="00D315B3"/>
    <w:rsid w:val="00D37BF1"/>
    <w:rsid w:val="00D44D2F"/>
    <w:rsid w:val="00D514C6"/>
    <w:rsid w:val="00D5460D"/>
    <w:rsid w:val="00D670AA"/>
    <w:rsid w:val="00DB64A6"/>
    <w:rsid w:val="00DF2B01"/>
    <w:rsid w:val="00E16932"/>
    <w:rsid w:val="00E4532B"/>
    <w:rsid w:val="00E4650E"/>
    <w:rsid w:val="00E619EB"/>
    <w:rsid w:val="00E84416"/>
    <w:rsid w:val="00E87864"/>
    <w:rsid w:val="00E9270E"/>
    <w:rsid w:val="00E92BB1"/>
    <w:rsid w:val="00EA1D1F"/>
    <w:rsid w:val="00EC01AE"/>
    <w:rsid w:val="00EE2A84"/>
    <w:rsid w:val="00F26F0F"/>
    <w:rsid w:val="00F53DCF"/>
    <w:rsid w:val="00F8223F"/>
    <w:rsid w:val="00FC1859"/>
    <w:rsid w:val="00FC58F1"/>
    <w:rsid w:val="00FE4989"/>
    <w:rsid w:val="00FE73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9"/>
    <o:shapelayout v:ext="edit">
      <o:idmap v:ext="edit" data="2"/>
    </o:shapelayout>
  </w:shapeDefaults>
  <w:decimalSymbol w:val="."/>
  <w:listSeparator w:val=","/>
  <w14:docId w14:val="1C0564C1"/>
  <w15:docId w15:val="{866C07CB-874F-4050-8CA6-C889EAE937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D4D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4D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4D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4D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4D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4D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4D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4D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4D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4D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4D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4D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4D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4D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4D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4D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4D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4D2B"/>
    <w:rPr>
      <w:rFonts w:eastAsiaTheme="majorEastAsia" w:cstheme="majorBidi"/>
      <w:color w:val="272727" w:themeColor="text1" w:themeTint="D8"/>
    </w:rPr>
  </w:style>
  <w:style w:type="paragraph" w:styleId="Title">
    <w:name w:val="Title"/>
    <w:basedOn w:val="Normal"/>
    <w:next w:val="Normal"/>
    <w:link w:val="TitleChar"/>
    <w:uiPriority w:val="10"/>
    <w:qFormat/>
    <w:rsid w:val="005D4D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4D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4D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4D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4D2B"/>
    <w:pPr>
      <w:spacing w:before="160"/>
      <w:jc w:val="center"/>
    </w:pPr>
    <w:rPr>
      <w:i/>
      <w:iCs/>
      <w:color w:val="404040" w:themeColor="text1" w:themeTint="BF"/>
    </w:rPr>
  </w:style>
  <w:style w:type="character" w:customStyle="1" w:styleId="QuoteChar">
    <w:name w:val="Quote Char"/>
    <w:basedOn w:val="DefaultParagraphFont"/>
    <w:link w:val="Quote"/>
    <w:uiPriority w:val="29"/>
    <w:rsid w:val="005D4D2B"/>
    <w:rPr>
      <w:i/>
      <w:iCs/>
      <w:color w:val="404040" w:themeColor="text1" w:themeTint="BF"/>
    </w:rPr>
  </w:style>
  <w:style w:type="paragraph" w:styleId="ListParagraph">
    <w:name w:val="List Paragraph"/>
    <w:basedOn w:val="Normal"/>
    <w:uiPriority w:val="34"/>
    <w:qFormat/>
    <w:rsid w:val="005D4D2B"/>
    <w:pPr>
      <w:ind w:left="720"/>
      <w:contextualSpacing/>
    </w:pPr>
  </w:style>
  <w:style w:type="character" w:styleId="IntenseEmphasis">
    <w:name w:val="Intense Emphasis"/>
    <w:basedOn w:val="DefaultParagraphFont"/>
    <w:uiPriority w:val="21"/>
    <w:qFormat/>
    <w:rsid w:val="005D4D2B"/>
    <w:rPr>
      <w:i/>
      <w:iCs/>
      <w:color w:val="0F4761" w:themeColor="accent1" w:themeShade="BF"/>
    </w:rPr>
  </w:style>
  <w:style w:type="paragraph" w:styleId="IntenseQuote">
    <w:name w:val="Intense Quote"/>
    <w:basedOn w:val="Normal"/>
    <w:next w:val="Normal"/>
    <w:link w:val="IntenseQuoteChar"/>
    <w:uiPriority w:val="30"/>
    <w:qFormat/>
    <w:rsid w:val="005D4D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4D2B"/>
    <w:rPr>
      <w:i/>
      <w:iCs/>
      <w:color w:val="0F4761" w:themeColor="accent1" w:themeShade="BF"/>
    </w:rPr>
  </w:style>
  <w:style w:type="character" w:styleId="IntenseReference">
    <w:name w:val="Intense Reference"/>
    <w:basedOn w:val="DefaultParagraphFont"/>
    <w:uiPriority w:val="32"/>
    <w:qFormat/>
    <w:rsid w:val="005D4D2B"/>
    <w:rPr>
      <w:b/>
      <w:bCs/>
      <w:smallCaps/>
      <w:color w:val="0F4761" w:themeColor="accent1" w:themeShade="BF"/>
      <w:spacing w:val="5"/>
    </w:rPr>
  </w:style>
  <w:style w:type="paragraph" w:styleId="Header">
    <w:name w:val="header"/>
    <w:basedOn w:val="Normal"/>
    <w:link w:val="HeaderChar"/>
    <w:uiPriority w:val="99"/>
    <w:unhideWhenUsed/>
    <w:rsid w:val="005D4D2B"/>
    <w:pPr>
      <w:tabs>
        <w:tab w:val="center" w:pos="4513"/>
        <w:tab w:val="right" w:pos="9026"/>
      </w:tabs>
      <w:spacing w:after="0" w:line="240" w:lineRule="auto"/>
    </w:pPr>
  </w:style>
  <w:style w:type="character" w:customStyle="1" w:styleId="HeaderChar">
    <w:name w:val="Header Char"/>
    <w:basedOn w:val="DefaultParagraphFont"/>
    <w:link w:val="Header"/>
    <w:uiPriority w:val="99"/>
    <w:rsid w:val="005D4D2B"/>
  </w:style>
  <w:style w:type="paragraph" w:styleId="Footer">
    <w:name w:val="footer"/>
    <w:basedOn w:val="Normal"/>
    <w:link w:val="FooterChar"/>
    <w:uiPriority w:val="99"/>
    <w:unhideWhenUsed/>
    <w:rsid w:val="005D4D2B"/>
    <w:pPr>
      <w:tabs>
        <w:tab w:val="center" w:pos="4513"/>
        <w:tab w:val="right" w:pos="9026"/>
      </w:tabs>
      <w:spacing w:after="0" w:line="240" w:lineRule="auto"/>
    </w:pPr>
  </w:style>
  <w:style w:type="character" w:customStyle="1" w:styleId="FooterChar">
    <w:name w:val="Footer Char"/>
    <w:basedOn w:val="DefaultParagraphFont"/>
    <w:link w:val="Footer"/>
    <w:uiPriority w:val="99"/>
    <w:rsid w:val="005D4D2B"/>
  </w:style>
  <w:style w:type="character" w:styleId="Hyperlink">
    <w:name w:val="Hyperlink"/>
    <w:basedOn w:val="DefaultParagraphFont"/>
    <w:uiPriority w:val="99"/>
    <w:unhideWhenUsed/>
    <w:rsid w:val="00E84416"/>
    <w:rPr>
      <w:color w:val="467886" w:themeColor="hyperlink"/>
      <w:u w:val="single"/>
    </w:rPr>
  </w:style>
  <w:style w:type="character" w:styleId="UnresolvedMention">
    <w:name w:val="Unresolved Mention"/>
    <w:basedOn w:val="DefaultParagraphFont"/>
    <w:uiPriority w:val="99"/>
    <w:semiHidden/>
    <w:unhideWhenUsed/>
    <w:rsid w:val="00E84416"/>
    <w:rPr>
      <w:color w:val="605E5C"/>
      <w:shd w:val="clear" w:color="auto" w:fill="E1DFDD"/>
    </w:rPr>
  </w:style>
  <w:style w:type="character" w:styleId="FollowedHyperlink">
    <w:name w:val="FollowedHyperlink"/>
    <w:basedOn w:val="DefaultParagraphFont"/>
    <w:uiPriority w:val="99"/>
    <w:semiHidden/>
    <w:unhideWhenUsed/>
    <w:rsid w:val="005B0430"/>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13" Type="http://schemas.openxmlformats.org/officeDocument/2006/relationships/hyperlink" Target="https://www.who.int/activities/promoting-well-being#:~:text=Well%2Dbeing%20is%20a%20positive,social%2C%20economic%20and%20environmental%20conditions" TargetMode="External"/><Relationship Id="rId18" Type="http://schemas.openxmlformats.org/officeDocument/2006/relationships/hyperlink" Target="https://doi.org/10.1097/01.hnp.0000334915.16186.b2" TargetMode="External"/><Relationship Id="rId26" Type="http://schemas.openxmlformats.org/officeDocument/2006/relationships/hyperlink" Target="https://doi.org/10.1542/peds.2020-009308" TargetMode="External"/><Relationship Id="rId39" Type="http://schemas.openxmlformats.org/officeDocument/2006/relationships/hyperlink" Target="https://doi.org/10.1177/183693911504000305" TargetMode="External"/><Relationship Id="rId21" Type="http://schemas.openxmlformats.org/officeDocument/2006/relationships/hyperlink" Target="https://doi.org/10.1086/461041" TargetMode="External"/><Relationship Id="rId34" Type="http://schemas.openxmlformats.org/officeDocument/2006/relationships/hyperlink" Target="https://dictionary.cambridge.org/dictionary/english/lifestyle" TargetMode="External"/><Relationship Id="rId42" Type="http://schemas.openxmlformats.org/officeDocument/2006/relationships/hyperlink" Target="https://doi.org/10.1177/0265659015596795"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doi.org/10.1186/s12955-020-01423-y" TargetMode="External"/><Relationship Id="rId29" Type="http://schemas.openxmlformats.org/officeDocument/2006/relationships/hyperlink" Target="https://doi.org/10.1108/09654280810855603"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1007/978-3-319-47143-3_2" TargetMode="External"/><Relationship Id="rId24" Type="http://schemas.openxmlformats.org/officeDocument/2006/relationships/hyperlink" Target="https://doi.org/10.1136/bmj.d4163" TargetMode="External"/><Relationship Id="rId32" Type="http://schemas.openxmlformats.org/officeDocument/2006/relationships/hyperlink" Target="https://www.simplypsychology.org/bronfenbrenner.html" TargetMode="External"/><Relationship Id="rId37" Type="http://schemas.openxmlformats.org/officeDocument/2006/relationships/hyperlink" Target="https://doi.org/10.1542/peds.2016-0339" TargetMode="External"/><Relationship Id="rId40" Type="http://schemas.openxmlformats.org/officeDocument/2006/relationships/hyperlink" Target="https://doi.org/10.1177/1476718x13490889" TargetMode="External"/><Relationship Id="rId45"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i.org/10.1007/s10567-017-0246-1" TargetMode="External"/><Relationship Id="rId23" Type="http://schemas.openxmlformats.org/officeDocument/2006/relationships/hyperlink" Target="https://doi.org/10.1353/dem.0.0091" TargetMode="External"/><Relationship Id="rId28" Type="http://schemas.openxmlformats.org/officeDocument/2006/relationships/hyperlink" Target="https://doi.org/10.2307/3344113" TargetMode="External"/><Relationship Id="rId36" Type="http://schemas.openxmlformats.org/officeDocument/2006/relationships/hyperlink" Target="https://doi.org/10.1016/j.pedn.2013.12.006" TargetMode="External"/><Relationship Id="rId10" Type="http://schemas.openxmlformats.org/officeDocument/2006/relationships/hyperlink" Target="https://research-information.bris.ac.uk/en/projects/the-impact-of-family-relationships-on-childrens-developmental-hea" TargetMode="External"/><Relationship Id="rId19" Type="http://schemas.openxmlformats.org/officeDocument/2006/relationships/hyperlink" Target="https://www.yhpho.org.uk/default.aspx?RID=213417" TargetMode="External"/><Relationship Id="rId31" Type="http://schemas.openxmlformats.org/officeDocument/2006/relationships/hyperlink" Target="https://doi.org/10.1016/s2352-4642(21)00190-5" TargetMode="External"/><Relationship Id="rId44"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1016/j.sbspro.2013.08.636" TargetMode="External"/><Relationship Id="rId14" Type="http://schemas.openxmlformats.org/officeDocument/2006/relationships/hyperlink" Target="https://doi.org/10.1007/springerreference_180253" TargetMode="External"/><Relationship Id="rId22" Type="http://schemas.openxmlformats.org/officeDocument/2006/relationships/hyperlink" Target="https://doi.org/10.1001/jama.290.23.3136" TargetMode="External"/><Relationship Id="rId27" Type="http://schemas.openxmlformats.org/officeDocument/2006/relationships/hyperlink" Target="https://nyuscholars.nyu.edu/en/publications/the-foundations-of-lifelong-health-are-built-in-early-childhood" TargetMode="External"/><Relationship Id="rId30" Type="http://schemas.openxmlformats.org/officeDocument/2006/relationships/hyperlink" Target="https://www.gov.wales/our-priorities" TargetMode="External"/><Relationship Id="rId35" Type="http://schemas.openxmlformats.org/officeDocument/2006/relationships/hyperlink" Target="https://pubmed.ncbi.nlm.nih.gov/26744700" TargetMode="External"/><Relationship Id="rId43" Type="http://schemas.openxmlformats.org/officeDocument/2006/relationships/hyperlink" Target="https://hwb.gov.wales/curriculum-for-wales/designing-your-curriculum/developing-a-vision-for-curriculum-design/#curriculum-design-and-the-four-purposes" TargetMode="Externa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hyperlink" Target="https://www.teacherstoolbox.co.uk/" TargetMode="External"/><Relationship Id="rId17" Type="http://schemas.openxmlformats.org/officeDocument/2006/relationships/hyperlink" Target="https://doi.org/10.1016/j.jadohealth.2011.05.002" TargetMode="External"/><Relationship Id="rId25" Type="http://schemas.openxmlformats.org/officeDocument/2006/relationships/hyperlink" Target="https://doi.org/10.1177/109019818200900205" TargetMode="External"/><Relationship Id="rId33" Type="http://schemas.openxmlformats.org/officeDocument/2006/relationships/hyperlink" Target="https://doi.org/10.1007/978-3-030-48299-2" TargetMode="External"/><Relationship Id="rId38" Type="http://schemas.openxmlformats.org/officeDocument/2006/relationships/hyperlink" Target="https://doi.org/10.1016/j.socscimed.2016.02.040" TargetMode="External"/><Relationship Id="rId46" Type="http://schemas.openxmlformats.org/officeDocument/2006/relationships/theme" Target="theme/theme1.xml"/><Relationship Id="rId20" Type="http://schemas.openxmlformats.org/officeDocument/2006/relationships/hyperlink" Target="https://doi.org/10.3390/ijerph17196968" TargetMode="External"/><Relationship Id="rId41" Type="http://schemas.openxmlformats.org/officeDocument/2006/relationships/hyperlink" Target="https://www.ncbi.nlm.nih.gov/books/NBK31054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CAFC12-A87D-4C51-9184-18DDBE3413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969</TotalTime>
  <Pages>10</Pages>
  <Words>2549</Words>
  <Characters>14530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thomas</dc:creator>
  <cp:keywords/>
  <dc:description/>
  <cp:lastModifiedBy>claire thomas</cp:lastModifiedBy>
  <cp:revision>167</cp:revision>
  <dcterms:created xsi:type="dcterms:W3CDTF">2024-06-15T17:08:00Z</dcterms:created>
  <dcterms:modified xsi:type="dcterms:W3CDTF">2024-06-16T21:10:00Z</dcterms:modified>
</cp:coreProperties>
</file>