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b/>
          <w:bCs/>
          <w:sz w:val="24"/>
          <w:szCs w:val="24"/>
          <w:lang w:val="en-US" w:eastAsia="zh-CN"/>
        </w:rPr>
      </w:pPr>
      <w:bookmarkStart w:id="0" w:name="OLE_LINK2"/>
      <w:r>
        <w:rPr>
          <w:rFonts w:hint="default" w:ascii="Times New Roman" w:hAnsi="Times New Roman" w:eastAsia="宋体" w:cs="Times New Roman"/>
          <w:b/>
          <w:bCs/>
          <w:sz w:val="24"/>
          <w:szCs w:val="24"/>
          <w:lang w:val="en-US" w:eastAsia="zh-CN"/>
        </w:rPr>
        <w:t>Factors that affect second language learning</w:t>
      </w:r>
      <w:bookmarkEnd w:id="0"/>
    </w:p>
    <w:p>
      <w:pPr>
        <w:keepNext w:val="0"/>
        <w:keepLines w:val="0"/>
        <w:pageBreakBefore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bCs/>
          <w:sz w:val="24"/>
          <w:szCs w:val="24"/>
          <w:lang w:val="en-US" w:eastAsia="zh-CN"/>
        </w:rPr>
      </w:pPr>
    </w:p>
    <w:p>
      <w:pPr>
        <w:keepNext w:val="0"/>
        <w:keepLines w:val="0"/>
        <w:pageBreakBefore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I. Introduction</w:t>
      </w:r>
    </w:p>
    <w:p>
      <w:pPr>
        <w:keepNext w:val="0"/>
        <w:keepLines w:val="0"/>
        <w:pageBreakBefore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Second language is a language acquired by a person in addition to his or her first language, often used as an auxiliary language or a lingua franca. Second language learning, also called as second language acquisition, is the “p</w:t>
      </w:r>
      <w:r>
        <w:rPr>
          <w:rFonts w:hint="default" w:ascii="Times New Roman" w:hAnsi="Times New Roman" w:eastAsia="宋体" w:cs="Times New Roman"/>
          <w:i/>
          <w:iCs/>
          <w:sz w:val="24"/>
          <w:szCs w:val="24"/>
          <w:lang w:val="en-US" w:eastAsia="zh-CN"/>
        </w:rPr>
        <w:t>rocess by which people develop proficiency in a second or foreign language</w:t>
      </w:r>
      <w:r>
        <w:rPr>
          <w:rFonts w:hint="default" w:ascii="Times New Roman" w:hAnsi="Times New Roman" w:eastAsia="宋体" w:cs="Times New Roman"/>
          <w:sz w:val="24"/>
          <w:szCs w:val="24"/>
          <w:lang w:val="en-US" w:eastAsia="zh-CN"/>
        </w:rPr>
        <w:t>”(Jack Richards, et al., 1985, p.252), and is concerned with the process and study of how people acquire a second language (</w:t>
      </w:r>
      <w:r>
        <w:rPr>
          <w:rFonts w:hint="default" w:ascii="Times New Roman" w:hAnsi="Times New Roman" w:eastAsia="Georgia" w:cs="Times New Roman"/>
          <w:i w:val="0"/>
          <w:iCs w:val="0"/>
          <w:caps w:val="0"/>
          <w:color w:val="333333"/>
          <w:spacing w:val="1"/>
          <w:sz w:val="24"/>
          <w:szCs w:val="24"/>
          <w:shd w:val="clear" w:fill="FCFCFC"/>
        </w:rPr>
        <w:t>Mitchell, R., &amp; Myles, F.</w:t>
      </w:r>
      <w:r>
        <w:rPr>
          <w:rFonts w:hint="default" w:ascii="Times New Roman" w:hAnsi="Times New Roman" w:eastAsia="宋体" w:cs="Times New Roman"/>
          <w:i w:val="0"/>
          <w:iCs w:val="0"/>
          <w:caps w:val="0"/>
          <w:color w:val="333333"/>
          <w:spacing w:val="1"/>
          <w:sz w:val="24"/>
          <w:szCs w:val="24"/>
          <w:shd w:val="clear" w:fill="FCFCFC"/>
          <w:lang w:val="en-US" w:eastAsia="zh-CN"/>
        </w:rPr>
        <w:t xml:space="preserve">, </w:t>
      </w:r>
      <w:r>
        <w:rPr>
          <w:rFonts w:hint="default" w:ascii="Times New Roman" w:hAnsi="Times New Roman" w:eastAsia="Georgia" w:cs="Times New Roman"/>
          <w:i w:val="0"/>
          <w:iCs w:val="0"/>
          <w:caps w:val="0"/>
          <w:color w:val="333333"/>
          <w:spacing w:val="1"/>
          <w:sz w:val="24"/>
          <w:szCs w:val="24"/>
          <w:shd w:val="clear" w:fill="FCFCFC"/>
        </w:rPr>
        <w:t>2004)</w:t>
      </w:r>
      <w:r>
        <w:rPr>
          <w:rFonts w:hint="default" w:ascii="Times New Roman" w:hAnsi="Times New Roman" w:eastAsia="宋体" w:cs="Times New Roman"/>
          <w:sz w:val="24"/>
          <w:szCs w:val="24"/>
          <w:lang w:val="en-US" w:eastAsia="zh-CN"/>
        </w:rPr>
        <w:t xml:space="preserve">. Although the concept is referred to as second language acquisition, </w:t>
      </w:r>
      <w:r>
        <w:rPr>
          <w:rFonts w:hint="eastAsia" w:ascii="Times New Roman" w:hAnsi="Times New Roman" w:eastAsia="宋体" w:cs="Times New Roman"/>
          <w:sz w:val="24"/>
          <w:szCs w:val="24"/>
          <w:lang w:val="en-US" w:eastAsia="zh-CN"/>
        </w:rPr>
        <w:t xml:space="preserve">it also involves three or more foreign languages acquisition. </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Second language learning is a complex learning process. Unlike first language learning, the learning outcomes of second language learners often vary greatly depending on the characteristics and experiences of each individual. In the chapter 2 of “English Language Teaching in its Social Context”, </w:t>
      </w:r>
      <w:r>
        <w:rPr>
          <w:rFonts w:hint="default" w:ascii="Times New Roman" w:hAnsi="Times New Roman" w:cs="Times New Roman"/>
          <w:sz w:val="24"/>
          <w:szCs w:val="24"/>
        </w:rPr>
        <w:t>Patsy M. Lightbrown and Nina Spada</w:t>
      </w:r>
      <w:r>
        <w:rPr>
          <w:rFonts w:hint="default" w:ascii="Times New Roman" w:hAnsi="Times New Roman" w:eastAsia="宋体" w:cs="Times New Roman"/>
          <w:sz w:val="24"/>
          <w:szCs w:val="24"/>
          <w:lang w:val="en-US" w:eastAsia="zh-CN"/>
        </w:rPr>
        <w:t xml:space="preserve"> explore factors affecting second language learning. In generally, these factors that affect second language learning are grouped into five categories: motivation, aptitude, personality, intelligence, and learner preferences (Lightbrown &amp; Spada, 2000, p.1). However, according to this classification method, many personal characteristics cannot simply be grouped together. </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Therefore, after a careful analysis of the factors associated with second language learning, these two researchers have summarised the factors affecting second language learning into the following seven categories: Intelligence, Aptitude, personality, Motivation and attitude, Learner preferences, Learner beliefs and Age of acquisition( Lightbrown &amp; Spada, 2000, p.2).  </w:t>
      </w:r>
    </w:p>
    <w:p>
      <w:pPr>
        <w:keepNext w:val="0"/>
        <w:keepLines w:val="0"/>
        <w:pageBreakBefore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p>
    <w:p>
      <w:pPr>
        <w:keepNext w:val="0"/>
        <w:keepLines w:val="0"/>
        <w:pageBreakBefore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II. Overview of factors affecting second language learning</w:t>
      </w:r>
    </w:p>
    <w:p>
      <w:pPr>
        <w:keepNext w:val="0"/>
        <w:keepLines w:val="0"/>
        <w:pageBreakBefore w:val="0"/>
        <w:numPr>
          <w:ilvl w:val="0"/>
          <w:numId w:val="1"/>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Intelligence</w:t>
      </w:r>
    </w:p>
    <w:p>
      <w:pPr>
        <w:keepNext w:val="0"/>
        <w:keepLines w:val="0"/>
        <w:pageBreakBefore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According to</w:t>
      </w:r>
      <w:bookmarkStart w:id="1" w:name="OLE_LINK1"/>
      <w:r>
        <w:rPr>
          <w:rFonts w:hint="default" w:ascii="Times New Roman" w:hAnsi="Times New Roman" w:eastAsia="宋体" w:cs="Times New Roman"/>
          <w:sz w:val="24"/>
          <w:szCs w:val="24"/>
          <w:lang w:val="en-US" w:eastAsia="zh-CN"/>
        </w:rPr>
        <w:t xml:space="preserve"> Lightbrown and Spada</w:t>
      </w:r>
      <w:bookmarkEnd w:id="1"/>
      <w:r>
        <w:rPr>
          <w:rFonts w:hint="default" w:ascii="Times New Roman" w:hAnsi="Times New Roman" w:eastAsia="宋体" w:cs="Times New Roman"/>
          <w:sz w:val="24"/>
          <w:szCs w:val="24"/>
          <w:lang w:val="en-US" w:eastAsia="zh-CN"/>
        </w:rPr>
        <w:t>, the term "intelligence" has</w:t>
      </w:r>
      <w:r>
        <w:rPr>
          <w:rFonts w:hint="eastAsia" w:ascii="Times New Roman" w:hAnsi="Times New Roman" w:eastAsia="宋体" w:cs="Times New Roman"/>
          <w:sz w:val="24"/>
          <w:szCs w:val="24"/>
          <w:lang w:val="en-US" w:eastAsia="zh-CN"/>
        </w:rPr>
        <w:t xml:space="preserve"> usually</w:t>
      </w:r>
      <w:r>
        <w:rPr>
          <w:rFonts w:hint="default" w:ascii="Times New Roman" w:hAnsi="Times New Roman" w:eastAsia="宋体" w:cs="Times New Roman"/>
          <w:sz w:val="24"/>
          <w:szCs w:val="24"/>
          <w:lang w:val="en-US" w:eastAsia="zh-CN"/>
        </w:rPr>
        <w:t xml:space="preserve"> been used to refer to the intellectual performance of test takers in certain tests. The results of some experiments suggest that intelligence can be seen as a strong influence when it comes to language analysis and rule learning, but is not important when it comes to language learning that focuses on communication and interaction, such as classroom instruction and oral oral productive skills.</w:t>
      </w:r>
    </w:p>
    <w:p>
      <w:pPr>
        <w:keepNext w:val="0"/>
        <w:keepLines w:val="0"/>
        <w:pageBreakBefore w:val="0"/>
        <w:numPr>
          <w:ilvl w:val="0"/>
          <w:numId w:val="1"/>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i w:val="0"/>
          <w:iCs w:val="0"/>
          <w:sz w:val="24"/>
          <w:szCs w:val="24"/>
          <w:lang w:val="en-US" w:eastAsia="zh-CN"/>
        </w:rPr>
      </w:pPr>
      <w:r>
        <w:rPr>
          <w:rFonts w:hint="default" w:ascii="Times New Roman" w:hAnsi="Times New Roman" w:eastAsia="宋体" w:cs="Times New Roman"/>
          <w:b/>
          <w:bCs/>
          <w:i w:val="0"/>
          <w:iCs w:val="0"/>
          <w:sz w:val="24"/>
          <w:szCs w:val="24"/>
          <w:lang w:val="en-US" w:eastAsia="zh-CN"/>
        </w:rPr>
        <w:t>Aptitude</w:t>
      </w:r>
    </w:p>
    <w:p>
      <w:pPr>
        <w:keepNext w:val="0"/>
        <w:keepLines w:val="0"/>
        <w:pageBreakBefore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Aptitude</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w:t>
      </w:r>
      <w:r>
        <w:rPr>
          <w:rFonts w:hint="default" w:ascii="Times New Roman" w:hAnsi="Times New Roman" w:eastAsia="宋体" w:cs="Times New Roman"/>
          <w:i/>
          <w:iCs/>
          <w:sz w:val="24"/>
          <w:szCs w:val="24"/>
          <w:lang w:val="en-US" w:eastAsia="zh-CN"/>
        </w:rPr>
        <w:t>refers to specific ability a learner has for learning a second language</w:t>
      </w:r>
      <w:r>
        <w:rPr>
          <w:rFonts w:hint="default" w:ascii="Times New Roman" w:hAnsi="Times New Roman" w:eastAsia="宋体" w:cs="Times New Roman"/>
          <w:sz w:val="24"/>
          <w:szCs w:val="24"/>
          <w:lang w:val="en-US" w:eastAsia="zh-CN"/>
        </w:rPr>
        <w:t xml:space="preserve">” (Ellis, 1986, p. 293). According to the most famous aptitude test MLAT and PLAB, aptitude includes different types abilities,such as </w:t>
      </w:r>
      <w:r>
        <w:rPr>
          <w:rFonts w:hint="eastAsia" w:ascii="Times New Roman" w:hAnsi="Times New Roman" w:eastAsia="宋体" w:cs="Times New Roman"/>
          <w:sz w:val="24"/>
          <w:szCs w:val="24"/>
          <w:lang w:val="en-US" w:eastAsia="zh-CN"/>
        </w:rPr>
        <w:t>t</w:t>
      </w:r>
      <w:r>
        <w:rPr>
          <w:rFonts w:hint="default" w:ascii="Times New Roman" w:hAnsi="Times New Roman" w:eastAsia="宋体" w:cs="Times New Roman"/>
          <w:sz w:val="24"/>
          <w:szCs w:val="24"/>
          <w:lang w:val="en-US" w:eastAsia="zh-CN"/>
        </w:rPr>
        <w:t>he ability to understand new words, the ability to recognize new sounds, the ability to judge grammar rules, the ability to remember new sounds and new words</w:t>
      </w:r>
      <w:r>
        <w:rPr>
          <w:rFonts w:hint="eastAsia" w:ascii="Times New Roman" w:hAnsi="Times New Roman" w:eastAsia="宋体" w:cs="Times New Roman"/>
          <w:sz w:val="24"/>
          <w:szCs w:val="24"/>
          <w:lang w:val="en-US" w:eastAsia="zh-CN"/>
        </w:rPr>
        <w:t xml:space="preserve"> (Khasinah, 2014, p.8)</w:t>
      </w:r>
      <w:r>
        <w:rPr>
          <w:rFonts w:hint="default" w:ascii="Times New Roman" w:hAnsi="Times New Roman" w:eastAsia="宋体" w:cs="Times New Roman"/>
          <w:sz w:val="24"/>
          <w:szCs w:val="24"/>
          <w:lang w:val="en-US" w:eastAsia="zh-CN"/>
        </w:rPr>
        <w:t>. Lightbrown and Spada believe that in ideal conditions, teachers can identify the strengths and weaknesses of a learner's aptitudes and use the information to arrange an appropriate language teaching programme for the student.</w:t>
      </w:r>
    </w:p>
    <w:p>
      <w:pPr>
        <w:keepNext w:val="0"/>
        <w:keepLines w:val="0"/>
        <w:pageBreakBefore w:val="0"/>
        <w:numPr>
          <w:ilvl w:val="0"/>
          <w:numId w:val="1"/>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 xml:space="preserve">Personality </w:t>
      </w:r>
    </w:p>
    <w:p>
      <w:pPr>
        <w:keepNext w:val="0"/>
        <w:keepLines w:val="0"/>
        <w:pageBreakBefore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Personality is considered as a set of features that characterize an individual(Khasinah, 2014). In second language learning, many personality characteristics are thought to be likely to influence second language learning, but it is not easy to prove their important role in empirical studies. According to Lightbrown and Spada, these existing researches did not clearly clarify the relationship between personality and second language learning. However, they assume that the impact of learner’s personality on language learning is complex and should be considered in conjunction with other factors.</w:t>
      </w:r>
    </w:p>
    <w:p>
      <w:pPr>
        <w:keepNext w:val="0"/>
        <w:keepLines w:val="0"/>
        <w:pageBreakBefore w:val="0"/>
        <w:numPr>
          <w:ilvl w:val="0"/>
          <w:numId w:val="1"/>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Motivation and attitudes</w:t>
      </w:r>
    </w:p>
    <w:p>
      <w:pPr>
        <w:keepNext w:val="0"/>
        <w:keepLines w:val="0"/>
        <w:pageBreakBefore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Although current research findings do not fully clarify the relationship between motivation and second language learning, Lightbrown and Spada argue that motivation and attitude play a very important role in second language learning. Motivation for second language learning can be summarised as both the learner's communicative needs and the learner's attitudes towards the second language community. If learners need to use a second language for career advancement, a new job or admission to a new school, they will feel the value of the second language and will be more motivated to learn and use the second language. Secondly, learners’ cultural identity to the second language community also has a significant impact on their effectiveness in learning a second language. On the other hand, both authors suggest that social dynamic or power relationship between the languages can also influence motivation and attitudes towards second language learning.</w:t>
      </w:r>
    </w:p>
    <w:p>
      <w:pPr>
        <w:keepNext w:val="0"/>
        <w:keepLines w:val="0"/>
        <w:pageBreakBefore w:val="0"/>
        <w:numPr>
          <w:ilvl w:val="0"/>
          <w:numId w:val="1"/>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Learner preferences</w:t>
      </w:r>
    </w:p>
    <w:p>
      <w:pPr>
        <w:keepNext w:val="0"/>
        <w:keepLines w:val="0"/>
        <w:pageBreakBefore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Learner preferences, also known as learner style, has been used to “describe </w:t>
      </w:r>
      <w:r>
        <w:rPr>
          <w:rFonts w:hint="default" w:ascii="Times New Roman" w:hAnsi="Times New Roman" w:eastAsia="宋体" w:cs="Times New Roman"/>
          <w:i/>
          <w:iCs/>
          <w:sz w:val="24"/>
          <w:szCs w:val="24"/>
          <w:lang w:val="en-US" w:eastAsia="zh-CN"/>
        </w:rPr>
        <w:t>a person's natural, habitual and preferred way of absorbing, processing and retaining new information and skills</w:t>
      </w:r>
      <w:r>
        <w:rPr>
          <w:rFonts w:hint="default" w:ascii="Times New Roman" w:hAnsi="Times New Roman" w:eastAsia="宋体" w:cs="Times New Roman"/>
          <w:sz w:val="24"/>
          <w:szCs w:val="24"/>
          <w:lang w:val="en-US" w:eastAsia="zh-CN"/>
        </w:rPr>
        <w:t>” (Reid</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1995</w:t>
      </w:r>
      <w:r>
        <w:rPr>
          <w:rFonts w:hint="eastAsia" w:ascii="Times New Roman" w:hAnsi="Times New Roman" w:eastAsia="宋体" w:cs="Times New Roman"/>
          <w:sz w:val="24"/>
          <w:szCs w:val="24"/>
          <w:lang w:val="en-US" w:eastAsia="zh-CN"/>
        </w:rPr>
        <w:t>, p.124</w:t>
      </w:r>
      <w:r>
        <w:rPr>
          <w:rFonts w:hint="default" w:ascii="Times New Roman" w:hAnsi="Times New Roman" w:eastAsia="宋体" w:cs="Times New Roman"/>
          <w:sz w:val="24"/>
          <w:szCs w:val="24"/>
          <w:lang w:val="en-US" w:eastAsia="zh-CN"/>
        </w:rPr>
        <w:t>). Depending on their learning style, second language learners can be classified as “visual” learners. “kinesthetic” learners, “aural”learners, ans so on. At present, much of the research on the impact of learner preferences on second language learning has focused on the distinction between the field independence and field dependence. The results of these researches suggest that while field independence is to some extent related to performance on certain types of tasks, it is not a good predictor of performance on others. Lightbrown and Spada argued that teachers can adapt their teaching methods appropriately to suit the different preferences and styles of learners in order to better meet the objectives of language teaching. At the same time, the notion that a particular teaching method or textbook will suit the needs of all learners should be discarded.</w:t>
      </w:r>
    </w:p>
    <w:p>
      <w:pPr>
        <w:keepNext w:val="0"/>
        <w:keepLines w:val="0"/>
        <w:pageBreakBefore w:val="0"/>
        <w:numPr>
          <w:ilvl w:val="0"/>
          <w:numId w:val="1"/>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Learner beliefs</w:t>
      </w:r>
    </w:p>
    <w:p>
      <w:pPr>
        <w:pStyle w:val="3"/>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7F8FA"/>
        <w:kinsoku/>
        <w:wordWrap/>
        <w:overflowPunct/>
        <w:topLinePunct w:val="0"/>
        <w:autoSpaceDE/>
        <w:autoSpaceDN/>
        <w:bidi w:val="0"/>
        <w:adjustRightInd/>
        <w:snapToGrid/>
        <w:spacing w:before="0" w:beforeAutospacing="0" w:after="0" w:afterAutospacing="0" w:line="360" w:lineRule="auto"/>
        <w:ind w:left="0" w:right="0" w:firstLine="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Lightbrown and Spada argued that many people, especially older learners, have strong beliefs and opinions about the way and strategy they learn languages. Several studies have shown that learner beliefs can be strong mediators in their classroom experience. Teaching styles that are consistent with learners' beliefs will have a positive impact on learners' second language learning processes and, conversely, will have a negative impact. Teachers can use information about learners' beliefs to help learners expand their learning strategies and thus better refine the way they learn a second language.</w:t>
      </w:r>
    </w:p>
    <w:p>
      <w:pPr>
        <w:pStyle w:val="3"/>
        <w:keepNext w:val="0"/>
        <w:keepLines w:val="0"/>
        <w:pageBreakBefore w:val="0"/>
        <w:widowControl/>
        <w:numPr>
          <w:ilvl w:val="0"/>
          <w:numId w:val="1"/>
        </w:numPr>
        <w:suppressLineNumbers w:val="0"/>
        <w:pBdr>
          <w:top w:val="none" w:color="auto" w:sz="0" w:space="0"/>
          <w:left w:val="none" w:color="auto" w:sz="0" w:space="0"/>
          <w:bottom w:val="none" w:color="auto" w:sz="0" w:space="0"/>
          <w:right w:val="none" w:color="auto" w:sz="0" w:space="0"/>
        </w:pBdr>
        <w:shd w:val="clear" w:fill="F7F8FA"/>
        <w:kinsoku/>
        <w:wordWrap/>
        <w:overflowPunct/>
        <w:topLinePunct w:val="0"/>
        <w:autoSpaceDE/>
        <w:autoSpaceDN/>
        <w:bidi w:val="0"/>
        <w:adjustRightInd/>
        <w:snapToGrid/>
        <w:spacing w:before="0" w:beforeAutospacing="0" w:after="0" w:afterAutospacing="0" w:line="360" w:lineRule="auto"/>
        <w:ind w:left="0" w:leftChars="0" w:right="0" w:firstLine="0" w:firstLineChars="0"/>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Age of acquisition</w:t>
      </w:r>
    </w:p>
    <w:p>
      <w:pPr>
        <w:pStyle w:val="3"/>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The relationship between age of acquisition and second language learning is easier to measure than personality, talent, or motivation. By analysing the results of a series of studies by researchers such as Mark Patkowsk, Jacqueline Johnson and Elissa Newport, Lightbrown and Spada affirm the notion of a critical period for second language learning, which means </w:t>
      </w:r>
      <w:r>
        <w:rPr>
          <w:rFonts w:hint="default" w:ascii="Times New Roman" w:hAnsi="Times New Roman" w:cs="Times New Roman"/>
          <w:sz w:val="24"/>
          <w:szCs w:val="24"/>
          <w:lang w:val="en-US"/>
        </w:rPr>
        <w:t>as in first language acquisition,</w:t>
      </w:r>
      <w:r>
        <w:rPr>
          <w:rFonts w:hint="default"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t>h</w:t>
      </w:r>
      <w:r>
        <w:rPr>
          <w:rFonts w:hint="default" w:ascii="Times New Roman" w:hAnsi="Times New Roman" w:eastAsia="宋体" w:cs="Times New Roman"/>
          <w:sz w:val="24"/>
          <w:szCs w:val="24"/>
          <w:lang w:val="en-US" w:eastAsia="zh-CN"/>
        </w:rPr>
        <w:t>umans are more successful at learning language at certain ages</w:t>
      </w:r>
      <w:r>
        <w:rPr>
          <w:rFonts w:hint="eastAsia" w:ascii="Times New Roman" w:hAnsi="Times New Roman" w:eastAsia="宋体" w:cs="Times New Roman"/>
          <w:sz w:val="24"/>
          <w:szCs w:val="24"/>
          <w:lang w:val="en-US" w:eastAsia="zh-CN"/>
        </w:rPr>
        <w:t>.</w:t>
      </w:r>
      <w:r>
        <w:rPr>
          <w:rFonts w:hint="default" w:ascii="Times New Roman" w:hAnsi="Times New Roman" w:cs="Times New Roman"/>
          <w:sz w:val="24"/>
          <w:szCs w:val="24"/>
          <w:lang w:val="en-US"/>
        </w:rPr>
        <w:t xml:space="preserve"> Age of acquisition is a very important factor limiting the development of native-like acquisition of a second language, especially in accent, speaking and</w:t>
      </w:r>
      <w:r>
        <w:rPr>
          <w:rFonts w:hint="default" w:ascii="Times New Roman" w:hAnsi="Times New Roman" w:eastAsia="宋体" w:cs="Times New Roman"/>
          <w:sz w:val="24"/>
          <w:szCs w:val="24"/>
          <w:lang w:val="en-US" w:eastAsia="zh-CN"/>
        </w:rPr>
        <w:t xml:space="preserve"> i</w:t>
      </w:r>
      <w:r>
        <w:rPr>
          <w:rFonts w:hint="default" w:ascii="Times New Roman" w:hAnsi="Times New Roman" w:cs="Times New Roman"/>
          <w:sz w:val="24"/>
          <w:szCs w:val="24"/>
        </w:rPr>
        <w:t>ntuitions of grammaticality</w:t>
      </w:r>
      <w:r>
        <w:rPr>
          <w:rFonts w:hint="default" w:ascii="Times New Roman" w:hAnsi="Times New Roman" w:eastAsia="宋体" w:cs="Times New Roman"/>
          <w:sz w:val="24"/>
          <w:szCs w:val="24"/>
          <w:lang w:val="en-US" w:eastAsia="zh-CN"/>
        </w:rPr>
        <w:t>. However, it is also important to note that age of acquisition is so closely related to other factors that influence second language learning that researchers cannot really separate them out and study the effects of age on second language learning in isolation.</w:t>
      </w:r>
    </w:p>
    <w:p>
      <w:pPr>
        <w:pStyle w:val="10"/>
        <w:keepNext w:val="0"/>
        <w:keepLines w:val="0"/>
        <w:pageBreakBefore w:val="0"/>
        <w:tabs>
          <w:tab w:val="right" w:pos="7406"/>
        </w:tabs>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4"/>
          <w:szCs w:val="24"/>
          <w:lang w:val="en-US" w:eastAsia="zh-CN"/>
        </w:rPr>
      </w:pPr>
    </w:p>
    <w:p>
      <w:pPr>
        <w:pStyle w:val="3"/>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III. An analysis of motivational factors</w:t>
      </w:r>
    </w:p>
    <w:p>
      <w:pPr>
        <w:pStyle w:val="3"/>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宋体" w:cs="Times New Roman"/>
          <w:b/>
          <w:bCs/>
          <w:sz w:val="24"/>
          <w:szCs w:val="24"/>
          <w:lang w:val="en-US" w:eastAsia="zh-CN"/>
        </w:rPr>
      </w:pPr>
      <w:r>
        <w:rPr>
          <w:rFonts w:hint="default" w:ascii="Times New Roman" w:hAnsi="Times New Roman" w:eastAsia="宋体" w:cs="Times New Roman"/>
          <w:b/>
          <w:bCs/>
          <w:sz w:val="24"/>
          <w:szCs w:val="24"/>
          <w:lang w:val="en-US" w:eastAsia="zh-CN"/>
        </w:rPr>
        <w:t>1. Relevant Definitions</w:t>
      </w:r>
    </w:p>
    <w:p>
      <w:pPr>
        <w:pStyle w:val="3"/>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All human activity is caused by particular motivation, motivation is the source of all activity. In second language learning, because learners have strong subjective initiative in learning activities, learners' individual factors play a very important role in the effect of second language acquisition</w:t>
      </w:r>
      <w:r>
        <w:rPr>
          <w:rFonts w:hint="eastAsia" w:ascii="Times New Roman" w:hAnsi="Times New Roman" w:eastAsia="宋体" w:cs="Times New Roman"/>
          <w:sz w:val="24"/>
          <w:szCs w:val="24"/>
          <w:lang w:val="en-US" w:eastAsia="zh-CN"/>
        </w:rPr>
        <w:t xml:space="preserve">. </w:t>
      </w:r>
      <w:bookmarkStart w:id="2" w:name="_GoBack"/>
      <w:bookmarkEnd w:id="2"/>
      <w:r>
        <w:rPr>
          <w:rFonts w:hint="default" w:ascii="Times New Roman" w:hAnsi="Times New Roman" w:eastAsia="宋体" w:cs="Times New Roman"/>
          <w:sz w:val="24"/>
          <w:szCs w:val="24"/>
          <w:lang w:val="en-US" w:eastAsia="zh-CN"/>
        </w:rPr>
        <w:t xml:space="preserve">Motivation, as one of the important factors affecting the emotions of second language learners, refers to the strong desire to promote learning and achieve the goal of second language acquisition, including the goal, the desire to achieve the goal, learning attitude and hard work action. A strong motivation to learn a second language can encourage L2 learners to invest more energy and time in the learning process, and then affect the effect of second language learning. In other words, the motivation to learn a second language is critical.  </w:t>
      </w:r>
    </w:p>
    <w:p>
      <w:pPr>
        <w:pStyle w:val="3"/>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Futura Light BT" w:cs="Times New Roman"/>
          <w:color w:val="000000"/>
          <w:kern w:val="0"/>
          <w:sz w:val="24"/>
          <w:szCs w:val="24"/>
          <w:lang w:val="en-US" w:eastAsia="zh-CN" w:bidi="ar"/>
        </w:rPr>
      </w:pPr>
      <w:r>
        <w:rPr>
          <w:rFonts w:hint="default" w:ascii="Times New Roman" w:hAnsi="Times New Roman" w:eastAsia="宋体" w:cs="Times New Roman"/>
          <w:sz w:val="24"/>
          <w:szCs w:val="24"/>
          <w:lang w:val="en-US" w:eastAsia="zh-CN"/>
        </w:rPr>
        <w:t xml:space="preserve">According to </w:t>
      </w:r>
      <w:r>
        <w:rPr>
          <w:rFonts w:hint="default" w:ascii="Times New Roman" w:hAnsi="Times New Roman" w:eastAsia="Futura Light BT" w:cs="Times New Roman"/>
          <w:color w:val="000000"/>
          <w:kern w:val="0"/>
          <w:sz w:val="24"/>
          <w:szCs w:val="24"/>
          <w:lang w:val="en-US" w:eastAsia="zh-CN" w:bidi="ar"/>
        </w:rPr>
        <w:t>Gardner and Lambert (1972), the motivation is an overall goal and orientation in learning. They divided learning motivation into two categories: Integrative motivation and Instrumental motivation. Integrative motivation refers to positive attitudes towards the target language community, learners are attracted to the target language and related culture and want to integrate into the target language culture. Instrumental motivation, as opposed to integrative motivation, is articulated from a utilitarian perspective. It refers to the motivation to learn and use a language for a specific purpose. According to Gardner's research, integrative motivation is stronger than instrumental motivation for bilinguals to set long-term learning goals, thus establishing long-term bilingual learning mechanisms and achieving bilingual acquisition success. However, later studies have shown that instrumental motivation may be stronger than comprehensive motivation in the process of bilingual learning. Recent studies have shown that the combination of instrumental motivation and comprehensive motivation will be more beneficial to the second language acquisition of bilingual learners.</w:t>
      </w:r>
    </w:p>
    <w:p>
      <w:pPr>
        <w:pStyle w:val="3"/>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Futura Light BT" w:cs="Times New Roman"/>
          <w:color w:val="000000"/>
          <w:kern w:val="0"/>
          <w:sz w:val="24"/>
          <w:szCs w:val="24"/>
          <w:lang w:val="en-US" w:eastAsia="zh-CN" w:bidi="ar"/>
        </w:rPr>
      </w:pPr>
      <w:r>
        <w:rPr>
          <w:rFonts w:hint="default" w:ascii="Times New Roman" w:hAnsi="Times New Roman" w:eastAsia="Futura Light BT" w:cs="Times New Roman"/>
          <w:color w:val="000000"/>
          <w:kern w:val="0"/>
          <w:sz w:val="24"/>
          <w:szCs w:val="24"/>
          <w:lang w:val="en-US" w:eastAsia="zh-CN" w:bidi="ar"/>
        </w:rPr>
        <w:t>On the other hand, motivation can also be articulated as intrinsic and extrinsic motivation. Edward Deci and Ryan R. M (2000) state that Intrinsic motivation is a natural motivational tendency and is a critical element in cognitive, social, and physical development. Learning activities driven by intrinsic motivation are designed to bring intrinsic rewards to the learners themselves, such as a sense of achievement, satisfaction of interest, gaining confidence, etc. Extrinsic motivation comes from influences external to the individual. Driven by extrinsic motivation, learners will desire extrinsic rewards, such as money, job promotion or other positive feedback.</w:t>
      </w:r>
    </w:p>
    <w:p>
      <w:pPr>
        <w:pStyle w:val="3"/>
        <w:keepNext w:val="0"/>
        <w:keepLines w:val="0"/>
        <w:pageBreakBefore w:val="0"/>
        <w:widowControl/>
        <w:numPr>
          <w:ilvl w:val="0"/>
          <w:numId w:val="2"/>
        </w:numPr>
        <w:suppressLineNumbers w:val="0"/>
        <w:pBdr>
          <w:top w:val="none" w:color="auto" w:sz="0" w:space="0"/>
          <w:left w:val="none" w:color="auto" w:sz="0" w:space="0"/>
          <w:bottom w:val="none" w:color="auto" w:sz="0" w:space="0"/>
          <w:right w:val="none" w:color="auto" w:sz="0" w:space="0"/>
        </w:pBdr>
        <w:shd w:val="clear" w:fill="F7F8FA"/>
        <w:kinsoku/>
        <w:wordWrap/>
        <w:overflowPunct/>
        <w:topLinePunct w:val="0"/>
        <w:autoSpaceDE/>
        <w:autoSpaceDN/>
        <w:bidi w:val="0"/>
        <w:adjustRightInd/>
        <w:snapToGrid/>
        <w:spacing w:before="0" w:beforeAutospacing="0" w:after="0" w:afterAutospacing="0" w:line="360" w:lineRule="auto"/>
        <w:ind w:right="0" w:rightChars="0"/>
        <w:jc w:val="both"/>
        <w:textAlignment w:val="auto"/>
        <w:rPr>
          <w:rFonts w:hint="default" w:ascii="Times New Roman" w:hAnsi="Times New Roman" w:eastAsia="Futura Light BT" w:cs="Times New Roman"/>
          <w:b/>
          <w:bCs/>
          <w:color w:val="000000"/>
          <w:kern w:val="0"/>
          <w:sz w:val="24"/>
          <w:szCs w:val="24"/>
          <w:lang w:val="en-US" w:eastAsia="zh-CN" w:bidi="ar"/>
        </w:rPr>
      </w:pPr>
      <w:r>
        <w:rPr>
          <w:rFonts w:hint="default" w:ascii="Times New Roman" w:hAnsi="Times New Roman" w:eastAsia="Futura Light BT" w:cs="Times New Roman"/>
          <w:b/>
          <w:bCs/>
          <w:color w:val="000000"/>
          <w:kern w:val="0"/>
          <w:sz w:val="24"/>
          <w:szCs w:val="24"/>
          <w:lang w:val="en-US" w:eastAsia="zh-CN" w:bidi="ar"/>
        </w:rPr>
        <w:t>Application of motivation in second language learning</w:t>
      </w:r>
    </w:p>
    <w:p>
      <w:pPr>
        <w:pStyle w:val="3"/>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kinsoku/>
        <w:wordWrap/>
        <w:overflowPunct/>
        <w:topLinePunct w:val="0"/>
        <w:autoSpaceDE/>
        <w:autoSpaceDN/>
        <w:bidi w:val="0"/>
        <w:adjustRightInd/>
        <w:snapToGrid/>
        <w:spacing w:before="0" w:beforeAutospacing="0" w:after="0" w:afterAutospacing="0" w:line="360" w:lineRule="auto"/>
        <w:ind w:right="0" w:rightChars="0"/>
        <w:jc w:val="both"/>
        <w:textAlignment w:val="auto"/>
        <w:rPr>
          <w:rFonts w:hint="default" w:ascii="Times New Roman" w:hAnsi="Times New Roman" w:eastAsia="Futura Light BT" w:cs="Times New Roman"/>
          <w:color w:val="000000"/>
          <w:kern w:val="0"/>
          <w:sz w:val="24"/>
          <w:szCs w:val="24"/>
          <w:lang w:val="en-US" w:eastAsia="zh-CN" w:bidi="ar"/>
        </w:rPr>
      </w:pPr>
      <w:r>
        <w:rPr>
          <w:rFonts w:hint="default" w:ascii="Times New Roman" w:hAnsi="Times New Roman" w:eastAsia="Futura Light BT" w:cs="Times New Roman"/>
          <w:color w:val="000000"/>
          <w:kern w:val="0"/>
          <w:sz w:val="24"/>
          <w:szCs w:val="24"/>
          <w:lang w:val="en-US" w:eastAsia="zh-CN" w:bidi="ar"/>
        </w:rPr>
        <w:t>Motivation plays an important role in second language learning, and has a significant impact on both the process and the outcome of an individual's learning of a second language. As individuals are complex, so are their motivations, by defining and classifying individual motivational factors, it is possible to develop a dynamic system of motivation to motivate learners in L2 learning.</w:t>
      </w:r>
    </w:p>
    <w:p>
      <w:pPr>
        <w:pStyle w:val="3"/>
        <w:keepNext w:val="0"/>
        <w:keepLines w:val="0"/>
        <w:pageBreakBefore w:val="0"/>
        <w:widowControl/>
        <w:numPr>
          <w:ilvl w:val="0"/>
          <w:numId w:val="3"/>
        </w:numPr>
        <w:suppressLineNumbers w:val="0"/>
        <w:pBdr>
          <w:top w:val="none" w:color="auto" w:sz="0" w:space="0"/>
          <w:left w:val="none" w:color="auto" w:sz="0" w:space="0"/>
          <w:bottom w:val="none" w:color="auto" w:sz="0" w:space="0"/>
          <w:right w:val="none" w:color="auto" w:sz="0" w:space="0"/>
        </w:pBdr>
        <w:shd w:val="clear" w:fill="F7F8FA"/>
        <w:kinsoku/>
        <w:wordWrap/>
        <w:overflowPunct/>
        <w:topLinePunct w:val="0"/>
        <w:autoSpaceDE/>
        <w:autoSpaceDN/>
        <w:bidi w:val="0"/>
        <w:adjustRightInd/>
        <w:snapToGrid/>
        <w:spacing w:before="0" w:beforeAutospacing="0" w:after="0" w:afterAutospacing="0" w:line="360" w:lineRule="auto"/>
        <w:ind w:right="0" w:rightChars="0"/>
        <w:jc w:val="both"/>
        <w:textAlignment w:val="auto"/>
        <w:rPr>
          <w:rFonts w:hint="default" w:ascii="Times New Roman" w:hAnsi="Times New Roman" w:eastAsia="Futura Light BT" w:cs="Times New Roman"/>
          <w:b/>
          <w:bCs/>
          <w:color w:val="000000"/>
          <w:kern w:val="0"/>
          <w:sz w:val="24"/>
          <w:szCs w:val="24"/>
          <w:lang w:val="en-US" w:eastAsia="zh-CN" w:bidi="ar"/>
        </w:rPr>
      </w:pPr>
      <w:r>
        <w:rPr>
          <w:rFonts w:hint="default" w:ascii="Times New Roman" w:hAnsi="Times New Roman" w:eastAsia="Futura Light BT" w:cs="Times New Roman"/>
          <w:b/>
          <w:bCs/>
          <w:color w:val="000000"/>
          <w:kern w:val="0"/>
          <w:sz w:val="24"/>
          <w:szCs w:val="24"/>
          <w:lang w:val="en-US" w:eastAsia="zh-CN" w:bidi="ar"/>
        </w:rPr>
        <w:t xml:space="preserve">Meet needs </w:t>
      </w:r>
    </w:p>
    <w:p>
      <w:pPr>
        <w:pStyle w:val="3"/>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kinsoku/>
        <w:wordWrap/>
        <w:overflowPunct/>
        <w:topLinePunct w:val="0"/>
        <w:autoSpaceDE/>
        <w:autoSpaceDN/>
        <w:bidi w:val="0"/>
        <w:adjustRightInd/>
        <w:snapToGrid/>
        <w:spacing w:before="0" w:beforeAutospacing="0" w:after="0" w:afterAutospacing="0" w:line="360" w:lineRule="auto"/>
        <w:ind w:right="0" w:rightChars="0"/>
        <w:jc w:val="both"/>
        <w:textAlignment w:val="auto"/>
        <w:rPr>
          <w:rFonts w:hint="default" w:ascii="Times New Roman" w:hAnsi="Times New Roman" w:eastAsia="Futura Light BT" w:cs="Times New Roman"/>
          <w:color w:val="000000"/>
          <w:kern w:val="0"/>
          <w:sz w:val="24"/>
          <w:szCs w:val="24"/>
          <w:lang w:val="en-US" w:eastAsia="zh-CN" w:bidi="ar"/>
        </w:rPr>
      </w:pPr>
      <w:r>
        <w:rPr>
          <w:rFonts w:hint="default" w:ascii="Times New Roman" w:hAnsi="Times New Roman" w:eastAsia="Futura Light BT" w:cs="Times New Roman"/>
          <w:color w:val="000000"/>
          <w:kern w:val="0"/>
          <w:sz w:val="24"/>
          <w:szCs w:val="24"/>
          <w:lang w:val="en-US" w:eastAsia="zh-CN" w:bidi="ar"/>
        </w:rPr>
        <w:t>The American psychologist Maslow (1954) proposed the Hierarchy of Human Needs to explain how humans are intrinsically motivated to engage in behaviour. According to his hierarchy of needs, human needs are divided from bottom to top into physiological needs, safety needs, belonging and love needs, social or esteem needs, “need to know” needs, aesthetic needs and self-actualization needs. He argues that of these needs, the first four are “basic needs”, which are important for physical and psychological well-being and must be met to some degree, and the last three are “growth needs”, which are rarely fully met. The need for knowledge needs lie at the fifth level which belongs to the “growth need”. If the basic needs haven’t been met, it is difficult to develop motivation to learn based on the “need to know” needs. Therefore, in order to develop students' motivation, it is necessary to first meet their basic needs and, on this basis, to make clear to L2 learners the purpose and meaning of learning a second language. This can be done by making students aware of the importance of English for their future career, so that they can change from "I want to learn" to "I want to learn" and "I love to learn".</w:t>
      </w:r>
    </w:p>
    <w:p>
      <w:pPr>
        <w:pStyle w:val="3"/>
        <w:keepNext w:val="0"/>
        <w:keepLines w:val="0"/>
        <w:pageBreakBefore w:val="0"/>
        <w:widowControl/>
        <w:numPr>
          <w:ilvl w:val="0"/>
          <w:numId w:val="3"/>
        </w:numPr>
        <w:suppressLineNumbers w:val="0"/>
        <w:pBdr>
          <w:top w:val="none" w:color="auto" w:sz="0" w:space="0"/>
          <w:left w:val="none" w:color="auto" w:sz="0" w:space="0"/>
          <w:bottom w:val="none" w:color="auto" w:sz="0" w:space="0"/>
          <w:right w:val="none" w:color="auto" w:sz="0" w:space="0"/>
        </w:pBdr>
        <w:shd w:val="clear" w:fill="F7F8FA"/>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rPr>
          <w:rFonts w:hint="default" w:ascii="Times New Roman" w:hAnsi="Times New Roman" w:eastAsia="Futura Light BT" w:cs="Times New Roman"/>
          <w:b/>
          <w:bCs/>
          <w:color w:val="000000"/>
          <w:kern w:val="0"/>
          <w:sz w:val="24"/>
          <w:szCs w:val="24"/>
          <w:lang w:val="en-US" w:eastAsia="zh-CN" w:bidi="ar"/>
        </w:rPr>
      </w:pPr>
      <w:r>
        <w:rPr>
          <w:rFonts w:hint="default" w:ascii="Times New Roman" w:hAnsi="Times New Roman" w:eastAsia="Futura Light BT" w:cs="Times New Roman"/>
          <w:b/>
          <w:bCs/>
          <w:color w:val="000000"/>
          <w:kern w:val="0"/>
          <w:sz w:val="24"/>
          <w:szCs w:val="24"/>
          <w:lang w:val="en-US" w:eastAsia="zh-CN" w:bidi="ar"/>
        </w:rPr>
        <w:t>Encouragement</w:t>
      </w:r>
    </w:p>
    <w:p>
      <w:pPr>
        <w:pStyle w:val="3"/>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Futura Light BT" w:cs="Times New Roman"/>
          <w:color w:val="000000"/>
          <w:kern w:val="0"/>
          <w:sz w:val="24"/>
          <w:szCs w:val="24"/>
          <w:lang w:val="en-US" w:eastAsia="zh-CN" w:bidi="ar"/>
        </w:rPr>
      </w:pPr>
      <w:r>
        <w:rPr>
          <w:rFonts w:hint="default" w:ascii="Times New Roman" w:hAnsi="Times New Roman" w:eastAsia="Futura Light BT" w:cs="Times New Roman"/>
          <w:color w:val="000000"/>
          <w:kern w:val="0"/>
          <w:sz w:val="24"/>
          <w:szCs w:val="24"/>
          <w:lang w:val="en-US" w:eastAsia="zh-CN" w:bidi="ar"/>
        </w:rPr>
        <w:t>According to Edward Deci's theory of motivation, motivation can be divided into Intrinsic and extrinsic motivation. Teachers should pay attention to the classification of L2 learners' motivation and reward them appropriately according to their different motivations. For example, for L2 learners who are more externally motivated or younger, extrinsic rewards such as praise, prizes and awards can be given to motivate learners for their progress, to simulate learners' motivation to learn. On the other hand, too much extrinsic motivation can weaken intrinsic motivation and can also feed into the learner's utilitarianism, which can only lead to short-term stimulus effectiveness. Therefore, stimulating L2 learners' intrinsic motivation is crucial to learners' L2 learning. Teachers should impart the right learning concepts and values to learners, and through spiritual encouragement allow learners to voluntarily generate intrinsic motivation to learn and thus achieve long-term success in L2 learning.</w:t>
      </w:r>
    </w:p>
    <w:p>
      <w:pPr>
        <w:pStyle w:val="3"/>
        <w:keepNext w:val="0"/>
        <w:keepLines w:val="0"/>
        <w:pageBreakBefore w:val="0"/>
        <w:widowControl/>
        <w:numPr>
          <w:ilvl w:val="0"/>
          <w:numId w:val="3"/>
        </w:numPr>
        <w:suppressLineNumbers w:val="0"/>
        <w:pBdr>
          <w:top w:val="none" w:color="auto" w:sz="0" w:space="0"/>
          <w:left w:val="none" w:color="auto" w:sz="0" w:space="0"/>
          <w:bottom w:val="none" w:color="auto" w:sz="0" w:space="0"/>
          <w:right w:val="none" w:color="auto" w:sz="0" w:space="0"/>
        </w:pBdr>
        <w:shd w:val="clear" w:fill="F7F8FA"/>
        <w:kinsoku/>
        <w:wordWrap/>
        <w:overflowPunct/>
        <w:topLinePunct w:val="0"/>
        <w:autoSpaceDE/>
        <w:autoSpaceDN/>
        <w:bidi w:val="0"/>
        <w:adjustRightInd/>
        <w:snapToGrid/>
        <w:spacing w:before="0" w:beforeAutospacing="0" w:after="0" w:afterAutospacing="0" w:line="360" w:lineRule="auto"/>
        <w:ind w:left="0" w:leftChars="0" w:right="0" w:rightChars="0" w:firstLine="0" w:firstLineChars="0"/>
        <w:jc w:val="both"/>
        <w:textAlignment w:val="auto"/>
        <w:rPr>
          <w:rFonts w:hint="default" w:ascii="Times New Roman" w:hAnsi="Times New Roman" w:eastAsia="Futura Light BT" w:cs="Times New Roman"/>
          <w:b/>
          <w:bCs/>
          <w:color w:val="000000"/>
          <w:kern w:val="0"/>
          <w:sz w:val="24"/>
          <w:szCs w:val="24"/>
          <w:lang w:val="en-US" w:eastAsia="zh-CN" w:bidi="ar"/>
        </w:rPr>
      </w:pPr>
      <w:r>
        <w:rPr>
          <w:rFonts w:hint="default" w:ascii="Times New Roman" w:hAnsi="Times New Roman" w:eastAsia="Futura Light BT" w:cs="Times New Roman"/>
          <w:b/>
          <w:bCs/>
          <w:color w:val="000000"/>
          <w:kern w:val="0"/>
          <w:sz w:val="24"/>
          <w:szCs w:val="24"/>
          <w:lang w:val="en-US" w:eastAsia="zh-CN" w:bidi="ar"/>
        </w:rPr>
        <w:t>Fostering cultural identity in second language learning</w:t>
      </w:r>
    </w:p>
    <w:p>
      <w:pPr>
        <w:pStyle w:val="3"/>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Futura Light BT" w:cs="Times New Roman"/>
          <w:color w:val="000000"/>
          <w:kern w:val="0"/>
          <w:sz w:val="24"/>
          <w:szCs w:val="24"/>
          <w:lang w:val="en-US" w:eastAsia="zh-CN" w:bidi="ar"/>
        </w:rPr>
      </w:pPr>
      <w:r>
        <w:rPr>
          <w:rFonts w:hint="default" w:ascii="Times New Roman" w:hAnsi="Times New Roman" w:eastAsia="Futura Light BT" w:cs="Times New Roman"/>
          <w:color w:val="000000"/>
          <w:kern w:val="0"/>
          <w:sz w:val="24"/>
          <w:szCs w:val="24"/>
          <w:lang w:val="en-US" w:eastAsia="zh-CN" w:bidi="ar"/>
        </w:rPr>
        <w:t xml:space="preserve">According to Gardner and Lambert's motivation theory, motivation to learn a second language is classified as Integrative motivation and Instrumental motivation. On this basis, In second language teaching, teachers can guide students’ attitude towards second language learning and influence their learning motivation by using different teaching strategies. Students are people with beliefs, feelings and identity, and if learners has strong instrumental motivation and think that mastering a second language will help them get a good job or get into a better school, they will improve their language skills in a short time. </w:t>
      </w:r>
    </w:p>
    <w:p>
      <w:pPr>
        <w:pStyle w:val="3"/>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Futura Light BT" w:cs="Times New Roman"/>
          <w:color w:val="000000"/>
          <w:kern w:val="0"/>
          <w:sz w:val="24"/>
          <w:szCs w:val="24"/>
          <w:lang w:val="en-US" w:eastAsia="zh-CN" w:bidi="ar"/>
        </w:rPr>
      </w:pPr>
      <w:r>
        <w:rPr>
          <w:rFonts w:hint="default" w:ascii="Times New Roman" w:hAnsi="Times New Roman" w:eastAsia="Futura Light BT" w:cs="Times New Roman"/>
          <w:color w:val="000000"/>
          <w:kern w:val="0"/>
          <w:sz w:val="24"/>
          <w:szCs w:val="24"/>
          <w:lang w:val="en-US" w:eastAsia="zh-CN" w:bidi="ar"/>
        </w:rPr>
        <w:t>At the same time, developing L2 learners' cultural identity with the second language group can help build learners' integrative motivation to learn a second language. If instrumental motivation has a short-term stimulating effect on L2 learners' learning of a second language, integrative motivation helps L2 learners to develop a long-term learning mechanism. Building L2 learners' integrative motivation helps to stimulate them to establish a clear learning plan and to develop their learning goals for second language localisation, ultimately enabling L2 learners to successfully acquire second language skills.</w:t>
      </w:r>
    </w:p>
    <w:p>
      <w:pPr>
        <w:pStyle w:val="3"/>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Futura Light BT" w:cs="Times New Roman"/>
          <w:color w:val="000000"/>
          <w:kern w:val="0"/>
          <w:sz w:val="24"/>
          <w:szCs w:val="24"/>
          <w:lang w:val="en-US" w:eastAsia="zh-CN" w:bidi="ar"/>
        </w:rPr>
      </w:pPr>
    </w:p>
    <w:p>
      <w:pPr>
        <w:pStyle w:val="3"/>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Futura Light BT" w:cs="Times New Roman"/>
          <w:b/>
          <w:bCs/>
          <w:color w:val="000000"/>
          <w:kern w:val="0"/>
          <w:sz w:val="24"/>
          <w:szCs w:val="24"/>
          <w:lang w:val="en-US" w:eastAsia="zh-CN" w:bidi="ar"/>
        </w:rPr>
      </w:pPr>
      <w:r>
        <w:rPr>
          <w:rFonts w:hint="default" w:ascii="Times New Roman" w:hAnsi="Times New Roman" w:eastAsia="Futura Light BT" w:cs="Times New Roman"/>
          <w:b/>
          <w:bCs/>
          <w:color w:val="000000"/>
          <w:kern w:val="0"/>
          <w:sz w:val="24"/>
          <w:szCs w:val="24"/>
          <w:lang w:val="en-US" w:eastAsia="zh-CN" w:bidi="ar"/>
        </w:rPr>
        <w:t>IV. Conclusion</w:t>
      </w:r>
    </w:p>
    <w:p>
      <w:pPr>
        <w:pStyle w:val="3"/>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7F8FA"/>
        <w:kinsoku/>
        <w:wordWrap/>
        <w:overflowPunct/>
        <w:topLinePunct w:val="0"/>
        <w:autoSpaceDE/>
        <w:autoSpaceDN/>
        <w:bidi w:val="0"/>
        <w:adjustRightInd/>
        <w:snapToGrid/>
        <w:spacing w:before="0" w:beforeAutospacing="0" w:after="0" w:afterAutospacing="0" w:line="360" w:lineRule="auto"/>
        <w:ind w:leftChars="0" w:right="0" w:rightChars="0"/>
        <w:jc w:val="both"/>
        <w:textAlignment w:val="auto"/>
        <w:rPr>
          <w:rFonts w:hint="default" w:ascii="Times New Roman" w:hAnsi="Times New Roman" w:eastAsia="Futura Light BT" w:cs="Times New Roman"/>
          <w:color w:val="000000"/>
          <w:kern w:val="0"/>
          <w:sz w:val="24"/>
          <w:szCs w:val="24"/>
          <w:lang w:val="en-US" w:eastAsia="zh-CN" w:bidi="ar"/>
        </w:rPr>
      </w:pPr>
      <w:r>
        <w:rPr>
          <w:rFonts w:hint="default" w:ascii="Times New Roman" w:hAnsi="Times New Roman" w:eastAsia="Futura Light BT" w:cs="Times New Roman"/>
          <w:color w:val="000000"/>
          <w:kern w:val="0"/>
          <w:sz w:val="24"/>
          <w:szCs w:val="24"/>
          <w:lang w:val="en-US" w:eastAsia="zh-CN" w:bidi="ar"/>
        </w:rPr>
        <w:t>As second language learning is a long and complex process and the individual differences of second language learners are great, there are many individual factors that influence second language learning. Motivation, as one of the key factors influencing second language learning, is an important factor in determining the success of second language learning. How to increase students' motivation and relieve their emotional anxiety in second language learning has been a persistent topic of academic interest. In second language learning, if teachers can correctly understand, cultivate and stimulate students' learning motivation, so that it is in the other conditions of the same condition, give full play to its potential ability, it may make students in academic performance and ability have a very big leap.</w:t>
      </w:r>
    </w:p>
    <w:p>
      <w:pPr>
        <w:jc w:val="both"/>
      </w:pPr>
    </w:p>
    <w:p>
      <w:pPr>
        <w:jc w:val="both"/>
      </w:pPr>
    </w:p>
    <w:p>
      <w:pPr>
        <w:jc w:val="both"/>
      </w:pPr>
    </w:p>
    <w:p>
      <w:pPr>
        <w:jc w:val="both"/>
      </w:pPr>
    </w:p>
    <w:p>
      <w:pPr>
        <w:jc w:val="both"/>
      </w:pPr>
    </w:p>
    <w:p>
      <w:pPr>
        <w:jc w:val="both"/>
      </w:pPr>
    </w:p>
    <w:p>
      <w:pPr>
        <w:jc w:val="both"/>
      </w:pPr>
    </w:p>
    <w:p>
      <w:pPr>
        <w:jc w:val="both"/>
      </w:pPr>
    </w:p>
    <w:p>
      <w:pPr>
        <w:jc w:val="both"/>
      </w:pPr>
    </w:p>
    <w:p>
      <w:pPr>
        <w:jc w:val="both"/>
      </w:pPr>
    </w:p>
    <w:p>
      <w:pPr>
        <w:jc w:val="both"/>
      </w:pPr>
    </w:p>
    <w:p>
      <w:pPr>
        <w:jc w:val="both"/>
      </w:pPr>
    </w:p>
    <w:p>
      <w:pPr>
        <w:jc w:val="both"/>
      </w:pPr>
    </w:p>
    <w:p>
      <w:pPr>
        <w:jc w:val="both"/>
      </w:pPr>
    </w:p>
    <w:p>
      <w:pPr>
        <w:keepNext w:val="0"/>
        <w:keepLines w:val="0"/>
        <w:pageBreakBefore w:val="0"/>
        <w:widowControl w:val="0"/>
        <w:kinsoku/>
        <w:wordWrap/>
        <w:overflowPunct/>
        <w:topLinePunct w:val="0"/>
        <w:autoSpaceDE/>
        <w:autoSpaceDN/>
        <w:bidi w:val="0"/>
        <w:adjustRightInd/>
        <w:spacing w:line="360" w:lineRule="auto"/>
        <w:jc w:val="both"/>
        <w:textAlignment w:val="auto"/>
        <w:rPr>
          <w:rFonts w:hint="eastAsia"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References</w:t>
      </w:r>
    </w:p>
    <w:p>
      <w:pPr>
        <w:keepNext w:val="0"/>
        <w:keepLines w:val="0"/>
        <w:pageBreakBefore w:val="0"/>
        <w:widowControl w:val="0"/>
        <w:kinsoku/>
        <w:wordWrap/>
        <w:overflowPunct/>
        <w:topLinePunct w:val="0"/>
        <w:autoSpaceDE/>
        <w:autoSpaceDN/>
        <w:bidi w:val="0"/>
        <w:adjustRightInd/>
        <w:spacing w:line="36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Ellis, R.</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1986. </w:t>
      </w:r>
      <w:r>
        <w:rPr>
          <w:rFonts w:hint="default" w:ascii="Times New Roman" w:hAnsi="Times New Roman" w:cs="Times New Roman"/>
          <w:i/>
          <w:iCs/>
          <w:sz w:val="24"/>
          <w:szCs w:val="24"/>
        </w:rPr>
        <w:t>Understanding Second Language Acquisition</w:t>
      </w:r>
      <w:r>
        <w:rPr>
          <w:rFonts w:hint="default" w:ascii="Times New Roman" w:hAnsi="Times New Roman" w:cs="Times New Roman"/>
          <w:sz w:val="24"/>
          <w:szCs w:val="24"/>
        </w:rPr>
        <w:t>. Oxford: Oxford University Press</w:t>
      </w:r>
    </w:p>
    <w:p>
      <w:pPr>
        <w:keepNext w:val="0"/>
        <w:keepLines w:val="0"/>
        <w:pageBreakBefore w:val="0"/>
        <w:widowControl w:val="0"/>
        <w:kinsoku/>
        <w:wordWrap/>
        <w:overflowPunct/>
        <w:topLinePunct w:val="0"/>
        <w:autoSpaceDE/>
        <w:autoSpaceDN/>
        <w:bidi w:val="0"/>
        <w:adjustRightIn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Gardner, R.C &amp; Lambert, W, 1972. </w:t>
      </w:r>
      <w:r>
        <w:rPr>
          <w:rFonts w:hint="default" w:ascii="Times New Roman" w:hAnsi="Times New Roman" w:cs="Times New Roman"/>
          <w:i/>
          <w:iCs/>
          <w:sz w:val="24"/>
          <w:szCs w:val="24"/>
          <w:lang w:val="en-US" w:eastAsia="zh-CN"/>
        </w:rPr>
        <w:t>Attitudes and Motivation in Second Language Learning</w:t>
      </w:r>
      <w:r>
        <w:rPr>
          <w:rFonts w:hint="default" w:ascii="Times New Roman" w:hAnsi="Times New Roman" w:cs="Times New Roman"/>
          <w:sz w:val="24"/>
          <w:szCs w:val="24"/>
          <w:lang w:val="en-US" w:eastAsia="zh-CN"/>
        </w:rPr>
        <w:t>. Rowley, Mass: Newbury House Publishers</w:t>
      </w:r>
    </w:p>
    <w:p>
      <w:pPr>
        <w:keepNext w:val="0"/>
        <w:keepLines w:val="0"/>
        <w:pageBreakBefore w:val="0"/>
        <w:widowControl w:val="0"/>
        <w:kinsoku/>
        <w:wordWrap/>
        <w:overflowPunct/>
        <w:topLinePunct w:val="0"/>
        <w:autoSpaceDE/>
        <w:autoSpaceDN/>
        <w:bidi w:val="0"/>
        <w:adjustRightIn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Jack Richards, et al., 1985. </w:t>
      </w:r>
      <w:r>
        <w:rPr>
          <w:rFonts w:hint="default" w:ascii="Times New Roman" w:hAnsi="Times New Roman" w:cs="Times New Roman"/>
          <w:i/>
          <w:iCs/>
          <w:sz w:val="24"/>
          <w:szCs w:val="24"/>
          <w:lang w:val="en-US" w:eastAsia="zh-CN"/>
        </w:rPr>
        <w:t>Longman Dictionary of Applied Linguistics</w:t>
      </w:r>
      <w:r>
        <w:rPr>
          <w:rFonts w:hint="default" w:ascii="Times New Roman" w:hAnsi="Times New Roman" w:cs="Times New Roman"/>
          <w:sz w:val="24"/>
          <w:szCs w:val="24"/>
          <w:lang w:val="en-US" w:eastAsia="zh-CN"/>
        </w:rPr>
        <w:t xml:space="preserve"> (1</w:t>
      </w:r>
      <w:r>
        <w:rPr>
          <w:rFonts w:hint="default" w:ascii="Times New Roman" w:hAnsi="Times New Roman" w:cs="Times New Roman"/>
          <w:sz w:val="24"/>
          <w:szCs w:val="24"/>
          <w:vertAlign w:val="superscript"/>
          <w:lang w:val="en-US" w:eastAsia="zh-CN"/>
        </w:rPr>
        <w:t>st</w:t>
      </w:r>
      <w:r>
        <w:rPr>
          <w:rFonts w:hint="default" w:ascii="Times New Roman" w:hAnsi="Times New Roman" w:cs="Times New Roman"/>
          <w:sz w:val="24"/>
          <w:szCs w:val="24"/>
          <w:lang w:val="en-US" w:eastAsia="zh-CN"/>
        </w:rPr>
        <w:t xml:space="preserve"> Edition), London</w:t>
      </w:r>
    </w:p>
    <w:p>
      <w:pPr>
        <w:keepNext w:val="0"/>
        <w:keepLines w:val="0"/>
        <w:pageBreakBefore w:val="0"/>
        <w:widowControl w:val="0"/>
        <w:kinsoku/>
        <w:wordWrap/>
        <w:overflowPunct/>
        <w:topLinePunct w:val="0"/>
        <w:autoSpaceDE/>
        <w:autoSpaceDN/>
        <w:bidi w:val="0"/>
        <w:adjustRightIn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Khasinah, Siti.</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 2014. </w:t>
      </w:r>
      <w:r>
        <w:rPr>
          <w:rFonts w:hint="default" w:ascii="Times New Roman" w:hAnsi="Times New Roman" w:cs="Times New Roman"/>
          <w:sz w:val="24"/>
          <w:szCs w:val="24"/>
          <w:lang w:val="en-US" w:eastAsia="zh-CN"/>
        </w:rPr>
        <w:t xml:space="preserve">Factors Influencing Second Language Acquisition, </w:t>
      </w:r>
      <w:r>
        <w:rPr>
          <w:rFonts w:hint="default" w:ascii="Times New Roman" w:hAnsi="Times New Roman" w:cs="Times New Roman"/>
          <w:i/>
          <w:iCs/>
          <w:sz w:val="24"/>
          <w:szCs w:val="24"/>
          <w:lang w:val="en-US" w:eastAsia="zh-CN"/>
        </w:rPr>
        <w:t>Englisia Journal</w:t>
      </w:r>
      <w:r>
        <w:rPr>
          <w:rFonts w:hint="default" w:ascii="Times New Roman" w:hAnsi="Times New Roman" w:cs="Times New Roman"/>
          <w:sz w:val="24"/>
          <w:szCs w:val="24"/>
          <w:lang w:val="en-US" w:eastAsia="zh-CN"/>
        </w:rPr>
        <w:t>. 1. 10.22373/ej.v1i2.187.</w:t>
      </w:r>
    </w:p>
    <w:p>
      <w:pPr>
        <w:pStyle w:val="2"/>
        <w:keepNext w:val="0"/>
        <w:keepLines w:val="0"/>
        <w:pageBreakBefore w:val="0"/>
        <w:widowControl w:val="0"/>
        <w:kinsoku/>
        <w:wordWrap/>
        <w:overflowPunct/>
        <w:topLinePunct w:val="0"/>
        <w:autoSpaceDE/>
        <w:autoSpaceDN/>
        <w:bidi w:val="0"/>
        <w:adjustRightInd/>
        <w:snapToGrid w:val="0"/>
        <w:spacing w:line="360" w:lineRule="auto"/>
        <w:jc w:val="both"/>
        <w:textAlignment w:val="auto"/>
        <w:rPr>
          <w:rFonts w:hint="default" w:ascii="Times New Roman" w:hAnsi="Times New Roman" w:cs="Times New Roman"/>
          <w:sz w:val="24"/>
          <w:szCs w:val="24"/>
        </w:rPr>
      </w:pPr>
      <w:r>
        <w:rPr>
          <w:rFonts w:hint="default" w:ascii="Times New Roman" w:hAnsi="Times New Roman" w:eastAsia="Georgia" w:cs="Times New Roman"/>
          <w:i w:val="0"/>
          <w:iCs w:val="0"/>
          <w:caps w:val="0"/>
          <w:color w:val="333333"/>
          <w:spacing w:val="1"/>
          <w:sz w:val="24"/>
          <w:szCs w:val="24"/>
          <w:shd w:val="clear" w:fill="FCFCFC"/>
        </w:rPr>
        <w:t>Mitchell, R., &amp; Myles, F.</w:t>
      </w:r>
      <w:r>
        <w:rPr>
          <w:rFonts w:hint="eastAsia" w:ascii="Times New Roman" w:hAnsi="Times New Roman" w:eastAsia="宋体" w:cs="Times New Roman"/>
          <w:i w:val="0"/>
          <w:iCs w:val="0"/>
          <w:caps w:val="0"/>
          <w:color w:val="333333"/>
          <w:spacing w:val="1"/>
          <w:sz w:val="24"/>
          <w:szCs w:val="24"/>
          <w:shd w:val="clear" w:fill="FCFCFC"/>
          <w:lang w:val="en-US" w:eastAsia="zh-CN"/>
        </w:rPr>
        <w:t xml:space="preserve">, </w:t>
      </w:r>
      <w:r>
        <w:rPr>
          <w:rFonts w:hint="default" w:ascii="Times New Roman" w:hAnsi="Times New Roman" w:eastAsia="Georgia" w:cs="Times New Roman"/>
          <w:i w:val="0"/>
          <w:iCs w:val="0"/>
          <w:caps w:val="0"/>
          <w:color w:val="333333"/>
          <w:spacing w:val="1"/>
          <w:sz w:val="24"/>
          <w:szCs w:val="24"/>
          <w:shd w:val="clear" w:fill="FCFCFC"/>
        </w:rPr>
        <w:t>2004. </w:t>
      </w:r>
      <w:r>
        <w:rPr>
          <w:rStyle w:val="6"/>
          <w:rFonts w:hint="default" w:ascii="Times New Roman" w:hAnsi="Times New Roman" w:eastAsia="Georgia" w:cs="Times New Roman"/>
          <w:i/>
          <w:iCs/>
          <w:caps w:val="0"/>
          <w:color w:val="333333"/>
          <w:spacing w:val="1"/>
          <w:sz w:val="24"/>
          <w:szCs w:val="24"/>
          <w:shd w:val="clear" w:fill="FCFCFC"/>
        </w:rPr>
        <w:t>Second language learning theories</w:t>
      </w:r>
      <w:r>
        <w:rPr>
          <w:rFonts w:hint="default" w:ascii="Times New Roman" w:hAnsi="Times New Roman" w:eastAsia="Georgia" w:cs="Times New Roman"/>
          <w:i w:val="0"/>
          <w:iCs w:val="0"/>
          <w:caps w:val="0"/>
          <w:color w:val="333333"/>
          <w:spacing w:val="1"/>
          <w:sz w:val="24"/>
          <w:szCs w:val="24"/>
          <w:shd w:val="clear" w:fill="FCFCFC"/>
        </w:rPr>
        <w:t> (2</w:t>
      </w:r>
      <w:r>
        <w:rPr>
          <w:rFonts w:hint="default" w:ascii="Times New Roman" w:hAnsi="Times New Roman" w:eastAsia="Georgia" w:cs="Times New Roman"/>
          <w:i w:val="0"/>
          <w:iCs w:val="0"/>
          <w:caps w:val="0"/>
          <w:color w:val="333333"/>
          <w:spacing w:val="1"/>
          <w:sz w:val="24"/>
          <w:szCs w:val="24"/>
          <w:shd w:val="clear" w:fill="FCFCFC"/>
          <w:vertAlign w:val="superscript"/>
        </w:rPr>
        <w:t>nd</w:t>
      </w:r>
      <w:r>
        <w:rPr>
          <w:rFonts w:hint="default" w:ascii="Times New Roman" w:hAnsi="Times New Roman" w:eastAsia="Georgia" w:cs="Times New Roman"/>
          <w:i w:val="0"/>
          <w:iCs w:val="0"/>
          <w:caps w:val="0"/>
          <w:color w:val="333333"/>
          <w:spacing w:val="1"/>
          <w:sz w:val="24"/>
          <w:szCs w:val="24"/>
          <w:shd w:val="clear" w:fill="FCFCFC"/>
        </w:rPr>
        <w:t xml:space="preserve"> ed.). London: Arnold.</w:t>
      </w:r>
    </w:p>
    <w:p>
      <w:pPr>
        <w:keepNext w:val="0"/>
        <w:keepLines w:val="0"/>
        <w:pageBreakBefore w:val="0"/>
        <w:widowControl w:val="0"/>
        <w:kinsoku/>
        <w:wordWrap/>
        <w:overflowPunct/>
        <w:topLinePunct w:val="0"/>
        <w:autoSpaceDE/>
        <w:autoSpaceDN/>
        <w:bidi w:val="0"/>
        <w:adjustRightInd/>
        <w:spacing w:line="360" w:lineRule="auto"/>
        <w:jc w:val="both"/>
        <w:textAlignment w:val="auto"/>
        <w:rPr>
          <w:rFonts w:hint="default" w:ascii="Times New Roman" w:hAnsi="Times New Roman" w:cs="Times New Roman"/>
          <w:sz w:val="24"/>
          <w:szCs w:val="24"/>
        </w:rPr>
      </w:pPr>
      <w:r>
        <w:rPr>
          <w:rFonts w:hint="default" w:ascii="Times New Roman" w:hAnsi="Times New Roman" w:cs="Times New Roman"/>
          <w:sz w:val="24"/>
          <w:szCs w:val="24"/>
        </w:rPr>
        <w:t>Reid, J. M.</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1995. </w:t>
      </w:r>
      <w:r>
        <w:rPr>
          <w:rFonts w:hint="default" w:ascii="Times New Roman" w:hAnsi="Times New Roman" w:cs="Times New Roman"/>
          <w:i/>
          <w:iCs/>
          <w:sz w:val="24"/>
          <w:szCs w:val="24"/>
        </w:rPr>
        <w:t>Learning styles in the ESL/EFL classroom</w:t>
      </w:r>
      <w:r>
        <w:rPr>
          <w:rFonts w:hint="default" w:ascii="Times New Roman" w:hAnsi="Times New Roman" w:cs="Times New Roman"/>
          <w:sz w:val="24"/>
          <w:szCs w:val="24"/>
        </w:rPr>
        <w:t>. Florence, KY: Heinle &amp; Heinle Publishers.</w:t>
      </w:r>
    </w:p>
    <w:p>
      <w:pPr>
        <w:keepNext w:val="0"/>
        <w:keepLines w:val="0"/>
        <w:pageBreakBefore w:val="0"/>
        <w:widowControl w:val="0"/>
        <w:kinsoku/>
        <w:wordWrap/>
        <w:overflowPunct/>
        <w:topLinePunct w:val="0"/>
        <w:autoSpaceDE/>
        <w:autoSpaceDN/>
        <w:bidi w:val="0"/>
        <w:adjustRightIn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Ryan, R. M., &amp; Deci, E. L., 2000. Self-determination Theory and the Facilitation of Intrinsic Motivation, Social Development, and Well-being,</w:t>
      </w:r>
      <w:r>
        <w:rPr>
          <w:rFonts w:hint="default" w:ascii="Times New Roman" w:hAnsi="Times New Roman" w:cs="Times New Roman"/>
          <w:i/>
          <w:iCs/>
          <w:sz w:val="24"/>
          <w:szCs w:val="24"/>
          <w:lang w:val="en-US" w:eastAsia="zh-CN"/>
        </w:rPr>
        <w:t xml:space="preserve"> American Psychologist</w:t>
      </w:r>
      <w:r>
        <w:rPr>
          <w:rFonts w:hint="default" w:ascii="Times New Roman" w:hAnsi="Times New Roman" w:cs="Times New Roman"/>
          <w:sz w:val="24"/>
          <w:szCs w:val="24"/>
          <w:lang w:val="en-US" w:eastAsia="zh-CN"/>
        </w:rPr>
        <w:t>, 55, 68-78</w:t>
      </w:r>
    </w:p>
    <w:p>
      <w:pPr>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Georgia">
    <w:panose1 w:val="02040502050405020303"/>
    <w:charset w:val="00"/>
    <w:family w:val="auto"/>
    <w:pitch w:val="default"/>
    <w:sig w:usb0="00000287" w:usb1="00000000" w:usb2="00000000" w:usb3="00000000" w:csb0="2000009F" w:csb1="00000000"/>
  </w:font>
  <w:font w:name="Futura Light B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ymbol">
    <w:panose1 w:val="05050102010706020507"/>
    <w:charset w:val="00"/>
    <w:family w:val="auto"/>
    <w:pitch w:val="default"/>
    <w:sig w:usb0="00000000" w:usb1="00000000" w:usb2="00000000" w:usb3="00000000" w:csb0="80000000" w:csb1="00000000"/>
  </w:font>
  <w:font w:name="Arial">
    <w:panose1 w:val="020B0604020202020204"/>
    <w:charset w:val="00"/>
    <w:family w:val="auto"/>
    <w:pitch w:val="default"/>
    <w:sig w:usb0="E0002EFF" w:usb1="C000785B"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AA5C3E9"/>
    <w:multiLevelType w:val="singleLevel"/>
    <w:tmpl w:val="FAA5C3E9"/>
    <w:lvl w:ilvl="0" w:tentative="0">
      <w:start w:val="1"/>
      <w:numFmt w:val="upperLetter"/>
      <w:suff w:val="space"/>
      <w:lvlText w:val="%1."/>
      <w:lvlJc w:val="left"/>
    </w:lvl>
  </w:abstractNum>
  <w:abstractNum w:abstractNumId="1">
    <w:nsid w:val="FD81AA8C"/>
    <w:multiLevelType w:val="singleLevel"/>
    <w:tmpl w:val="FD81AA8C"/>
    <w:lvl w:ilvl="0" w:tentative="0">
      <w:start w:val="1"/>
      <w:numFmt w:val="decimal"/>
      <w:suff w:val="space"/>
      <w:lvlText w:val="%1."/>
      <w:lvlJc w:val="left"/>
    </w:lvl>
  </w:abstractNum>
  <w:abstractNum w:abstractNumId="2">
    <w:nsid w:val="0B5EE619"/>
    <w:multiLevelType w:val="singleLevel"/>
    <w:tmpl w:val="0B5EE619"/>
    <w:lvl w:ilvl="0" w:tentative="0">
      <w:start w:val="2"/>
      <w:numFmt w:val="decimal"/>
      <w:suff w:val="space"/>
      <w:lvlText w:val="%1."/>
      <w:lvlJc w:val="left"/>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29A3041"/>
    <w:rsid w:val="429A3041"/>
    <w:rsid w:val="544A67C0"/>
    <w:rsid w:val="59D876F6"/>
    <w:rsid w:val="5E211CA6"/>
    <w:rsid w:val="6B4C25B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99" w:semiHidden="0" w:name="Normal (Web)"/>
    <w:lsdException w:unhideWhenUsed="0" w:uiPriority="0" w:semiHidden="0" w:name="HTML Acronym"/>
    <w:lsdException w:unhideWhenUsed="0" w:uiPriority="0" w:semiHidden="0" w:name="HTML Address"/>
    <w:lsdException w:qFormat="1"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footnote text"/>
    <w:basedOn w:val="1"/>
    <w:qFormat/>
    <w:uiPriority w:val="0"/>
    <w:pPr>
      <w:snapToGrid w:val="0"/>
      <w:jc w:val="left"/>
    </w:pPr>
    <w:rPr>
      <w:sz w:val="18"/>
    </w:rPr>
  </w:style>
  <w:style w:type="paragraph" w:styleId="3">
    <w:name w:val="Normal (Web)"/>
    <w:basedOn w:val="1"/>
    <w:qFormat/>
    <w:uiPriority w:val="99"/>
    <w:pPr>
      <w:spacing w:before="100" w:after="100"/>
    </w:pPr>
    <w:rPr>
      <w:sz w:val="24"/>
      <w:lang w:eastAsia="en-US"/>
    </w:rPr>
  </w:style>
  <w:style w:type="character" w:styleId="6">
    <w:name w:val="Emphasis"/>
    <w:basedOn w:val="5"/>
    <w:qFormat/>
    <w:uiPriority w:val="0"/>
    <w:rPr>
      <w:i/>
    </w:rPr>
  </w:style>
  <w:style w:type="character" w:styleId="7">
    <w:name w:val="Hyperlink"/>
    <w:basedOn w:val="5"/>
    <w:qFormat/>
    <w:uiPriority w:val="0"/>
    <w:rPr>
      <w:color w:val="0000FF"/>
      <w:u w:val="single"/>
    </w:rPr>
  </w:style>
  <w:style w:type="character" w:styleId="8">
    <w:name w:val="HTML Cite"/>
    <w:basedOn w:val="5"/>
    <w:qFormat/>
    <w:uiPriority w:val="0"/>
    <w:rPr>
      <w:i/>
    </w:rPr>
  </w:style>
  <w:style w:type="character" w:styleId="9">
    <w:name w:val="footnote reference"/>
    <w:basedOn w:val="5"/>
    <w:qFormat/>
    <w:uiPriority w:val="0"/>
    <w:rPr>
      <w:vertAlign w:val="superscript"/>
    </w:rPr>
  </w:style>
  <w:style w:type="paragraph" w:customStyle="1" w:styleId="10">
    <w:name w:val="OmniPage #2"/>
    <w:basedOn w:val="1"/>
    <w:qFormat/>
    <w:uiPriority w:val="0"/>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6</TotalTime>
  <ScaleCrop>false</ScaleCrop>
  <LinksUpToDate>false</LinksUpToDate>
  <CharactersWithSpaces>0</CharactersWithSpaces>
  <Application>WPS Office_11.1.0.10356_F1E327BC-269C-435d-A152-05C5408002CA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2021-03-23T23:10:00Z</dcterms:created>
  <dc:creator>V</dc:creator>
  <cp:lastModifiedBy>V</cp:lastModifiedBy>
  <dcterms:modified xsi:type="dcterms:W3CDTF">2021-03-27T02:35:16Z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2052-11.1.0.10356</vt:lpwstr>
  </property>
  <property fmtid="{D5CDD505-2E9C-101B-9397-08002B2CF9AE}" pid="3" name="ICV">
    <vt:lpwstr>3366CD9DD5FE42748BE84EE89DDEA389</vt:lpwstr>
  </property>
</Properties>
</file>