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C1827" w:rsidRDefault="00BC1827">
      <w:pPr>
        <w:spacing w:line="360" w:lineRule="auto"/>
        <w:jc w:val="center"/>
        <w:rPr>
          <w:color w:val="434343"/>
        </w:rPr>
      </w:pPr>
    </w:p>
    <w:p w14:paraId="00000002" w14:textId="77777777" w:rsidR="00BC1827" w:rsidRDefault="00BC1827">
      <w:pPr>
        <w:spacing w:line="360" w:lineRule="auto"/>
        <w:jc w:val="center"/>
        <w:rPr>
          <w:color w:val="434343"/>
        </w:rPr>
      </w:pPr>
    </w:p>
    <w:p w14:paraId="00000003" w14:textId="77777777" w:rsidR="00BC1827" w:rsidRDefault="00BC1827">
      <w:pPr>
        <w:spacing w:line="360" w:lineRule="auto"/>
        <w:jc w:val="center"/>
        <w:rPr>
          <w:color w:val="434343"/>
        </w:rPr>
      </w:pPr>
    </w:p>
    <w:p w14:paraId="00000004" w14:textId="77777777" w:rsidR="00BC1827" w:rsidRDefault="00BC1827">
      <w:pPr>
        <w:spacing w:line="360" w:lineRule="auto"/>
        <w:jc w:val="center"/>
        <w:rPr>
          <w:color w:val="434343"/>
        </w:rPr>
      </w:pPr>
    </w:p>
    <w:p w14:paraId="00000005" w14:textId="77777777" w:rsidR="00BC1827" w:rsidRDefault="00BC1827">
      <w:pPr>
        <w:spacing w:line="360" w:lineRule="auto"/>
        <w:jc w:val="center"/>
        <w:rPr>
          <w:color w:val="434343"/>
        </w:rPr>
      </w:pPr>
    </w:p>
    <w:p w14:paraId="00000006" w14:textId="77777777" w:rsidR="00BC1827" w:rsidRDefault="00BC1827">
      <w:pPr>
        <w:spacing w:line="360" w:lineRule="auto"/>
        <w:jc w:val="center"/>
        <w:rPr>
          <w:color w:val="434343"/>
        </w:rPr>
      </w:pPr>
    </w:p>
    <w:p w14:paraId="00000007" w14:textId="77777777" w:rsidR="00BC1827" w:rsidRDefault="00BC1827">
      <w:pPr>
        <w:spacing w:line="360" w:lineRule="auto"/>
        <w:jc w:val="center"/>
        <w:rPr>
          <w:color w:val="434343"/>
        </w:rPr>
      </w:pPr>
    </w:p>
    <w:p w14:paraId="00000008" w14:textId="77777777" w:rsidR="00BC1827" w:rsidRDefault="00BC1827">
      <w:pPr>
        <w:spacing w:line="360" w:lineRule="auto"/>
        <w:jc w:val="center"/>
        <w:rPr>
          <w:color w:val="434343"/>
        </w:rPr>
      </w:pPr>
    </w:p>
    <w:p w14:paraId="00000009" w14:textId="77777777" w:rsidR="00BC1827" w:rsidRDefault="00BC1827">
      <w:pPr>
        <w:spacing w:line="360" w:lineRule="auto"/>
        <w:jc w:val="center"/>
        <w:rPr>
          <w:color w:val="434343"/>
        </w:rPr>
      </w:pPr>
    </w:p>
    <w:p w14:paraId="0000000A" w14:textId="77777777" w:rsidR="00BC1827" w:rsidRDefault="00BC1827">
      <w:pPr>
        <w:spacing w:line="360" w:lineRule="auto"/>
        <w:jc w:val="center"/>
        <w:rPr>
          <w:color w:val="434343"/>
        </w:rPr>
      </w:pPr>
    </w:p>
    <w:p w14:paraId="0000000B" w14:textId="77777777" w:rsidR="00BC1827" w:rsidRDefault="00BC1827">
      <w:pPr>
        <w:spacing w:line="360" w:lineRule="auto"/>
        <w:jc w:val="center"/>
        <w:rPr>
          <w:color w:val="434343"/>
        </w:rPr>
      </w:pPr>
    </w:p>
    <w:p w14:paraId="0000000C" w14:textId="77777777" w:rsidR="00BC1827" w:rsidRDefault="00072963">
      <w:pPr>
        <w:spacing w:line="360" w:lineRule="auto"/>
        <w:jc w:val="center"/>
        <w:rPr>
          <w:color w:val="434343"/>
        </w:rPr>
      </w:pPr>
      <w:r>
        <w:rPr>
          <w:color w:val="434343"/>
        </w:rPr>
        <w:t>Managing Projects in the Organisation</w:t>
      </w:r>
    </w:p>
    <w:p w14:paraId="0000000D" w14:textId="77777777" w:rsidR="00BC1827" w:rsidRDefault="00072963">
      <w:pPr>
        <w:spacing w:line="360" w:lineRule="auto"/>
        <w:jc w:val="center"/>
        <w:rPr>
          <w:color w:val="434343"/>
        </w:rPr>
      </w:pPr>
      <w:r>
        <w:rPr>
          <w:color w:val="434343"/>
        </w:rPr>
        <w:t>BMSW5104</w:t>
      </w:r>
    </w:p>
    <w:p w14:paraId="0000000E" w14:textId="77777777" w:rsidR="00BC1827" w:rsidRDefault="00072963">
      <w:pPr>
        <w:spacing w:line="360" w:lineRule="auto"/>
        <w:jc w:val="center"/>
        <w:rPr>
          <w:color w:val="434343"/>
        </w:rPr>
      </w:pPr>
      <w:r>
        <w:rPr>
          <w:color w:val="434343"/>
        </w:rPr>
        <w:t>Gary Mclean</w:t>
      </w:r>
    </w:p>
    <w:p w14:paraId="0000000F" w14:textId="77777777" w:rsidR="00BC1827" w:rsidRDefault="00072963">
      <w:pPr>
        <w:spacing w:line="360" w:lineRule="auto"/>
        <w:jc w:val="center"/>
        <w:rPr>
          <w:color w:val="434343"/>
        </w:rPr>
      </w:pPr>
      <w:r>
        <w:rPr>
          <w:color w:val="434343"/>
        </w:rPr>
        <w:t>Student Number 1909400</w:t>
      </w:r>
    </w:p>
    <w:p w14:paraId="00000010" w14:textId="77777777" w:rsidR="00BC1827" w:rsidRDefault="00072963">
      <w:pPr>
        <w:spacing w:line="360" w:lineRule="auto"/>
        <w:jc w:val="center"/>
        <w:rPr>
          <w:color w:val="434343"/>
        </w:rPr>
      </w:pPr>
      <w:r>
        <w:rPr>
          <w:color w:val="434343"/>
        </w:rPr>
        <w:t>University of Wales</w:t>
      </w:r>
    </w:p>
    <w:p w14:paraId="00000011" w14:textId="77777777" w:rsidR="00BC1827" w:rsidRDefault="00072963">
      <w:pPr>
        <w:spacing w:line="360" w:lineRule="auto"/>
        <w:jc w:val="center"/>
        <w:rPr>
          <w:color w:val="434343"/>
        </w:rPr>
      </w:pPr>
      <w:r>
        <w:rPr>
          <w:color w:val="434343"/>
        </w:rPr>
        <w:t>Lecturer Dr Dan Hart</w:t>
      </w:r>
    </w:p>
    <w:p w14:paraId="00000012" w14:textId="77777777" w:rsidR="00BC1827" w:rsidRDefault="00BC1827">
      <w:pPr>
        <w:spacing w:line="360" w:lineRule="auto"/>
        <w:jc w:val="center"/>
        <w:rPr>
          <w:color w:val="434343"/>
        </w:rPr>
      </w:pPr>
    </w:p>
    <w:p w14:paraId="00000013" w14:textId="77777777" w:rsidR="00BC1827" w:rsidRDefault="00BC1827">
      <w:pPr>
        <w:spacing w:line="360" w:lineRule="auto"/>
        <w:jc w:val="center"/>
        <w:rPr>
          <w:color w:val="434343"/>
        </w:rPr>
      </w:pPr>
    </w:p>
    <w:p w14:paraId="00000014" w14:textId="77777777" w:rsidR="00BC1827" w:rsidRDefault="00BC1827">
      <w:pPr>
        <w:spacing w:line="360" w:lineRule="auto"/>
        <w:jc w:val="center"/>
        <w:rPr>
          <w:color w:val="434343"/>
        </w:rPr>
      </w:pPr>
    </w:p>
    <w:p w14:paraId="00000015" w14:textId="77777777" w:rsidR="00BC1827" w:rsidRDefault="00BC1827">
      <w:pPr>
        <w:spacing w:line="360" w:lineRule="auto"/>
        <w:jc w:val="center"/>
        <w:rPr>
          <w:color w:val="434343"/>
        </w:rPr>
      </w:pPr>
    </w:p>
    <w:p w14:paraId="00000016" w14:textId="77777777" w:rsidR="00BC1827" w:rsidRDefault="00BC1827">
      <w:pPr>
        <w:spacing w:line="360" w:lineRule="auto"/>
        <w:jc w:val="center"/>
        <w:rPr>
          <w:color w:val="434343"/>
        </w:rPr>
      </w:pPr>
    </w:p>
    <w:p w14:paraId="00000017" w14:textId="77777777" w:rsidR="00BC1827" w:rsidRDefault="00BC1827">
      <w:pPr>
        <w:spacing w:line="360" w:lineRule="auto"/>
        <w:jc w:val="center"/>
        <w:rPr>
          <w:color w:val="434343"/>
        </w:rPr>
      </w:pPr>
    </w:p>
    <w:p w14:paraId="00000018" w14:textId="77777777" w:rsidR="00BC1827" w:rsidRDefault="00BC1827">
      <w:pPr>
        <w:spacing w:line="360" w:lineRule="auto"/>
        <w:jc w:val="center"/>
        <w:rPr>
          <w:color w:val="434343"/>
        </w:rPr>
      </w:pPr>
    </w:p>
    <w:p w14:paraId="00000019" w14:textId="77777777" w:rsidR="00BC1827" w:rsidRDefault="00BC1827">
      <w:pPr>
        <w:spacing w:line="360" w:lineRule="auto"/>
        <w:jc w:val="center"/>
        <w:rPr>
          <w:color w:val="434343"/>
        </w:rPr>
      </w:pPr>
    </w:p>
    <w:p w14:paraId="0000001A" w14:textId="77777777" w:rsidR="00BC1827" w:rsidRDefault="00BC1827">
      <w:pPr>
        <w:spacing w:line="360" w:lineRule="auto"/>
        <w:jc w:val="center"/>
        <w:rPr>
          <w:color w:val="434343"/>
        </w:rPr>
      </w:pPr>
    </w:p>
    <w:p w14:paraId="0000001B" w14:textId="77777777" w:rsidR="00BC1827" w:rsidRDefault="00BC1827">
      <w:pPr>
        <w:spacing w:line="360" w:lineRule="auto"/>
        <w:jc w:val="center"/>
        <w:rPr>
          <w:color w:val="434343"/>
        </w:rPr>
      </w:pPr>
    </w:p>
    <w:p w14:paraId="0000001C" w14:textId="77777777" w:rsidR="00BC1827" w:rsidRDefault="00BC1827">
      <w:pPr>
        <w:spacing w:line="360" w:lineRule="auto"/>
        <w:jc w:val="center"/>
        <w:rPr>
          <w:color w:val="434343"/>
        </w:rPr>
      </w:pPr>
    </w:p>
    <w:p w14:paraId="0000001D" w14:textId="77777777" w:rsidR="00BC1827" w:rsidRDefault="00BC1827">
      <w:pPr>
        <w:spacing w:line="360" w:lineRule="auto"/>
        <w:jc w:val="center"/>
        <w:rPr>
          <w:color w:val="434343"/>
        </w:rPr>
      </w:pPr>
    </w:p>
    <w:p w14:paraId="0000001E" w14:textId="77777777" w:rsidR="00BC1827" w:rsidRDefault="00BC1827">
      <w:pPr>
        <w:spacing w:line="360" w:lineRule="auto"/>
        <w:jc w:val="center"/>
        <w:rPr>
          <w:color w:val="434343"/>
        </w:rPr>
      </w:pPr>
    </w:p>
    <w:p w14:paraId="0000001F" w14:textId="77777777" w:rsidR="00BC1827" w:rsidRDefault="00BC1827">
      <w:pPr>
        <w:spacing w:line="360" w:lineRule="auto"/>
        <w:jc w:val="center"/>
        <w:rPr>
          <w:color w:val="434343"/>
        </w:rPr>
      </w:pPr>
    </w:p>
    <w:p w14:paraId="00000020" w14:textId="77777777" w:rsidR="00BC1827" w:rsidRDefault="00BC1827">
      <w:pPr>
        <w:spacing w:line="360" w:lineRule="auto"/>
        <w:jc w:val="center"/>
        <w:rPr>
          <w:color w:val="434343"/>
        </w:rPr>
      </w:pPr>
    </w:p>
    <w:p w14:paraId="00000021" w14:textId="77777777" w:rsidR="00BC1827" w:rsidRDefault="00BC1827">
      <w:pPr>
        <w:spacing w:line="360" w:lineRule="auto"/>
        <w:jc w:val="center"/>
        <w:rPr>
          <w:color w:val="434343"/>
        </w:rPr>
      </w:pPr>
    </w:p>
    <w:p w14:paraId="00000022" w14:textId="77777777" w:rsidR="00BC1827" w:rsidRDefault="00BC1827">
      <w:pPr>
        <w:spacing w:line="360" w:lineRule="auto"/>
        <w:jc w:val="center"/>
        <w:rPr>
          <w:color w:val="434343"/>
        </w:rPr>
      </w:pPr>
    </w:p>
    <w:p w14:paraId="00000023" w14:textId="77777777" w:rsidR="00BC1827" w:rsidRDefault="00BC1827">
      <w:pPr>
        <w:spacing w:line="360" w:lineRule="auto"/>
        <w:jc w:val="center"/>
        <w:rPr>
          <w:color w:val="434343"/>
        </w:rPr>
      </w:pPr>
    </w:p>
    <w:p w14:paraId="00000024" w14:textId="77777777" w:rsidR="00BC1827" w:rsidRDefault="00BC1827">
      <w:pPr>
        <w:spacing w:line="360" w:lineRule="auto"/>
        <w:jc w:val="center"/>
        <w:rPr>
          <w:color w:val="434343"/>
        </w:rPr>
      </w:pPr>
    </w:p>
    <w:p w14:paraId="00000025" w14:textId="77777777" w:rsidR="00BC1827" w:rsidRDefault="00BC1827">
      <w:pPr>
        <w:spacing w:line="360" w:lineRule="auto"/>
        <w:jc w:val="center"/>
        <w:rPr>
          <w:color w:val="434343"/>
        </w:rPr>
      </w:pPr>
    </w:p>
    <w:p w14:paraId="00000026" w14:textId="77777777" w:rsidR="00BC1827" w:rsidRDefault="00BC1827">
      <w:pPr>
        <w:spacing w:line="360" w:lineRule="auto"/>
        <w:rPr>
          <w:color w:val="434343"/>
        </w:rPr>
      </w:pPr>
    </w:p>
    <w:p w14:paraId="00000027" w14:textId="77777777" w:rsidR="00BC1827" w:rsidRDefault="00072963">
      <w:pPr>
        <w:spacing w:line="360" w:lineRule="auto"/>
        <w:jc w:val="center"/>
        <w:rPr>
          <w:color w:val="434343"/>
        </w:rPr>
      </w:pPr>
      <w:r>
        <w:rPr>
          <w:color w:val="434343"/>
        </w:rPr>
        <w:t>Introduction</w:t>
      </w:r>
    </w:p>
    <w:p w14:paraId="00000028" w14:textId="77777777" w:rsidR="00BC1827" w:rsidRDefault="00072963">
      <w:pPr>
        <w:spacing w:line="360" w:lineRule="auto"/>
        <w:rPr>
          <w:color w:val="434343"/>
        </w:rPr>
      </w:pPr>
      <w:r>
        <w:rPr>
          <w:color w:val="434343"/>
        </w:rPr>
        <w:t>The report will focus on Fox’s Biscuits and the project the authour has chosen to implement a SMART working plan for Fox Biscuits. It is a nine months temporary remote position for an interim HR officer.  Due to COVID-19 to prevent the spread of the virus. The HR officer will use different platforms to aid recruitment which will minimise face-to-face inter-actions. The report will be guided by the Gantt Chart planning tool and SWOT analysis. Gantt Chart provides a visual of the scheduled task (Sharon, Amira, and Dori, Dov., 2017). Whereas SWOT analysis investigates internal and external factors of organisation performance and helps organisations choose the best tools to positively influence their company's competitive growth. Combinations of internal and external forces with the five quadrants of the SWOT analysis (strength, weakness, opportunity, and threats (</w:t>
      </w:r>
      <w:r>
        <w:rPr>
          <w:color w:val="434343"/>
          <w:highlight w:val="white"/>
        </w:rPr>
        <w:t>Abdel-Basset, M., MAI, M. and Smarandache, F., 2018</w:t>
      </w:r>
      <w:r>
        <w:rPr>
          <w:color w:val="434343"/>
        </w:rPr>
        <w:t xml:space="preserve">; Widyaningrum et al., 2019). </w:t>
      </w:r>
    </w:p>
    <w:p w14:paraId="00000029" w14:textId="0C35AB37" w:rsidR="00BC1827" w:rsidRDefault="00697E1D">
      <w:pPr>
        <w:spacing w:line="360" w:lineRule="auto"/>
        <w:ind w:firstLine="720"/>
        <w:rPr>
          <w:color w:val="434343"/>
        </w:rPr>
      </w:pPr>
      <w:r>
        <w:rPr>
          <w:color w:val="434343"/>
        </w:rPr>
        <w:t>Considering</w:t>
      </w:r>
      <w:r w:rsidR="00072963">
        <w:rPr>
          <w:color w:val="434343"/>
        </w:rPr>
        <w:t xml:space="preserve"> the COVID-19 pandemic, the interim HR officer will be working remotely for nine months. The HR officer’s objective is to provide skilled staffing for Fox’s biscuits and her sister Groups to meet the company’s weekly, monthly, and quarterly financial goals. The report will provide a project scope that consists of the following: the project objective, deliverables, milestones and technical requirements. Also, the report will include the project’s limitations and exclusions and finally a review with Fox’s Biscuits and her sister groups. COVID will not interfere with the project manager's ability to complete the task because it is a SMART work project done remotely. The weakness of the project is power and internet outage from the agency to potential employees. The strengthening of the project saves time and cost, minimises risk and provides flexibility</w:t>
      </w:r>
      <w:r>
        <w:rPr>
          <w:color w:val="434343"/>
        </w:rPr>
        <w:t xml:space="preserve">. The report will include a self-development chart for the project manager, which will be modified according to the assessment. </w:t>
      </w:r>
    </w:p>
    <w:p w14:paraId="0000002A" w14:textId="77777777" w:rsidR="00BC1827" w:rsidRDefault="00BC1827">
      <w:pPr>
        <w:spacing w:line="360" w:lineRule="auto"/>
        <w:jc w:val="center"/>
        <w:rPr>
          <w:color w:val="434343"/>
        </w:rPr>
      </w:pPr>
    </w:p>
    <w:p w14:paraId="0000002B" w14:textId="77777777" w:rsidR="00BC1827" w:rsidRDefault="00BC1827">
      <w:pPr>
        <w:spacing w:line="360" w:lineRule="auto"/>
        <w:jc w:val="center"/>
        <w:rPr>
          <w:color w:val="434343"/>
        </w:rPr>
      </w:pPr>
    </w:p>
    <w:p w14:paraId="0000002C" w14:textId="77777777" w:rsidR="00BC1827" w:rsidRDefault="00BC1827">
      <w:pPr>
        <w:spacing w:line="360" w:lineRule="auto"/>
        <w:jc w:val="center"/>
        <w:rPr>
          <w:color w:val="434343"/>
        </w:rPr>
      </w:pPr>
    </w:p>
    <w:p w14:paraId="0000002D" w14:textId="77777777" w:rsidR="00BC1827" w:rsidRDefault="00BC1827">
      <w:pPr>
        <w:spacing w:line="360" w:lineRule="auto"/>
        <w:jc w:val="center"/>
        <w:rPr>
          <w:color w:val="434343"/>
        </w:rPr>
      </w:pPr>
    </w:p>
    <w:p w14:paraId="0000002E" w14:textId="77777777" w:rsidR="00BC1827" w:rsidRDefault="00BC1827">
      <w:pPr>
        <w:spacing w:line="360" w:lineRule="auto"/>
        <w:jc w:val="center"/>
        <w:rPr>
          <w:color w:val="434343"/>
        </w:rPr>
      </w:pPr>
    </w:p>
    <w:p w14:paraId="0000002F" w14:textId="77777777" w:rsidR="00BC1827" w:rsidRDefault="00BC1827">
      <w:pPr>
        <w:spacing w:line="360" w:lineRule="auto"/>
        <w:rPr>
          <w:color w:val="434343"/>
        </w:rPr>
      </w:pPr>
    </w:p>
    <w:p w14:paraId="00000030" w14:textId="77777777" w:rsidR="00BC1827" w:rsidRDefault="00BC1827">
      <w:pPr>
        <w:spacing w:line="360" w:lineRule="auto"/>
        <w:jc w:val="center"/>
        <w:rPr>
          <w:color w:val="434343"/>
        </w:rPr>
      </w:pPr>
    </w:p>
    <w:p w14:paraId="00000031" w14:textId="77777777" w:rsidR="00BC1827" w:rsidRDefault="00BC1827">
      <w:pPr>
        <w:spacing w:line="360" w:lineRule="auto"/>
        <w:jc w:val="center"/>
        <w:rPr>
          <w:color w:val="434343"/>
        </w:rPr>
      </w:pPr>
    </w:p>
    <w:p w14:paraId="00000032" w14:textId="77777777" w:rsidR="00BC1827" w:rsidRDefault="00BC1827">
      <w:pPr>
        <w:spacing w:line="360" w:lineRule="auto"/>
        <w:jc w:val="center"/>
        <w:rPr>
          <w:color w:val="434343"/>
        </w:rPr>
      </w:pPr>
    </w:p>
    <w:p w14:paraId="00000033" w14:textId="77777777" w:rsidR="00BC1827" w:rsidRDefault="00BC1827">
      <w:pPr>
        <w:spacing w:line="360" w:lineRule="auto"/>
        <w:jc w:val="center"/>
        <w:rPr>
          <w:color w:val="434343"/>
        </w:rPr>
      </w:pPr>
    </w:p>
    <w:p w14:paraId="00000034" w14:textId="77777777" w:rsidR="00BC1827" w:rsidRDefault="00BC1827">
      <w:pPr>
        <w:spacing w:line="360" w:lineRule="auto"/>
        <w:jc w:val="center"/>
        <w:rPr>
          <w:color w:val="434343"/>
        </w:rPr>
      </w:pPr>
    </w:p>
    <w:p w14:paraId="00000035" w14:textId="77777777" w:rsidR="00BC1827" w:rsidRDefault="00BC1827">
      <w:pPr>
        <w:spacing w:line="360" w:lineRule="auto"/>
        <w:jc w:val="center"/>
        <w:rPr>
          <w:color w:val="434343"/>
        </w:rPr>
      </w:pPr>
    </w:p>
    <w:p w14:paraId="00000036" w14:textId="77777777" w:rsidR="00BC1827" w:rsidRDefault="00BC1827">
      <w:pPr>
        <w:spacing w:line="360" w:lineRule="auto"/>
        <w:rPr>
          <w:color w:val="434343"/>
        </w:rPr>
      </w:pPr>
    </w:p>
    <w:p w14:paraId="00000037" w14:textId="77777777" w:rsidR="00BC1827" w:rsidRDefault="00BC1827">
      <w:pPr>
        <w:spacing w:line="360" w:lineRule="auto"/>
        <w:jc w:val="center"/>
        <w:rPr>
          <w:color w:val="434343"/>
        </w:rPr>
      </w:pPr>
    </w:p>
    <w:p w14:paraId="71390AA0" w14:textId="439E31A5" w:rsidR="00A40425" w:rsidRDefault="00072963" w:rsidP="00A40425">
      <w:pPr>
        <w:spacing w:line="360" w:lineRule="auto"/>
        <w:jc w:val="center"/>
        <w:rPr>
          <w:color w:val="434343"/>
        </w:rPr>
      </w:pPr>
      <w:r>
        <w:rPr>
          <w:color w:val="434343"/>
        </w:rPr>
        <w:t>References</w:t>
      </w:r>
    </w:p>
    <w:p w14:paraId="34598015" w14:textId="77777777" w:rsidR="00A40425" w:rsidRDefault="00A40425" w:rsidP="00A40425">
      <w:pPr>
        <w:spacing w:line="360" w:lineRule="auto"/>
        <w:ind w:left="720" w:hanging="720"/>
        <w:rPr>
          <w:highlight w:val="white"/>
        </w:rPr>
      </w:pPr>
      <w:r>
        <w:rPr>
          <w:color w:val="434343"/>
          <w:highlight w:val="white"/>
        </w:rPr>
        <w:t xml:space="preserve">Abdel-Basset, M., MAI, M. and Smarandache, F., (2018).  An Extension of Neutrosophic AHP-SWOT Analysis for Strategic Planning and Decision-Making. </w:t>
      </w:r>
      <w:r>
        <w:rPr>
          <w:i/>
          <w:color w:val="434343"/>
          <w:highlight w:val="white"/>
        </w:rPr>
        <w:t xml:space="preserve">Symmetry, </w:t>
      </w:r>
      <w:r>
        <w:rPr>
          <w:b/>
          <w:color w:val="434343"/>
          <w:highlight w:val="white"/>
        </w:rPr>
        <w:t>10</w:t>
      </w:r>
      <w:r>
        <w:rPr>
          <w:color w:val="434343"/>
          <w:highlight w:val="white"/>
        </w:rPr>
        <w:t xml:space="preserve">(4), pp. 116. [Accessed 26 March/2021]. Retrieved from </w:t>
      </w:r>
      <w:r>
        <w:rPr>
          <w:highlight w:val="white"/>
        </w:rPr>
        <w:t>https2040897479www-proquest-com://.ezproxy.uwtsd.ac.uk/scholarly-journals/extension-neutrosophic-ahp-swot-analysis/docview//se-2?accountid=130472</w:t>
      </w:r>
    </w:p>
    <w:p w14:paraId="68936517" w14:textId="77777777" w:rsidR="00A40425" w:rsidRDefault="00A40425" w:rsidP="00A40425">
      <w:pPr>
        <w:spacing w:line="360" w:lineRule="auto"/>
        <w:ind w:left="720" w:hanging="720"/>
        <w:rPr>
          <w:color w:val="434343"/>
        </w:rPr>
      </w:pPr>
      <w:r>
        <w:rPr>
          <w:color w:val="434343"/>
        </w:rPr>
        <w:t>Sharon, Amira, and Dori, Dov. (2017). Model‐Based Project‐Product Lifecycle Management and Gantt Chart Models: A Comparative Study. Systems Engineering 20.5;447-66. [Access on March 26/2021]. Retrieved frommhttps://whel-primo.hosted.exlibrisgroup.com/permalink/f/mqg008/TN_cdi_gale_infotracacademiconefile_A515506267Web.</w:t>
      </w:r>
    </w:p>
    <w:p w14:paraId="799A1DC9" w14:textId="77777777" w:rsidR="00A40425" w:rsidRDefault="00A40425" w:rsidP="00A40425">
      <w:pPr>
        <w:spacing w:line="360" w:lineRule="auto"/>
        <w:ind w:left="720" w:right="80" w:hanging="720"/>
        <w:rPr>
          <w:i/>
          <w:color w:val="434343"/>
        </w:rPr>
      </w:pPr>
      <w:r>
        <w:rPr>
          <w:color w:val="434343"/>
        </w:rPr>
        <w:t xml:space="preserve">Widhiyaningrum, A.K.W., Tahqiqi, M.R., Manik, A.A.S. and Mahachandra, J.M. (2019), Combining SWOT and PESTLE Model to Assess Kaskus Business Model.[accesses] March 27/2021/ [Retrieved from] http://www.ieomsociety.org/ieom2019/papers/573.pdf . </w:t>
      </w:r>
      <w:r>
        <w:rPr>
          <w:i/>
          <w:color w:val="434343"/>
        </w:rPr>
        <w:t>Web</w:t>
      </w:r>
    </w:p>
    <w:p w14:paraId="0000003E" w14:textId="77777777" w:rsidR="00BC1827" w:rsidRDefault="00BC1827">
      <w:pPr>
        <w:spacing w:line="360" w:lineRule="auto"/>
        <w:jc w:val="center"/>
        <w:rPr>
          <w:color w:val="434343"/>
        </w:rPr>
      </w:pPr>
    </w:p>
    <w:p w14:paraId="0000003F" w14:textId="77777777" w:rsidR="00BC1827" w:rsidRDefault="00BC1827">
      <w:pPr>
        <w:spacing w:line="360" w:lineRule="auto"/>
        <w:jc w:val="center"/>
        <w:rPr>
          <w:color w:val="434343"/>
        </w:rPr>
      </w:pPr>
    </w:p>
    <w:p w14:paraId="00000040" w14:textId="77777777" w:rsidR="00BC1827" w:rsidRDefault="00BC1827">
      <w:pPr>
        <w:spacing w:line="360" w:lineRule="auto"/>
        <w:jc w:val="center"/>
        <w:rPr>
          <w:color w:val="434343"/>
        </w:rPr>
      </w:pPr>
    </w:p>
    <w:sectPr w:rsidR="00BC1827">
      <w:headerReference w:type="default" r:id="rId9"/>
      <w:headerReference w:type="first" r:id="rId10"/>
      <w:footerReference w:type="first" r:id="rId11"/>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21175" w14:textId="77777777" w:rsidR="00D6283B" w:rsidRDefault="00D6283B">
      <w:pPr>
        <w:spacing w:line="240" w:lineRule="auto"/>
      </w:pPr>
      <w:r>
        <w:separator/>
      </w:r>
    </w:p>
  </w:endnote>
  <w:endnote w:type="continuationSeparator" w:id="0">
    <w:p w14:paraId="7A1A89E7" w14:textId="77777777" w:rsidR="00D6283B" w:rsidRDefault="00D628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5" w14:textId="77777777" w:rsidR="00BC1827" w:rsidRDefault="00BC18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F65A2" w14:textId="77777777" w:rsidR="00D6283B" w:rsidRDefault="00D6283B">
      <w:pPr>
        <w:spacing w:line="240" w:lineRule="auto"/>
      </w:pPr>
      <w:r>
        <w:separator/>
      </w:r>
    </w:p>
  </w:footnote>
  <w:footnote w:type="continuationSeparator" w:id="0">
    <w:p w14:paraId="65BC8A59" w14:textId="77777777" w:rsidR="00D6283B" w:rsidRDefault="00D628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3" w14:textId="77777777" w:rsidR="00BC1827" w:rsidRDefault="00BC1827"/>
  <w:p w14:paraId="00000044" w14:textId="44949C75" w:rsidR="00BC1827" w:rsidRDefault="00072963">
    <w:r>
      <w:t xml:space="preserve">MANAGING PROJECTS IN THE ORGANISATION </w:t>
    </w:r>
    <w:r>
      <w:tab/>
    </w:r>
    <w:r>
      <w:tab/>
    </w:r>
    <w:r>
      <w:tab/>
    </w:r>
    <w:r>
      <w:tab/>
    </w:r>
    <w:r>
      <w:tab/>
    </w:r>
    <w:r>
      <w:tab/>
      <w:t xml:space="preserve">    </w:t>
    </w:r>
    <w:r>
      <w:fldChar w:fldCharType="begin"/>
    </w:r>
    <w:r>
      <w:instrText>PAGE</w:instrText>
    </w:r>
    <w:r>
      <w:fldChar w:fldCharType="separate"/>
    </w:r>
    <w:r w:rsidR="00C06146">
      <w:rPr>
        <w:noProof/>
      </w:rP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1" w14:textId="77777777" w:rsidR="00BC1827" w:rsidRDefault="00BC1827"/>
  <w:p w14:paraId="00000042" w14:textId="77777777" w:rsidR="00BC1827" w:rsidRDefault="00072963">
    <w:r>
      <w:t xml:space="preserve">MANAGING PROJECTS IN THE ORGANISATION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827"/>
    <w:rsid w:val="00072963"/>
    <w:rsid w:val="005D0D81"/>
    <w:rsid w:val="00697E1D"/>
    <w:rsid w:val="006A68BB"/>
    <w:rsid w:val="00950CB1"/>
    <w:rsid w:val="00A40425"/>
    <w:rsid w:val="00BC1827"/>
    <w:rsid w:val="00C06146"/>
    <w:rsid w:val="00C22762"/>
    <w:rsid w:val="00D62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830C"/>
  <w15:docId w15:val="{D75FC13C-5225-41FC-95CE-F67EA19AE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0d628a1c7cd1817a8937aad3b249d3dd">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4c931f5b8eda2994bde49d8365b054ce"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0CC12F-A74B-40FA-8E62-4BB95E3DF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99728D-4BE2-4E09-BCC9-62DF5170EFED}">
  <ds:schemaRefs>
    <ds:schemaRef ds:uri="http://schemas.microsoft.com/sharepoint/v3/contenttype/forms"/>
  </ds:schemaRefs>
</ds:datastoreItem>
</file>

<file path=customXml/itemProps3.xml><?xml version="1.0" encoding="utf-8"?>
<ds:datastoreItem xmlns:ds="http://schemas.openxmlformats.org/officeDocument/2006/customXml" ds:itemID="{B4E88E98-F636-4A37-A8CF-14E0E292F7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459</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1909400@student.uwtsd.ac.uk</dc:creator>
  <cp:lastModifiedBy>Gary Mclean</cp:lastModifiedBy>
  <cp:revision>4</cp:revision>
  <dcterms:created xsi:type="dcterms:W3CDTF">2021-03-28T18:19:00Z</dcterms:created>
  <dcterms:modified xsi:type="dcterms:W3CDTF">2021-03-28T18:32:00Z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