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38197582"/>
        <w:docPartObj>
          <w:docPartGallery w:val="Cover Pages"/>
          <w:docPartUnique/>
        </w:docPartObj>
      </w:sdtPr>
      <w:sdtEndPr/>
      <w:sdtContent>
        <w:p w14:paraId="6C25CC63" w14:textId="2A24CA5B" w:rsidR="00DA4AE8" w:rsidRDefault="001C32A5">
          <w:r>
            <w:rPr>
              <w:noProof/>
              <w:lang w:val="en-US" w:eastAsia="en-US"/>
            </w:rPr>
            <w:drawing>
              <wp:anchor distT="0" distB="0" distL="114300" distR="114300" simplePos="0" relativeHeight="251665408" behindDoc="1" locked="0" layoutInCell="1" allowOverlap="1" wp14:anchorId="4D74F933" wp14:editId="47C704B0">
                <wp:simplePos x="0" y="0"/>
                <wp:positionH relativeFrom="column">
                  <wp:posOffset>2514600</wp:posOffset>
                </wp:positionH>
                <wp:positionV relativeFrom="page">
                  <wp:posOffset>276225</wp:posOffset>
                </wp:positionV>
                <wp:extent cx="2808605" cy="3209925"/>
                <wp:effectExtent l="0" t="0" r="0" b="9525"/>
                <wp:wrapTight wrapText="bothSides">
                  <wp:wrapPolygon edited="0">
                    <wp:start x="0" y="0"/>
                    <wp:lineTo x="0" y="21536"/>
                    <wp:lineTo x="21390" y="21536"/>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09925"/>
                        </a:xfrm>
                        <a:prstGeom prst="rect">
                          <a:avLst/>
                        </a:prstGeom>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63360" behindDoc="1" locked="0" layoutInCell="1" allowOverlap="1" wp14:anchorId="71CD5D80" wp14:editId="41FB8020">
                    <wp:simplePos x="0" y="0"/>
                    <wp:positionH relativeFrom="page">
                      <wp:posOffset>190500</wp:posOffset>
                    </wp:positionH>
                    <wp:positionV relativeFrom="page">
                      <wp:posOffset>266700</wp:posOffset>
                    </wp:positionV>
                    <wp:extent cx="7383780" cy="10178415"/>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17841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1CD5D80" id="Rectangle 466" o:spid="_x0000_s1026" style="position:absolute;margin-left:15pt;margin-top:21pt;width:581.4pt;height:801.45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" fillcolor="#d9e2f3 [660]" stroked="f" strokeweight="1pt">
                    <v:fill color2="#8eaadb [1940]" rotate="t" focus="100%" type="gradient">
                      <o:fill v:ext="view" type="gradientUnscaled"/>
                    </v:fill>
                    <v:path arrowok="t"/>
                    <v:textbox inset="21.6pt,,21.6pt">
                      <w:txbxContent>
                        <w:p w14:paraId="11A3251F" w14:textId="77777777" w:rsidR="00DA4AE8" w:rsidRDefault="00DA4AE8"/>
                      </w:txbxContent>
                    </v:textbox>
                    <w10:wrap anchorx="page" anchory="page"/>
                  </v:rect>
                </w:pict>
              </mc:Fallback>
            </mc:AlternateContent>
          </w:r>
          <w:r w:rsidR="00DA4AE8">
            <w:rPr>
              <w:noProof/>
              <w:lang w:val="en-US" w:eastAsia="en-US"/>
            </w:rPr>
            <mc:AlternateContent>
              <mc:Choice Requires="wps">
                <w:drawing>
                  <wp:anchor distT="0" distB="0" distL="114300" distR="114300" simplePos="0" relativeHeight="251664384" behindDoc="0" locked="0" layoutInCell="1" allowOverlap="1" wp14:anchorId="011EE895" wp14:editId="309A20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677040A7" w:rsidR="00DA4AE8" w:rsidRPr="00C73856" w:rsidRDefault="004564BF" w:rsidP="001C32A5">
                                <w:pPr>
                                  <w:pStyle w:val="NoSpacing"/>
                                  <w:jc w:val="center"/>
                                  <w:rPr>
                                    <w:rFonts w:ascii="Arial" w:hAnsi="Arial" w:cs="Arial"/>
                                    <w:noProof/>
                                    <w:color w:val="44546A" w:themeColor="text2"/>
                                  </w:rPr>
                                </w:pPr>
                                <w:sdt>
                                  <w:sdtPr>
                                    <w:rPr>
                                      <w:rFonts w:ascii="Arial" w:hAnsi="Arial" w:cs="Arial"/>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842D7" w:rsidRPr="00C73856">
                                      <w:rPr>
                                        <w:rFonts w:ascii="Arial" w:hAnsi="Arial" w:cs="Arial"/>
                                        <w:noProof/>
                                        <w:color w:val="44546A" w:themeColor="text2"/>
                                      </w:rPr>
                                      <w:t>Priyankka</w:t>
                                    </w:r>
                                  </w:sdtContent>
                                </w:sdt>
                                <w:r w:rsidR="001C32A5" w:rsidRPr="00C73856">
                                  <w:rPr>
                                    <w:rFonts w:ascii="Arial" w:hAnsi="Arial" w:cs="Arial"/>
                                    <w:noProof/>
                                    <w:color w:val="44546A" w:themeColor="text2"/>
                                  </w:rPr>
                                  <w:t xml:space="preserve"> (2244738)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0ED8416D" w14:textId="677040A7" w:rsidR="00DA4AE8" w:rsidRPr="00C73856" w:rsidRDefault="004564BF" w:rsidP="001C32A5">
                          <w:pPr>
                            <w:pStyle w:val="NoSpacing"/>
                            <w:jc w:val="center"/>
                            <w:rPr>
                              <w:rFonts w:ascii="Arial" w:hAnsi="Arial" w:cs="Arial"/>
                              <w:noProof/>
                              <w:color w:val="44546A" w:themeColor="text2"/>
                            </w:rPr>
                          </w:pPr>
                          <w:sdt>
                            <w:sdtPr>
                              <w:rPr>
                                <w:rFonts w:ascii="Arial" w:hAnsi="Arial" w:cs="Arial"/>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842D7" w:rsidRPr="00C73856">
                                <w:rPr>
                                  <w:rFonts w:ascii="Arial" w:hAnsi="Arial" w:cs="Arial"/>
                                  <w:noProof/>
                                  <w:color w:val="44546A" w:themeColor="text2"/>
                                </w:rPr>
                                <w:t>Priyankka</w:t>
                              </w:r>
                            </w:sdtContent>
                          </w:sdt>
                          <w:r w:rsidR="001C32A5" w:rsidRPr="00C73856">
                            <w:rPr>
                              <w:rFonts w:ascii="Arial" w:hAnsi="Arial" w:cs="Arial"/>
                              <w:noProof/>
                              <w:color w:val="44546A" w:themeColor="text2"/>
                            </w:rPr>
                            <w:t xml:space="preserve"> (2244738)</w:t>
                          </w:r>
                        </w:p>
                      </w:txbxContent>
                    </v:textbox>
                    <w10:wrap type="square" anchorx="page" anchory="page"/>
                  </v:shape>
                </w:pict>
              </mc:Fallback>
            </mc:AlternateContent>
          </w:r>
          <w:r w:rsidR="00DA4AE8">
            <w:rPr>
              <w:noProof/>
              <w:lang w:val="en-US" w:eastAsia="en-US"/>
            </w:rPr>
            <mc:AlternateContent>
              <mc:Choice Requires="wps">
                <w:drawing>
                  <wp:anchor distT="0" distB="0" distL="114300" distR="114300" simplePos="0" relativeHeight="251660288" behindDoc="0" locked="0" layoutInCell="1" allowOverlap="1" wp14:anchorId="15812E0A" wp14:editId="3BA33D7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287E3A3" w:rsidR="00DA4AE8" w:rsidRDefault="00DA4AE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C47EE4D" w14:textId="7287E3A3" w:rsidR="00DA4AE8" w:rsidRDefault="00DA4AE8">
                          <w:pPr>
                            <w:spacing w:before="240"/>
                            <w:jc w:val="center"/>
                            <w:rPr>
                              <w:color w:val="FFFFFF" w:themeColor="background1"/>
                            </w:rPr>
                          </w:pPr>
                        </w:p>
                      </w:txbxContent>
                    </v:textbox>
                    <w10:wrap anchorx="page" anchory="page"/>
                  </v:rect>
                </w:pict>
              </mc:Fallback>
            </mc:AlternateContent>
          </w:r>
          <w:r w:rsidR="00DA4AE8">
            <w:rPr>
              <w:noProof/>
              <w:lang w:val="en-US" w:eastAsia="en-US"/>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DA4AE8">
            <w:rPr>
              <w:noProof/>
              <w:lang w:val="en-US" w:eastAsia="en-US"/>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DA4AE8">
            <w:rPr>
              <w:noProof/>
              <w:lang w:val="en-US" w:eastAsia="en-US"/>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C73856" w:rsidRDefault="00DA4AE8">
                                <w:pPr>
                                  <w:rPr>
                                    <w:rFonts w:ascii="Arial" w:eastAsiaTheme="majorEastAsia" w:hAnsi="Arial" w:cs="Arial"/>
                                    <w:noProof/>
                                    <w:color w:val="44546A" w:themeColor="text2"/>
                                    <w:sz w:val="40"/>
                                    <w:szCs w:val="40"/>
                                  </w:rPr>
                                </w:pPr>
                                <w:r w:rsidRPr="00C73856">
                                  <w:rPr>
                                    <w:rFonts w:ascii="Arial" w:eastAsiaTheme="majorEastAsia" w:hAnsi="Arial" w:cs="Arial"/>
                                    <w:noProof/>
                                    <w:color w:val="4472C4" w:themeColor="accent1"/>
                                    <w:sz w:val="40"/>
                                    <w:szCs w:val="40"/>
                                  </w:rPr>
                                  <w:t>Changemakers: Creativity and Value Creation</w:t>
                                </w:r>
                                <w:sdt>
                                  <w:sdtPr>
                                    <w:rPr>
                                      <w:rFonts w:ascii="Arial" w:eastAsiaTheme="majorEastAsia" w:hAnsi="Arial" w:cs="Arial"/>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C73856">
                                      <w:rPr>
                                        <w:rFonts w:ascii="Arial" w:eastAsiaTheme="majorEastAsia" w:hAnsi="Arial" w:cs="Arial"/>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14DCA0DD" w14:textId="1A0BB421" w:rsidR="00DA4AE8" w:rsidRPr="00C73856" w:rsidRDefault="00DA4AE8">
                          <w:pPr>
                            <w:rPr>
                              <w:rFonts w:ascii="Arial" w:eastAsiaTheme="majorEastAsia" w:hAnsi="Arial" w:cs="Arial"/>
                              <w:noProof/>
                              <w:color w:val="44546A" w:themeColor="text2"/>
                              <w:sz w:val="40"/>
                              <w:szCs w:val="40"/>
                            </w:rPr>
                          </w:pPr>
                          <w:r w:rsidRPr="00C73856">
                            <w:rPr>
                              <w:rFonts w:ascii="Arial" w:eastAsiaTheme="majorEastAsia" w:hAnsi="Arial" w:cs="Arial"/>
                              <w:noProof/>
                              <w:color w:val="4472C4" w:themeColor="accent1"/>
                              <w:sz w:val="40"/>
                              <w:szCs w:val="40"/>
                            </w:rPr>
                            <w:t>Changemakers: Creativity and Value Creation</w:t>
                          </w:r>
                          <w:sdt>
                            <w:sdtPr>
                              <w:rPr>
                                <w:rFonts w:ascii="Arial" w:eastAsiaTheme="majorEastAsia" w:hAnsi="Arial" w:cs="Arial"/>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C73856">
                                <w:rPr>
                                  <w:rFonts w:ascii="Arial" w:eastAsiaTheme="majorEastAsia" w:hAnsi="Arial" w:cs="Arial"/>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7777777" w:rsidR="00DA4AE8" w:rsidRPr="001C32A5" w:rsidRDefault="00DA4AE8">
      <w:pPr>
        <w:rPr>
          <w:rFonts w:ascii="Arial" w:hAnsi="Arial" w:cs="Arial"/>
        </w:rPr>
      </w:pPr>
      <w:r>
        <w:br w:type="page"/>
      </w:r>
    </w:p>
    <w:p w14:paraId="4F54B944" w14:textId="15E15731" w:rsidR="005760B2" w:rsidRPr="001C32A5" w:rsidRDefault="00DA4AE8" w:rsidP="00DA4AE8">
      <w:pPr>
        <w:pBdr>
          <w:bottom w:val="single" w:sz="4" w:space="1" w:color="auto"/>
        </w:pBdr>
        <w:rPr>
          <w:rFonts w:ascii="Arial" w:hAnsi="Arial" w:cs="Arial"/>
          <w:b/>
          <w:bCs/>
          <w:sz w:val="32"/>
          <w:szCs w:val="32"/>
        </w:rPr>
      </w:pPr>
      <w:r w:rsidRPr="001C32A5">
        <w:rPr>
          <w:rFonts w:ascii="Arial" w:hAnsi="Arial" w:cs="Arial"/>
          <w:b/>
          <w:bCs/>
          <w:sz w:val="32"/>
          <w:szCs w:val="32"/>
        </w:rPr>
        <w:lastRenderedPageBreak/>
        <w:t>Content Page</w:t>
      </w:r>
    </w:p>
    <w:p w14:paraId="4A4AC3B4" w14:textId="2ED6D903" w:rsidR="001C32A5" w:rsidRDefault="001C32A5" w:rsidP="001C32A5">
      <w:pPr>
        <w:spacing w:line="360" w:lineRule="auto"/>
        <w:rPr>
          <w:rFonts w:ascii="Arial" w:hAnsi="Arial" w:cs="Arial"/>
          <w:sz w:val="24"/>
          <w:szCs w:val="24"/>
        </w:rPr>
      </w:pPr>
      <w:r w:rsidRPr="001C32A5">
        <w:rPr>
          <w:rFonts w:ascii="Arial" w:hAnsi="Arial" w:cs="Arial"/>
          <w:sz w:val="24"/>
          <w:szCs w:val="24"/>
        </w:rPr>
        <w:t>Section 1</w:t>
      </w:r>
      <w:r w:rsidR="00DA4AE8" w:rsidRPr="001C32A5">
        <w:rPr>
          <w:rFonts w:ascii="Arial" w:hAnsi="Arial" w:cs="Arial"/>
          <w:sz w:val="24"/>
          <w:szCs w:val="24"/>
        </w:rPr>
        <w:t xml:space="preserve"> –</w:t>
      </w:r>
      <w:r w:rsidRPr="001C32A5">
        <w:rPr>
          <w:rFonts w:ascii="Arial" w:hAnsi="Arial" w:cs="Arial"/>
          <w:sz w:val="24"/>
          <w:szCs w:val="24"/>
        </w:rPr>
        <w:t xml:space="preserve"> </w:t>
      </w:r>
      <w:r>
        <w:rPr>
          <w:rFonts w:ascii="Arial" w:hAnsi="Arial" w:cs="Arial"/>
          <w:sz w:val="24"/>
          <w:szCs w:val="24"/>
        </w:rPr>
        <w:t>Reflection on the process u</w:t>
      </w:r>
      <w:r w:rsidRPr="001C32A5">
        <w:rPr>
          <w:rFonts w:ascii="Arial" w:hAnsi="Arial" w:cs="Arial"/>
          <w:sz w:val="24"/>
          <w:szCs w:val="24"/>
        </w:rPr>
        <w:t xml:space="preserve">sing Gibbs Reflective </w:t>
      </w:r>
      <w:r>
        <w:rPr>
          <w:rFonts w:ascii="Arial" w:hAnsi="Arial" w:cs="Arial"/>
          <w:sz w:val="24"/>
          <w:szCs w:val="24"/>
        </w:rPr>
        <w:t xml:space="preserve">                </w:t>
      </w:r>
    </w:p>
    <w:p w14:paraId="00DAAB00" w14:textId="6DA4EB4B" w:rsidR="00DA4AE8" w:rsidRPr="001C32A5" w:rsidRDefault="001C32A5" w:rsidP="001C32A5">
      <w:pPr>
        <w:spacing w:line="360" w:lineRule="auto"/>
        <w:rPr>
          <w:rFonts w:ascii="Arial" w:hAnsi="Arial" w:cs="Arial"/>
          <w:sz w:val="24"/>
          <w:szCs w:val="24"/>
        </w:rPr>
      </w:pPr>
      <w:r>
        <w:rPr>
          <w:rFonts w:ascii="Arial" w:hAnsi="Arial" w:cs="Arial"/>
          <w:sz w:val="24"/>
          <w:szCs w:val="24"/>
        </w:rPr>
        <w:t xml:space="preserve">                   </w:t>
      </w:r>
      <w:r w:rsidRPr="001C32A5">
        <w:rPr>
          <w:rFonts w:ascii="Arial" w:hAnsi="Arial" w:cs="Arial"/>
          <w:sz w:val="24"/>
          <w:szCs w:val="24"/>
        </w:rPr>
        <w:t xml:space="preserve">Cycle </w:t>
      </w:r>
      <w:r w:rsidR="00DA4AE8" w:rsidRPr="001C32A5">
        <w:rPr>
          <w:rFonts w:ascii="Arial" w:hAnsi="Arial" w:cs="Arial"/>
          <w:sz w:val="24"/>
          <w:szCs w:val="24"/>
        </w:rPr>
        <w:t>…………………………………</w:t>
      </w:r>
      <w:r w:rsidRPr="001C32A5">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Pg.2</w:t>
      </w:r>
    </w:p>
    <w:p w14:paraId="1D385345" w14:textId="2FF2B810" w:rsidR="00DA4AE8" w:rsidRPr="001C32A5" w:rsidRDefault="00DA4AE8" w:rsidP="001C32A5">
      <w:pPr>
        <w:spacing w:line="360" w:lineRule="auto"/>
        <w:rPr>
          <w:rFonts w:ascii="Arial" w:hAnsi="Arial" w:cs="Arial"/>
          <w:sz w:val="24"/>
          <w:szCs w:val="24"/>
        </w:rPr>
      </w:pPr>
      <w:r w:rsidRPr="001C32A5">
        <w:rPr>
          <w:rFonts w:ascii="Arial" w:hAnsi="Arial" w:cs="Arial"/>
          <w:sz w:val="24"/>
          <w:szCs w:val="24"/>
        </w:rPr>
        <w:t>References</w:t>
      </w:r>
    </w:p>
    <w:p w14:paraId="0D8BF7A9" w14:textId="4DA8CA90" w:rsidR="00DA4AE8" w:rsidRPr="001C32A5" w:rsidRDefault="00DA4AE8">
      <w:pPr>
        <w:rPr>
          <w:rFonts w:ascii="Arial" w:hAnsi="Arial" w:cs="Arial"/>
          <w:sz w:val="24"/>
          <w:szCs w:val="24"/>
        </w:rPr>
      </w:pPr>
    </w:p>
    <w:p w14:paraId="5F6FCAAE" w14:textId="5EBF6347" w:rsidR="00DA4AE8" w:rsidRPr="001C32A5" w:rsidRDefault="00DA4AE8">
      <w:pPr>
        <w:rPr>
          <w:rFonts w:ascii="Arial" w:hAnsi="Arial" w:cs="Arial"/>
          <w:sz w:val="24"/>
          <w:szCs w:val="24"/>
        </w:rPr>
      </w:pPr>
    </w:p>
    <w:p w14:paraId="6F509479" w14:textId="015CE590" w:rsidR="00DA4AE8" w:rsidRPr="001C32A5" w:rsidRDefault="00DA4AE8">
      <w:pPr>
        <w:rPr>
          <w:rFonts w:ascii="Arial" w:hAnsi="Arial" w:cs="Arial"/>
          <w:sz w:val="24"/>
          <w:szCs w:val="24"/>
        </w:rPr>
      </w:pPr>
    </w:p>
    <w:p w14:paraId="63DF85AD" w14:textId="111818D1" w:rsidR="00DA4AE8" w:rsidRPr="001C32A5" w:rsidRDefault="00DA4AE8">
      <w:pPr>
        <w:rPr>
          <w:rFonts w:ascii="Arial" w:hAnsi="Arial" w:cs="Arial"/>
          <w:sz w:val="24"/>
          <w:szCs w:val="24"/>
        </w:rPr>
      </w:pPr>
    </w:p>
    <w:p w14:paraId="647CB622" w14:textId="1F6416A3" w:rsidR="00DA4AE8" w:rsidRPr="001C32A5" w:rsidRDefault="00DA4AE8">
      <w:pPr>
        <w:rPr>
          <w:rFonts w:ascii="Arial" w:hAnsi="Arial" w:cs="Arial"/>
          <w:sz w:val="24"/>
          <w:szCs w:val="24"/>
        </w:rPr>
      </w:pPr>
    </w:p>
    <w:p w14:paraId="5DC52E59" w14:textId="709002F1" w:rsidR="00DA4AE8" w:rsidRPr="001C32A5" w:rsidRDefault="00DA4AE8">
      <w:pPr>
        <w:rPr>
          <w:rFonts w:ascii="Arial" w:hAnsi="Arial" w:cs="Arial"/>
          <w:sz w:val="24"/>
          <w:szCs w:val="24"/>
        </w:rPr>
      </w:pPr>
    </w:p>
    <w:p w14:paraId="5FCDC5FE" w14:textId="74319795" w:rsidR="00DA4AE8" w:rsidRPr="001C32A5" w:rsidRDefault="00DA4AE8">
      <w:pPr>
        <w:rPr>
          <w:rFonts w:ascii="Arial" w:hAnsi="Arial" w:cs="Arial"/>
          <w:sz w:val="24"/>
          <w:szCs w:val="24"/>
        </w:rPr>
      </w:pPr>
    </w:p>
    <w:p w14:paraId="2D912811" w14:textId="34BACE3F" w:rsidR="00DA4AE8" w:rsidRPr="001C32A5" w:rsidRDefault="00DA4AE8">
      <w:pPr>
        <w:rPr>
          <w:rFonts w:ascii="Arial" w:hAnsi="Arial" w:cs="Arial"/>
          <w:sz w:val="24"/>
          <w:szCs w:val="24"/>
        </w:rPr>
      </w:pPr>
    </w:p>
    <w:p w14:paraId="7D8717F5" w14:textId="42AF0060" w:rsidR="00DA4AE8" w:rsidRPr="001C32A5" w:rsidRDefault="00DA4AE8">
      <w:pPr>
        <w:rPr>
          <w:rFonts w:ascii="Arial" w:hAnsi="Arial" w:cs="Arial"/>
          <w:sz w:val="24"/>
          <w:szCs w:val="24"/>
        </w:rPr>
      </w:pPr>
    </w:p>
    <w:p w14:paraId="4EAE2BC8" w14:textId="0AD26762" w:rsidR="00DA4AE8" w:rsidRPr="001C32A5" w:rsidRDefault="00DA4AE8">
      <w:pPr>
        <w:rPr>
          <w:rFonts w:ascii="Arial" w:hAnsi="Arial" w:cs="Arial"/>
          <w:sz w:val="24"/>
          <w:szCs w:val="24"/>
        </w:rPr>
      </w:pPr>
    </w:p>
    <w:p w14:paraId="44D4D845" w14:textId="3479955A" w:rsidR="00DA4AE8" w:rsidRPr="001C32A5" w:rsidRDefault="00DA4AE8">
      <w:pPr>
        <w:rPr>
          <w:rFonts w:ascii="Arial" w:hAnsi="Arial" w:cs="Arial"/>
          <w:sz w:val="24"/>
          <w:szCs w:val="24"/>
        </w:rPr>
      </w:pPr>
    </w:p>
    <w:p w14:paraId="37635FB5" w14:textId="7A5B7D90" w:rsidR="00DA4AE8" w:rsidRPr="001C32A5" w:rsidRDefault="00DA4AE8">
      <w:pPr>
        <w:rPr>
          <w:rFonts w:ascii="Arial" w:hAnsi="Arial" w:cs="Arial"/>
          <w:sz w:val="24"/>
          <w:szCs w:val="24"/>
        </w:rPr>
      </w:pPr>
    </w:p>
    <w:p w14:paraId="22ED0336" w14:textId="79A0F8DE" w:rsidR="00DA4AE8" w:rsidRPr="001C32A5" w:rsidRDefault="00DA4AE8">
      <w:pPr>
        <w:rPr>
          <w:rFonts w:ascii="Arial" w:hAnsi="Arial" w:cs="Arial"/>
          <w:sz w:val="24"/>
          <w:szCs w:val="24"/>
        </w:rPr>
      </w:pPr>
    </w:p>
    <w:p w14:paraId="2F785D14" w14:textId="379788A1" w:rsidR="00DA4AE8" w:rsidRPr="001C32A5" w:rsidRDefault="00DA4AE8">
      <w:pPr>
        <w:rPr>
          <w:rFonts w:ascii="Arial" w:hAnsi="Arial" w:cs="Arial"/>
          <w:sz w:val="24"/>
          <w:szCs w:val="24"/>
        </w:rPr>
      </w:pPr>
    </w:p>
    <w:p w14:paraId="4B616373" w14:textId="7231203F" w:rsidR="00DA4AE8" w:rsidRPr="001C32A5" w:rsidRDefault="00DA4AE8">
      <w:pPr>
        <w:rPr>
          <w:rFonts w:ascii="Arial" w:hAnsi="Arial" w:cs="Arial"/>
          <w:sz w:val="24"/>
          <w:szCs w:val="24"/>
        </w:rPr>
      </w:pPr>
    </w:p>
    <w:p w14:paraId="61AEF92F" w14:textId="109A7A49" w:rsidR="00DA4AE8" w:rsidRPr="001C32A5" w:rsidRDefault="00DA4AE8">
      <w:pPr>
        <w:rPr>
          <w:rFonts w:ascii="Arial" w:hAnsi="Arial" w:cs="Arial"/>
          <w:sz w:val="24"/>
          <w:szCs w:val="24"/>
        </w:rPr>
      </w:pPr>
    </w:p>
    <w:p w14:paraId="1151FFD0" w14:textId="11CF985F" w:rsidR="00DA4AE8" w:rsidRPr="001C32A5" w:rsidRDefault="00DA4AE8">
      <w:pPr>
        <w:rPr>
          <w:rFonts w:ascii="Arial" w:hAnsi="Arial" w:cs="Arial"/>
          <w:sz w:val="24"/>
          <w:szCs w:val="24"/>
        </w:rPr>
      </w:pPr>
    </w:p>
    <w:p w14:paraId="641524C3" w14:textId="1A304C25" w:rsidR="00DA4AE8" w:rsidRPr="001C32A5" w:rsidRDefault="00DA4AE8">
      <w:pPr>
        <w:rPr>
          <w:rFonts w:ascii="Arial" w:hAnsi="Arial" w:cs="Arial"/>
          <w:sz w:val="24"/>
          <w:szCs w:val="24"/>
        </w:rPr>
      </w:pPr>
    </w:p>
    <w:p w14:paraId="49E5F238" w14:textId="158A32D3" w:rsidR="00DA4AE8" w:rsidRPr="001C32A5" w:rsidRDefault="00DA4AE8">
      <w:pPr>
        <w:rPr>
          <w:rFonts w:ascii="Arial" w:hAnsi="Arial" w:cs="Arial"/>
          <w:sz w:val="24"/>
          <w:szCs w:val="24"/>
        </w:rPr>
      </w:pPr>
    </w:p>
    <w:p w14:paraId="71CC9261" w14:textId="50188940" w:rsidR="00DA4AE8" w:rsidRPr="001C32A5" w:rsidRDefault="00DA4AE8">
      <w:pPr>
        <w:rPr>
          <w:rFonts w:ascii="Arial" w:hAnsi="Arial" w:cs="Arial"/>
          <w:sz w:val="24"/>
          <w:szCs w:val="24"/>
        </w:rPr>
      </w:pPr>
    </w:p>
    <w:p w14:paraId="58563962" w14:textId="7EE45C55" w:rsidR="00DA4AE8" w:rsidRPr="001C32A5" w:rsidRDefault="00DA4AE8">
      <w:pPr>
        <w:rPr>
          <w:rFonts w:ascii="Arial" w:hAnsi="Arial" w:cs="Arial"/>
          <w:sz w:val="24"/>
          <w:szCs w:val="24"/>
        </w:rPr>
      </w:pPr>
    </w:p>
    <w:p w14:paraId="19B73320" w14:textId="24310B0C" w:rsidR="00DA4AE8" w:rsidRPr="001C32A5" w:rsidRDefault="00DA4AE8">
      <w:pPr>
        <w:rPr>
          <w:rFonts w:ascii="Arial" w:hAnsi="Arial" w:cs="Arial"/>
          <w:sz w:val="24"/>
          <w:szCs w:val="24"/>
        </w:rPr>
      </w:pPr>
    </w:p>
    <w:p w14:paraId="08819C96" w14:textId="6F60D612" w:rsidR="00DA4AE8" w:rsidRPr="001C32A5" w:rsidRDefault="00DA4AE8">
      <w:pPr>
        <w:rPr>
          <w:rFonts w:ascii="Arial" w:hAnsi="Arial" w:cs="Arial"/>
          <w:sz w:val="24"/>
          <w:szCs w:val="24"/>
        </w:rPr>
      </w:pPr>
    </w:p>
    <w:p w14:paraId="62DE8439" w14:textId="2471E3D0" w:rsidR="001C32A5" w:rsidRDefault="001C32A5">
      <w:pPr>
        <w:rPr>
          <w:rFonts w:ascii="Arial" w:hAnsi="Arial" w:cs="Arial"/>
          <w:sz w:val="24"/>
          <w:szCs w:val="24"/>
        </w:rPr>
      </w:pPr>
    </w:p>
    <w:p w14:paraId="403D744F" w14:textId="77777777" w:rsidR="001C32A5" w:rsidRPr="001C32A5" w:rsidRDefault="001C32A5">
      <w:pPr>
        <w:rPr>
          <w:rFonts w:ascii="Arial" w:hAnsi="Arial" w:cs="Arial"/>
          <w:sz w:val="24"/>
          <w:szCs w:val="24"/>
        </w:rPr>
      </w:pPr>
    </w:p>
    <w:p w14:paraId="41C08B24" w14:textId="1F286AA1" w:rsidR="00DA4AE8" w:rsidRPr="001C32A5" w:rsidRDefault="001C32A5" w:rsidP="00DA4AE8">
      <w:pPr>
        <w:pBdr>
          <w:bottom w:val="single" w:sz="4" w:space="1" w:color="auto"/>
        </w:pBdr>
        <w:rPr>
          <w:rFonts w:ascii="Arial" w:hAnsi="Arial" w:cs="Arial"/>
          <w:b/>
          <w:bCs/>
          <w:sz w:val="28"/>
          <w:szCs w:val="28"/>
        </w:rPr>
      </w:pPr>
      <w:r>
        <w:rPr>
          <w:rFonts w:ascii="Arial" w:hAnsi="Arial" w:cs="Arial"/>
          <w:b/>
          <w:bCs/>
          <w:sz w:val="28"/>
          <w:szCs w:val="28"/>
        </w:rPr>
        <w:lastRenderedPageBreak/>
        <w:t xml:space="preserve">Section 1: </w:t>
      </w:r>
      <w:r w:rsidRPr="001C32A5">
        <w:rPr>
          <w:rFonts w:ascii="Arial" w:hAnsi="Arial" w:cs="Arial"/>
          <w:b/>
          <w:bCs/>
          <w:sz w:val="28"/>
          <w:szCs w:val="28"/>
        </w:rPr>
        <w:t>Reflection</w:t>
      </w:r>
    </w:p>
    <w:p w14:paraId="2047F6E7" w14:textId="77777777" w:rsidR="001C32A5" w:rsidRDefault="001C32A5" w:rsidP="001C32A5">
      <w:pPr>
        <w:spacing w:line="360" w:lineRule="auto"/>
        <w:jc w:val="both"/>
        <w:rPr>
          <w:rFonts w:ascii="Arial" w:eastAsia="Calibri" w:hAnsi="Arial" w:cs="Arial"/>
          <w:b/>
          <w:lang w:val="en-US" w:eastAsia="en-US"/>
        </w:rPr>
      </w:pPr>
    </w:p>
    <w:p w14:paraId="73957180" w14:textId="2FA9CDC6" w:rsidR="001C32A5" w:rsidRPr="001C32A5" w:rsidRDefault="001C32A5" w:rsidP="00C73856">
      <w:pPr>
        <w:spacing w:line="360" w:lineRule="auto"/>
        <w:jc w:val="both"/>
        <w:rPr>
          <w:rFonts w:ascii="Arial" w:eastAsia="Calibri" w:hAnsi="Arial" w:cs="Arial"/>
          <w:b/>
          <w:lang w:val="en-US" w:eastAsia="en-US"/>
        </w:rPr>
      </w:pPr>
      <w:r>
        <w:rPr>
          <w:rFonts w:ascii="Arial" w:eastAsia="Calibri" w:hAnsi="Arial" w:cs="Arial"/>
          <w:b/>
          <w:lang w:val="en-US" w:eastAsia="en-US"/>
        </w:rPr>
        <w:t>Description:</w:t>
      </w:r>
    </w:p>
    <w:p w14:paraId="47302260"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For my first assessment, I conducted research relevant to my course. The assessment was divided into four tasks: Task 1 (formulating a research question), Task 2 (conducting primary and secondary research), Task 3 (presenting my ideas), and Task 4 (analyzing the data).</w:t>
      </w:r>
    </w:p>
    <w:p w14:paraId="1CA3A5DA"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In Task 1, I chose to focus on ethics and integrity of professional accountants due to the growing concern over declining ethics and accounting scandals. I used a mixed-methods approach, where qualitative data was derived from the deductive approach. I identified gaps in existing theories, revealing several factors that affect the integrity and ethical behavior of professional accountants. However, there was limited research on how accounting students perceive these factors. Thus, I developed my research question: </w:t>
      </w:r>
      <w:r w:rsidRPr="001C32A5">
        <w:rPr>
          <w:rFonts w:ascii="Arial" w:eastAsia="Calibri" w:hAnsi="Arial" w:cs="Arial"/>
          <w:i/>
          <w:lang w:val="en-US" w:eastAsia="en-US"/>
        </w:rPr>
        <w:t>“Do accounting students believe that factors such as gender, loopholes in ethical standards, and audit firm size influence the ethics and integrity of professional accountants?”</w:t>
      </w:r>
      <w:r w:rsidRPr="001C32A5">
        <w:rPr>
          <w:rFonts w:ascii="Arial" w:eastAsia="Calibri" w:hAnsi="Arial" w:cs="Arial"/>
          <w:lang w:val="en-US" w:eastAsia="en-US"/>
        </w:rPr>
        <w:t>. Quantitative data was gathered from surveys.</w:t>
      </w:r>
    </w:p>
    <w:p w14:paraId="21A38B79" w14:textId="7331C956"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For Task 2, I distributed a survey via Google Forms to accounting students at the University of Malaya Wales. It included both closed-ended and open-ended questions. A total of </w:t>
      </w:r>
      <w:r>
        <w:rPr>
          <w:rFonts w:ascii="Arial" w:eastAsia="Calibri" w:hAnsi="Arial" w:cs="Arial"/>
          <w:lang w:val="en-US" w:eastAsia="en-US"/>
        </w:rPr>
        <w:t>30 accounting students (15 males</w:t>
      </w:r>
      <w:r w:rsidRPr="001C32A5">
        <w:rPr>
          <w:rFonts w:ascii="Arial" w:eastAsia="Calibri" w:hAnsi="Arial" w:cs="Arial"/>
          <w:lang w:val="en-US" w:eastAsia="en-US"/>
        </w:rPr>
        <w:t xml:space="preserve"> and 15 female</w:t>
      </w:r>
      <w:r>
        <w:rPr>
          <w:rFonts w:ascii="Arial" w:eastAsia="Calibri" w:hAnsi="Arial" w:cs="Arial"/>
          <w:lang w:val="en-US" w:eastAsia="en-US"/>
        </w:rPr>
        <w:t>s</w:t>
      </w:r>
      <w:r w:rsidRPr="001C32A5">
        <w:rPr>
          <w:rFonts w:ascii="Arial" w:eastAsia="Calibri" w:hAnsi="Arial" w:cs="Arial"/>
          <w:lang w:val="en-US" w:eastAsia="en-US"/>
        </w:rPr>
        <w:t>) participated. In Task 3, I created a 3-minute video pitch summarizing my research, which I presented to classmates, interns, and lecturers. I reflected on their feedback in a written summary.</w:t>
      </w:r>
    </w:p>
    <w:p w14:paraId="6CE0DE25" w14:textId="7E6E2CA0"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Finally, in Task 4, I created a conference poster that included my findings, key conclusions, and an overview of my research. The findings included: 78.8% agreed that larger audit firms (Big 4) deliver higher-quality audits; 63.6% believed that females are more cautious and ethical; and many respondents felt that unclear ethical standards create opportunities for unethical behavior. These findings supported my research question, showing that accounting students believe that gender, ethical loopholes, and audit firm size influence the ethics and integrity of professional accountants.</w:t>
      </w:r>
    </w:p>
    <w:p w14:paraId="0B8FAB87" w14:textId="7FA7CE0E" w:rsidR="001C32A5" w:rsidRPr="001C32A5" w:rsidRDefault="001C32A5" w:rsidP="00C73856">
      <w:pPr>
        <w:spacing w:line="360" w:lineRule="auto"/>
        <w:jc w:val="both"/>
        <w:rPr>
          <w:rFonts w:ascii="Arial" w:eastAsia="Calibri" w:hAnsi="Arial" w:cs="Arial"/>
          <w:b/>
          <w:lang w:val="en-US" w:eastAsia="en-US"/>
        </w:rPr>
      </w:pPr>
      <w:r w:rsidRPr="001C32A5">
        <w:rPr>
          <w:rFonts w:ascii="Arial" w:eastAsia="Calibri" w:hAnsi="Arial" w:cs="Arial"/>
          <w:b/>
          <w:lang w:val="en-US" w:eastAsia="en-US"/>
        </w:rPr>
        <w:t>Feeling</w:t>
      </w:r>
      <w:r>
        <w:rPr>
          <w:rFonts w:ascii="Arial" w:eastAsia="Calibri" w:hAnsi="Arial" w:cs="Arial"/>
          <w:b/>
          <w:lang w:val="en-US" w:eastAsia="en-US"/>
        </w:rPr>
        <w:t>s:</w:t>
      </w:r>
    </w:p>
    <w:p w14:paraId="21B40F52"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Throughout the research process, I experienced a lot of frustration and confusion because of the challenges I faced. One of the biggest issues was being exempted from the Business Research Methods module, which left me unsure about how to properly conduct research. I realized I had forgotten important aspects like setting research objectives, designing a research plan, and writing the final report.</w:t>
      </w:r>
    </w:p>
    <w:p w14:paraId="13BC75E3"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lastRenderedPageBreak/>
        <w:t>As I progressed, things did not get any easier. The research took more time and effort than I expected. The data collection phase, in particular, felt like it was taking forever, testing my patience. I instantly felt very angry at how all the 4 tasks were very complex and complicated. I wish that the assignment could have been much simpler.</w:t>
      </w:r>
    </w:p>
    <w:p w14:paraId="400348AD"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Moving forward, the most stressful moment came when I received feedback from Madam Emma. By then, I had already completed half of the assignment, and I was hoping to focus on other work. However, the feedback I received stated that my research question was not realistic and needed revision. The feedback came on July 22 and the initial deadline was July 30. This left me feeling extremely pressured as I had very little time to make changes. I also became anxious about whether I could finish the assignment in time. </w:t>
      </w:r>
    </w:p>
    <w:p w14:paraId="517475A8" w14:textId="798D1706"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During this period, I had a lot of regrets. Firstly, I regretted not asking for Madam Emma’s feedback earlier. I realized that procrastination ad led me to rush everything at the last minute, and I regretted not managing my time better. I also started regretting my decision to enroll in the dual award program, as the workload felt overwhelming. At that moment, I wished I could drop the module altogether.</w:t>
      </w:r>
    </w:p>
    <w:p w14:paraId="1FF80C23" w14:textId="4D52C874" w:rsidR="001C32A5" w:rsidRPr="001C32A5" w:rsidRDefault="001C32A5" w:rsidP="00C73856">
      <w:pPr>
        <w:spacing w:line="360" w:lineRule="auto"/>
        <w:jc w:val="both"/>
        <w:rPr>
          <w:rFonts w:ascii="Arial" w:eastAsia="Calibri" w:hAnsi="Arial" w:cs="Arial"/>
          <w:b/>
          <w:lang w:val="en-US" w:eastAsia="en-US"/>
        </w:rPr>
      </w:pPr>
      <w:r>
        <w:rPr>
          <w:rFonts w:ascii="Arial" w:eastAsia="Calibri" w:hAnsi="Arial" w:cs="Arial"/>
          <w:b/>
          <w:lang w:val="en-US" w:eastAsia="en-US"/>
        </w:rPr>
        <w:t>Evaluation:</w:t>
      </w:r>
    </w:p>
    <w:p w14:paraId="09F66AE4"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There were a few good aspects. Firstly, Task 2 was much easier compared to Task 1. Conducting the survey and automatically collecting the data really simplified the process (Sari </w:t>
      </w:r>
      <w:r w:rsidRPr="001C32A5">
        <w:rPr>
          <w:rFonts w:ascii="Arial" w:eastAsia="Calibri" w:hAnsi="Arial" w:cs="Arial"/>
          <w:i/>
          <w:lang w:val="en-US" w:eastAsia="en-US"/>
        </w:rPr>
        <w:t xml:space="preserve">et al., </w:t>
      </w:r>
      <w:r w:rsidRPr="001C32A5">
        <w:rPr>
          <w:rFonts w:ascii="Arial" w:eastAsia="Calibri" w:hAnsi="Arial" w:cs="Arial"/>
          <w:lang w:val="en-US" w:eastAsia="en-US"/>
        </w:rPr>
        <w:t xml:space="preserve">2020). This allowed me to focus more on analyzing the data, which made the task less stressful (Kelley, 2003). Secondly, Task 4—creating the poster—was one of my favorite parts because I enjoy creative tasks. Being creative is one of the personal strengths (Tan </w:t>
      </w:r>
      <w:r w:rsidRPr="001C32A5">
        <w:rPr>
          <w:rFonts w:ascii="Arial" w:eastAsia="Calibri" w:hAnsi="Arial" w:cs="Arial"/>
          <w:i/>
          <w:lang w:val="en-US" w:eastAsia="en-US"/>
        </w:rPr>
        <w:t>et al.,</w:t>
      </w:r>
      <w:r w:rsidRPr="001C32A5">
        <w:rPr>
          <w:rFonts w:ascii="Arial" w:eastAsia="Calibri" w:hAnsi="Arial" w:cs="Arial"/>
          <w:lang w:val="en-US" w:eastAsia="en-US"/>
        </w:rPr>
        <w:t xml:space="preserve"> 2021), and this task gave me a chance to show that. Ji, Zhao, and Liu (2019) guided me to aim for strong contrast between the background and text, while Sousa and Clark (2019) advised keeping the information minimal to avoid clutter. Dodgson (2019) helped me choose the right analogous color scheme for the poster, making it visually appealing and easy to read. Thirdly, I also enjoyed making the slides for my pitching video. </w:t>
      </w:r>
      <w:proofErr w:type="spellStart"/>
      <w:r w:rsidRPr="001C32A5">
        <w:rPr>
          <w:rFonts w:ascii="Arial" w:eastAsia="Calibri" w:hAnsi="Arial" w:cs="Arial"/>
          <w:lang w:val="en-US" w:eastAsia="en-US"/>
        </w:rPr>
        <w:t>Naegle</w:t>
      </w:r>
      <w:proofErr w:type="spellEnd"/>
      <w:r w:rsidRPr="001C32A5">
        <w:rPr>
          <w:rFonts w:ascii="Arial" w:eastAsia="Calibri" w:hAnsi="Arial" w:cs="Arial"/>
          <w:lang w:val="en-US" w:eastAsia="en-US"/>
        </w:rPr>
        <w:t xml:space="preserve"> (2021) gave me helpful guidelines on creating clear, effective slides, which made the process smoother.</w:t>
      </w:r>
    </w:p>
    <w:p w14:paraId="4D6F6DF1"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On the bad side, Task 1 was really bad for me. It involved developing a research question, selecting the approach, and deciding on data collection and sampling methods. This took a lot of time and effort, which felt overwhelming at times (Ahmad, 2016). Recording the pitching video was also bad. I had to re-record it several times to get it just right. Even though </w:t>
      </w:r>
      <w:proofErr w:type="spellStart"/>
      <w:r w:rsidRPr="001C32A5">
        <w:rPr>
          <w:rFonts w:ascii="Arial" w:eastAsia="Calibri" w:hAnsi="Arial" w:cs="Arial"/>
          <w:lang w:val="en-US" w:eastAsia="en-US"/>
        </w:rPr>
        <w:t>Wellstead</w:t>
      </w:r>
      <w:proofErr w:type="spellEnd"/>
      <w:r w:rsidRPr="001C32A5">
        <w:rPr>
          <w:rFonts w:ascii="Arial" w:eastAsia="Calibri" w:hAnsi="Arial" w:cs="Arial"/>
          <w:lang w:val="en-US" w:eastAsia="en-US"/>
        </w:rPr>
        <w:t xml:space="preserve"> et al. (2017) provided useful tips, my need for perfection made the whole process exhausting. Editing the video was another bad part, as the app kept crashing, which made it frustrating. Overall, I feel like I did not give my best, especially with Task 1 and the video recording.</w:t>
      </w:r>
    </w:p>
    <w:p w14:paraId="22A20838" w14:textId="63B2EB29" w:rsidR="001C32A5" w:rsidRPr="001C32A5" w:rsidRDefault="001C32A5" w:rsidP="00C73856">
      <w:pPr>
        <w:spacing w:line="360" w:lineRule="auto"/>
        <w:jc w:val="both"/>
        <w:rPr>
          <w:rFonts w:ascii="Arial" w:eastAsia="Calibri" w:hAnsi="Arial" w:cs="Arial"/>
          <w:b/>
          <w:lang w:val="en-US" w:eastAsia="en-US"/>
        </w:rPr>
      </w:pPr>
      <w:r w:rsidRPr="001C32A5">
        <w:rPr>
          <w:rFonts w:ascii="Arial" w:eastAsia="Calibri" w:hAnsi="Arial" w:cs="Arial"/>
          <w:b/>
          <w:lang w:val="en-US" w:eastAsia="en-US"/>
        </w:rPr>
        <w:lastRenderedPageBreak/>
        <w:t>Analysis</w:t>
      </w:r>
      <w:r>
        <w:rPr>
          <w:rFonts w:ascii="Arial" w:eastAsia="Calibri" w:hAnsi="Arial" w:cs="Arial"/>
          <w:b/>
          <w:lang w:val="en-US" w:eastAsia="en-US"/>
        </w:rPr>
        <w:t>:</w:t>
      </w:r>
    </w:p>
    <w:p w14:paraId="3D221207"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I decided to research the factors that influence the ethical behavior and integrity of accountants. However, I initially struggled with selecting a data sampling method, approach, research value, and building the questionnaire. Referring to </w:t>
      </w:r>
      <w:proofErr w:type="spellStart"/>
      <w:r w:rsidRPr="001C32A5">
        <w:rPr>
          <w:rFonts w:ascii="Arial" w:eastAsia="Calibri" w:hAnsi="Arial" w:cs="Arial"/>
          <w:lang w:val="en-US" w:eastAsia="en-US"/>
        </w:rPr>
        <w:t>Ratan</w:t>
      </w:r>
      <w:proofErr w:type="spellEnd"/>
      <w:r w:rsidRPr="001C32A5">
        <w:rPr>
          <w:rFonts w:ascii="Arial" w:eastAsia="Calibri" w:hAnsi="Arial" w:cs="Arial"/>
          <w:lang w:val="en-US" w:eastAsia="en-US"/>
        </w:rPr>
        <w:t xml:space="preserve">, </w:t>
      </w:r>
      <w:proofErr w:type="spellStart"/>
      <w:r w:rsidRPr="001C32A5">
        <w:rPr>
          <w:rFonts w:ascii="Arial" w:eastAsia="Calibri" w:hAnsi="Arial" w:cs="Arial"/>
          <w:lang w:val="en-US" w:eastAsia="en-US"/>
        </w:rPr>
        <w:t>Anand</w:t>
      </w:r>
      <w:proofErr w:type="spellEnd"/>
      <w:r w:rsidRPr="001C32A5">
        <w:rPr>
          <w:rFonts w:ascii="Arial" w:eastAsia="Calibri" w:hAnsi="Arial" w:cs="Arial"/>
          <w:lang w:val="en-US" w:eastAsia="en-US"/>
        </w:rPr>
        <w:t xml:space="preserve">, and </w:t>
      </w:r>
      <w:proofErr w:type="spellStart"/>
      <w:r w:rsidRPr="001C32A5">
        <w:rPr>
          <w:rFonts w:ascii="Arial" w:eastAsia="Calibri" w:hAnsi="Arial" w:cs="Arial"/>
          <w:lang w:val="en-US" w:eastAsia="en-US"/>
        </w:rPr>
        <w:t>Ratan</w:t>
      </w:r>
      <w:proofErr w:type="spellEnd"/>
      <w:r w:rsidRPr="001C32A5">
        <w:rPr>
          <w:rFonts w:ascii="Arial" w:eastAsia="Calibri" w:hAnsi="Arial" w:cs="Arial"/>
          <w:lang w:val="en-US" w:eastAsia="en-US"/>
        </w:rPr>
        <w:t xml:space="preserve"> (2019); and Rashid et al. (2019), I realized that I needed to explore existing research on this topic, as my initial idea was too broad.</w:t>
      </w:r>
    </w:p>
    <w:p w14:paraId="5F1A6D88"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To narrow my focus, I reviewed literature on the factors influencing accountants' ethics and integrity. I found that gender plays a significant role in shaping behavior (</w:t>
      </w:r>
      <w:proofErr w:type="spellStart"/>
      <w:r w:rsidRPr="001C32A5">
        <w:rPr>
          <w:rFonts w:ascii="Arial" w:eastAsia="Calibri" w:hAnsi="Arial" w:cs="Arial"/>
          <w:lang w:val="en-US" w:eastAsia="en-US"/>
        </w:rPr>
        <w:t>Radtke</w:t>
      </w:r>
      <w:proofErr w:type="spellEnd"/>
      <w:r w:rsidRPr="001C32A5">
        <w:rPr>
          <w:rFonts w:ascii="Arial" w:eastAsia="Calibri" w:hAnsi="Arial" w:cs="Arial"/>
          <w:lang w:val="en-US" w:eastAsia="en-US"/>
        </w:rPr>
        <w:t>, 2000). Women tend to prioritize relationships and ethical considerations more than men, who are often driven by competitive success and earnings (</w:t>
      </w:r>
      <w:proofErr w:type="spellStart"/>
      <w:r w:rsidRPr="001C32A5">
        <w:rPr>
          <w:rFonts w:ascii="Arial" w:eastAsia="Calibri" w:hAnsi="Arial" w:cs="Arial"/>
          <w:lang w:val="en-US" w:eastAsia="en-US"/>
        </w:rPr>
        <w:t>Boateng</w:t>
      </w:r>
      <w:proofErr w:type="spellEnd"/>
      <w:r w:rsidRPr="001C32A5">
        <w:rPr>
          <w:rFonts w:ascii="Arial" w:eastAsia="Calibri" w:hAnsi="Arial" w:cs="Arial"/>
          <w:lang w:val="en-US" w:eastAsia="en-US"/>
        </w:rPr>
        <w:t xml:space="preserve"> &amp; Agyapong, 2017). Women are more likely to consider the impact of their actions on others, emphasizing ethical behavior (</w:t>
      </w:r>
      <w:proofErr w:type="spellStart"/>
      <w:r w:rsidRPr="001C32A5">
        <w:rPr>
          <w:rFonts w:ascii="Arial" w:eastAsia="Calibri" w:hAnsi="Arial" w:cs="Arial"/>
          <w:lang w:val="en-US" w:eastAsia="en-US"/>
        </w:rPr>
        <w:t>Adekoya</w:t>
      </w:r>
      <w:proofErr w:type="spellEnd"/>
      <w:r w:rsidRPr="001C32A5">
        <w:rPr>
          <w:rFonts w:ascii="Arial" w:eastAsia="Calibri" w:hAnsi="Arial" w:cs="Arial"/>
          <w:lang w:val="en-US" w:eastAsia="en-US"/>
        </w:rPr>
        <w:t xml:space="preserve">, </w:t>
      </w:r>
      <w:proofErr w:type="spellStart"/>
      <w:r w:rsidRPr="001C32A5">
        <w:rPr>
          <w:rFonts w:ascii="Arial" w:eastAsia="Calibri" w:hAnsi="Arial" w:cs="Arial"/>
          <w:lang w:val="en-US" w:eastAsia="en-US"/>
        </w:rPr>
        <w:t>Oboh</w:t>
      </w:r>
      <w:proofErr w:type="spellEnd"/>
      <w:r w:rsidRPr="001C32A5">
        <w:rPr>
          <w:rFonts w:ascii="Arial" w:eastAsia="Calibri" w:hAnsi="Arial" w:cs="Arial"/>
          <w:lang w:val="en-US" w:eastAsia="en-US"/>
        </w:rPr>
        <w:t xml:space="preserve">, &amp; </w:t>
      </w:r>
      <w:proofErr w:type="spellStart"/>
      <w:r w:rsidRPr="001C32A5">
        <w:rPr>
          <w:rFonts w:ascii="Arial" w:eastAsia="Calibri" w:hAnsi="Arial" w:cs="Arial"/>
          <w:lang w:val="en-US" w:eastAsia="en-US"/>
        </w:rPr>
        <w:t>Oyewumi</w:t>
      </w:r>
      <w:proofErr w:type="spellEnd"/>
      <w:r w:rsidRPr="001C32A5">
        <w:rPr>
          <w:rFonts w:ascii="Arial" w:eastAsia="Calibri" w:hAnsi="Arial" w:cs="Arial"/>
          <w:lang w:val="en-US" w:eastAsia="en-US"/>
        </w:rPr>
        <w:t>, 2020). Additionally, accountants sometimes exploit flexible ethical guidelines to manipulate financial statements in their favor (</w:t>
      </w:r>
      <w:proofErr w:type="spellStart"/>
      <w:r w:rsidRPr="001C32A5">
        <w:rPr>
          <w:rFonts w:ascii="Arial" w:eastAsia="Calibri" w:hAnsi="Arial" w:cs="Arial"/>
          <w:lang w:val="en-US" w:eastAsia="en-US"/>
        </w:rPr>
        <w:t>Bhasin</w:t>
      </w:r>
      <w:proofErr w:type="spellEnd"/>
      <w:r w:rsidRPr="001C32A5">
        <w:rPr>
          <w:rFonts w:ascii="Arial" w:eastAsia="Calibri" w:hAnsi="Arial" w:cs="Arial"/>
          <w:lang w:val="en-US" w:eastAsia="en-US"/>
        </w:rPr>
        <w:t>, 2016).</w:t>
      </w:r>
    </w:p>
    <w:p w14:paraId="13E8F631"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The size of an audit firm also impacts ethical conduct (Salman &amp; </w:t>
      </w:r>
      <w:proofErr w:type="spellStart"/>
      <w:r w:rsidRPr="001C32A5">
        <w:rPr>
          <w:rFonts w:ascii="Arial" w:eastAsia="Calibri" w:hAnsi="Arial" w:cs="Arial"/>
          <w:lang w:val="en-US" w:eastAsia="en-US"/>
        </w:rPr>
        <w:t>Setyaningrum</w:t>
      </w:r>
      <w:proofErr w:type="spellEnd"/>
      <w:r w:rsidRPr="001C32A5">
        <w:rPr>
          <w:rFonts w:ascii="Arial" w:eastAsia="Calibri" w:hAnsi="Arial" w:cs="Arial"/>
          <w:lang w:val="en-US" w:eastAsia="en-US"/>
        </w:rPr>
        <w:t>, 2023). Smaller audit firms are more susceptible to client pressures, especially when issuing going concern (GC) opinions, which signal doubts about a company’s future (</w:t>
      </w:r>
      <w:proofErr w:type="spellStart"/>
      <w:r w:rsidRPr="001C32A5">
        <w:rPr>
          <w:rFonts w:ascii="Arial" w:eastAsia="Calibri" w:hAnsi="Arial" w:cs="Arial"/>
          <w:lang w:val="en-US" w:eastAsia="en-US"/>
        </w:rPr>
        <w:t>Ettredge</w:t>
      </w:r>
      <w:proofErr w:type="spellEnd"/>
      <w:r w:rsidRPr="001C32A5">
        <w:rPr>
          <w:rFonts w:ascii="Arial" w:eastAsia="Calibri" w:hAnsi="Arial" w:cs="Arial"/>
          <w:lang w:val="en-US" w:eastAsia="en-US"/>
        </w:rPr>
        <w:t xml:space="preserve"> </w:t>
      </w:r>
      <w:r w:rsidRPr="001C32A5">
        <w:rPr>
          <w:rFonts w:ascii="Arial" w:eastAsia="Calibri" w:hAnsi="Arial" w:cs="Arial"/>
          <w:i/>
          <w:lang w:val="en-US" w:eastAsia="en-US"/>
        </w:rPr>
        <w:t>et al.,</w:t>
      </w:r>
      <w:r w:rsidRPr="001C32A5">
        <w:rPr>
          <w:rFonts w:ascii="Arial" w:eastAsia="Calibri" w:hAnsi="Arial" w:cs="Arial"/>
          <w:lang w:val="en-US" w:eastAsia="en-US"/>
        </w:rPr>
        <w:t xml:space="preserve"> 2017). Larger firms, like the Big 4, are less affected due to their diverse client base and ability to maintain independence (Chen, </w:t>
      </w:r>
      <w:proofErr w:type="spellStart"/>
      <w:r w:rsidRPr="001C32A5">
        <w:rPr>
          <w:rFonts w:ascii="Arial" w:eastAsia="Calibri" w:hAnsi="Arial" w:cs="Arial"/>
          <w:lang w:val="en-US" w:eastAsia="en-US"/>
        </w:rPr>
        <w:t>Elemes</w:t>
      </w:r>
      <w:proofErr w:type="spellEnd"/>
      <w:r w:rsidRPr="001C32A5">
        <w:rPr>
          <w:rFonts w:ascii="Arial" w:eastAsia="Calibri" w:hAnsi="Arial" w:cs="Arial"/>
          <w:lang w:val="en-US" w:eastAsia="en-US"/>
        </w:rPr>
        <w:t xml:space="preserve"> &amp; Lobo, 2021). This literature review helped me refine my research questions (Hosseini </w:t>
      </w:r>
      <w:r w:rsidRPr="001C32A5">
        <w:rPr>
          <w:rFonts w:ascii="Arial" w:eastAsia="Calibri" w:hAnsi="Arial" w:cs="Arial"/>
          <w:i/>
          <w:lang w:val="en-US" w:eastAsia="en-US"/>
        </w:rPr>
        <w:t>et al.,</w:t>
      </w:r>
      <w:r w:rsidRPr="001C32A5">
        <w:rPr>
          <w:rFonts w:ascii="Arial" w:eastAsia="Calibri" w:hAnsi="Arial" w:cs="Arial"/>
          <w:lang w:val="en-US" w:eastAsia="en-US"/>
        </w:rPr>
        <w:t xml:space="preserve"> 2023), focusing on gender, ethical loopholes, and audit firm size. Although I found the research question and approach easier to set, I was still uncertain about the sampling method. </w:t>
      </w:r>
      <w:proofErr w:type="spellStart"/>
      <w:r w:rsidRPr="001C32A5">
        <w:rPr>
          <w:rFonts w:ascii="Arial" w:eastAsia="Calibri" w:hAnsi="Arial" w:cs="Arial"/>
          <w:lang w:val="en-US" w:eastAsia="en-US"/>
        </w:rPr>
        <w:t>Taherdoost</w:t>
      </w:r>
      <w:proofErr w:type="spellEnd"/>
      <w:r w:rsidRPr="001C32A5">
        <w:rPr>
          <w:rFonts w:ascii="Arial" w:eastAsia="Calibri" w:hAnsi="Arial" w:cs="Arial"/>
          <w:lang w:val="en-US" w:eastAsia="en-US"/>
        </w:rPr>
        <w:t xml:space="preserve"> (2016) suggested quota sampling, which allowed me to address gender differences without bias.</w:t>
      </w:r>
    </w:p>
    <w:p w14:paraId="6B396BF9"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Moreover, initially, my research questions were: “How does gender impact ethical decision-making among accountants?”; “Do loopholes in accounting guidelines compromise the integrity and ethical behavior of accountants?”; and “What role does firm size play in shaping ethical conduct in audit firms?” I struggled to get answers because I didn’t have access to accountants or auditors. Following Madam Emma’s advice, I revised the questions to be more realistic. I changed them to: “Do accounting students believe that factors such as gender, loopholes in ethical standards, and firm size influence the integrity and ethics of professional accountants?” This adjustment made it easier to reach respondents and manage the research.</w:t>
      </w:r>
    </w:p>
    <w:p w14:paraId="14F015D0" w14:textId="61F4799B" w:rsidR="001C32A5" w:rsidRPr="001C32A5" w:rsidRDefault="001C32A5" w:rsidP="00C73856">
      <w:pPr>
        <w:spacing w:line="360" w:lineRule="auto"/>
        <w:jc w:val="both"/>
        <w:rPr>
          <w:rFonts w:ascii="Arial" w:eastAsia="Calibri" w:hAnsi="Arial" w:cs="Arial"/>
          <w:b/>
          <w:lang w:val="en-US" w:eastAsia="en-US"/>
        </w:rPr>
      </w:pPr>
      <w:r w:rsidRPr="001C32A5">
        <w:rPr>
          <w:rFonts w:ascii="Arial" w:eastAsia="Calibri" w:hAnsi="Arial" w:cs="Arial"/>
          <w:b/>
          <w:lang w:val="en-US" w:eastAsia="en-US"/>
        </w:rPr>
        <w:t>Conclusion</w:t>
      </w:r>
      <w:r>
        <w:rPr>
          <w:rFonts w:ascii="Arial" w:eastAsia="Calibri" w:hAnsi="Arial" w:cs="Arial"/>
          <w:b/>
          <w:lang w:val="en-US" w:eastAsia="en-US"/>
        </w:rPr>
        <w:t>:</w:t>
      </w:r>
    </w:p>
    <w:p w14:paraId="598184D5"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 xml:space="preserve">Looking back, I have learned a lot from this research project, especially about handling challenges and improving my approach to work. One of the biggest lessons is how important it is to have a clear and manageable research question from the beginning. At first, my </w:t>
      </w:r>
      <w:r w:rsidRPr="001C32A5">
        <w:rPr>
          <w:rFonts w:ascii="Arial" w:eastAsia="Calibri" w:hAnsi="Arial" w:cs="Arial"/>
          <w:lang w:val="en-US" w:eastAsia="en-US"/>
        </w:rPr>
        <w:lastRenderedPageBreak/>
        <w:t>question was too broad, and it made everything harder, from collecting data to analyzing the results. Once I got feedback and made changes, the whole process became a lot more focused and realistic. This taught me the value of staying flexible and open to feedback, even when it is difficult to accept.</w:t>
      </w:r>
    </w:p>
    <w:p w14:paraId="58D1C907"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Another big takeaway is that time management really matters. I procrastinated, and that made everything more stressful, especially when deadlines were approaching. Now, I realize that waiting until the last minute does not help, and it can really hurt the quality of my work. I also learned the importance of balancing creativity and technical work. While I enjoyed making the poster and video, I realized I spent too much time on those creative parts and not enough on the data analysis. Both are important, and I need to give each the attention it deserves.</w:t>
      </w:r>
    </w:p>
    <w:p w14:paraId="0319EFBB"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In terms of what else I could have done, I would have definitely planned better from the start. I would have set clearer goals and timelines and made sure to get feedback much earlier. I also learned that I cannot expect things to go perfectly, so it is important to adapt along the way. In the end, I feel like I have gained valuable lessons in planning, time management, and being open to change, which will help me in future projects.</w:t>
      </w:r>
    </w:p>
    <w:p w14:paraId="63B5E85C" w14:textId="7AEA16DB" w:rsidR="001C32A5" w:rsidRPr="001C32A5" w:rsidRDefault="001C32A5" w:rsidP="00C73856">
      <w:pPr>
        <w:spacing w:line="360" w:lineRule="auto"/>
        <w:jc w:val="both"/>
        <w:rPr>
          <w:rFonts w:ascii="Arial" w:eastAsia="Calibri" w:hAnsi="Arial" w:cs="Arial"/>
          <w:b/>
          <w:lang w:val="en-US" w:eastAsia="en-US"/>
        </w:rPr>
      </w:pPr>
      <w:r w:rsidRPr="001C32A5">
        <w:rPr>
          <w:rFonts w:ascii="Arial" w:eastAsia="Calibri" w:hAnsi="Arial" w:cs="Arial"/>
          <w:b/>
          <w:lang w:val="en-US" w:eastAsia="en-US"/>
        </w:rPr>
        <w:t>Action plan</w:t>
      </w:r>
      <w:r>
        <w:rPr>
          <w:rFonts w:ascii="Arial" w:eastAsia="Calibri" w:hAnsi="Arial" w:cs="Arial"/>
          <w:b/>
          <w:lang w:val="en-US" w:eastAsia="en-US"/>
        </w:rPr>
        <w:t>:</w:t>
      </w:r>
    </w:p>
    <w:p w14:paraId="549FF12E"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If I have to do a similar assignment again in future, there are several key changes I would make to improve how I approach the work. Firstly, I would create a detailed timeline for each stage of the project and adhere to it as closely as possible. By setting specific deadlines for smaller tasks, I can avoid the stress associated with cramming everything in at the last minute. This approach will help me manage my time more effectively, allowing me to focus on each part of the assignment without feeling overwhelmed. I now understand the importance of breaking tasks into smaller, manageable steps to make the overall project feel less daunting, and I plan to apply this method in future projects.</w:t>
      </w:r>
    </w:p>
    <w:p w14:paraId="16F450CC"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t>Another important change I will implement is obtaining feedback early in the process. In the future, I will not wait until I am halfway through the assignment before seeking advice. I will make it a priority to consult with my lecturer or peers as soon as I have a solid draft or even initial ideas. This will allow me to identify and address any potential issues or misunderstandings before they develop into larger problems. Acting on feedback early will provide me with more time to make thoughtful adjustments and reduce the panic that often arises when approaching deadlines. Additionally, I will test my survey questions or any other tools before deploying them, which will help avoid errors and ensure a smoother data collection process.</w:t>
      </w:r>
    </w:p>
    <w:p w14:paraId="35CC68D8" w14:textId="77777777" w:rsidR="001C32A5" w:rsidRPr="001C32A5" w:rsidRDefault="001C32A5" w:rsidP="00C73856">
      <w:pPr>
        <w:spacing w:line="360" w:lineRule="auto"/>
        <w:jc w:val="both"/>
        <w:rPr>
          <w:rFonts w:ascii="Arial" w:eastAsia="Calibri" w:hAnsi="Arial" w:cs="Arial"/>
          <w:lang w:val="en-US" w:eastAsia="en-US"/>
        </w:rPr>
      </w:pPr>
      <w:r w:rsidRPr="001C32A5">
        <w:rPr>
          <w:rFonts w:ascii="Arial" w:eastAsia="Calibri" w:hAnsi="Arial" w:cs="Arial"/>
          <w:lang w:val="en-US" w:eastAsia="en-US"/>
        </w:rPr>
        <w:lastRenderedPageBreak/>
        <w:t>Lastly, I will focus on balancing the creative and technical aspects of my work. Although I enjoy creative tasks, such as designing posters or producing videos, I have learned that I need to give equal attention to the more technical components, such as the Task 1. I will approach every aspect of the assignment with a positive and adaptable mindset. Even if a task is challenging or less enjoyable, I will engage with it fully rather than avoiding or dreading it. By making these adjustments, I can improve the quality of my work in all aspects.</w:t>
      </w:r>
    </w:p>
    <w:p w14:paraId="7DDEEBED" w14:textId="77777777" w:rsidR="001C32A5" w:rsidRPr="001C32A5" w:rsidRDefault="001C32A5" w:rsidP="00C73856">
      <w:pPr>
        <w:spacing w:line="360" w:lineRule="auto"/>
        <w:jc w:val="both"/>
        <w:rPr>
          <w:rFonts w:ascii="Arial" w:eastAsia="Calibri" w:hAnsi="Arial" w:cs="Arial"/>
          <w:lang w:val="en-US" w:eastAsia="en-US"/>
        </w:rPr>
      </w:pPr>
    </w:p>
    <w:p w14:paraId="6C0DCB8C" w14:textId="77777777" w:rsidR="001C32A5" w:rsidRPr="001C32A5" w:rsidRDefault="001C32A5" w:rsidP="00C73856">
      <w:pPr>
        <w:spacing w:line="360" w:lineRule="auto"/>
        <w:jc w:val="both"/>
        <w:rPr>
          <w:rFonts w:ascii="Arial" w:eastAsia="Calibri" w:hAnsi="Arial" w:cs="Arial"/>
          <w:lang w:val="en-US" w:eastAsia="en-US"/>
        </w:rPr>
      </w:pPr>
    </w:p>
    <w:p w14:paraId="65D0C51F" w14:textId="77777777" w:rsidR="001C32A5" w:rsidRPr="001C32A5" w:rsidRDefault="001C32A5" w:rsidP="00C73856">
      <w:pPr>
        <w:spacing w:line="360" w:lineRule="auto"/>
        <w:jc w:val="both"/>
        <w:rPr>
          <w:rFonts w:ascii="Arial" w:eastAsia="Calibri" w:hAnsi="Arial" w:cs="Arial"/>
          <w:lang w:val="en-US" w:eastAsia="en-US"/>
        </w:rPr>
      </w:pPr>
    </w:p>
    <w:p w14:paraId="64839296" w14:textId="017BD0D0" w:rsidR="001C32A5" w:rsidRDefault="001C32A5" w:rsidP="00C73856">
      <w:pPr>
        <w:spacing w:line="360" w:lineRule="auto"/>
        <w:jc w:val="both"/>
        <w:rPr>
          <w:rFonts w:ascii="Arial" w:eastAsia="Calibri" w:hAnsi="Arial" w:cs="Arial"/>
          <w:lang w:val="en-US" w:eastAsia="en-US"/>
        </w:rPr>
      </w:pPr>
    </w:p>
    <w:p w14:paraId="06067BC8" w14:textId="41C74E52" w:rsidR="001C32A5" w:rsidRDefault="001C32A5" w:rsidP="00C73856">
      <w:pPr>
        <w:spacing w:line="360" w:lineRule="auto"/>
        <w:jc w:val="both"/>
        <w:rPr>
          <w:rFonts w:ascii="Arial" w:eastAsia="Calibri" w:hAnsi="Arial" w:cs="Arial"/>
          <w:lang w:val="en-US" w:eastAsia="en-US"/>
        </w:rPr>
      </w:pPr>
    </w:p>
    <w:p w14:paraId="16147AA3" w14:textId="2AB18773" w:rsidR="001C32A5" w:rsidRDefault="001C32A5" w:rsidP="00C73856">
      <w:pPr>
        <w:spacing w:line="360" w:lineRule="auto"/>
        <w:jc w:val="both"/>
        <w:rPr>
          <w:rFonts w:ascii="Arial" w:eastAsia="Calibri" w:hAnsi="Arial" w:cs="Arial"/>
          <w:lang w:val="en-US" w:eastAsia="en-US"/>
        </w:rPr>
      </w:pPr>
    </w:p>
    <w:p w14:paraId="77A5FE25" w14:textId="3613DA90" w:rsidR="001C32A5" w:rsidRDefault="001C32A5" w:rsidP="00C73856">
      <w:pPr>
        <w:spacing w:line="360" w:lineRule="auto"/>
        <w:jc w:val="both"/>
        <w:rPr>
          <w:rFonts w:ascii="Arial" w:eastAsia="Calibri" w:hAnsi="Arial" w:cs="Arial"/>
          <w:lang w:val="en-US" w:eastAsia="en-US"/>
        </w:rPr>
      </w:pPr>
    </w:p>
    <w:p w14:paraId="32B48960" w14:textId="5306F127" w:rsidR="001C32A5" w:rsidRDefault="001C32A5" w:rsidP="00C73856">
      <w:pPr>
        <w:spacing w:line="360" w:lineRule="auto"/>
        <w:jc w:val="both"/>
        <w:rPr>
          <w:rFonts w:ascii="Arial" w:eastAsia="Calibri" w:hAnsi="Arial" w:cs="Arial"/>
          <w:lang w:val="en-US" w:eastAsia="en-US"/>
        </w:rPr>
      </w:pPr>
    </w:p>
    <w:p w14:paraId="4C5E57BC" w14:textId="5A5896B8" w:rsidR="001C32A5" w:rsidRDefault="001C32A5" w:rsidP="00C73856">
      <w:pPr>
        <w:spacing w:line="360" w:lineRule="auto"/>
        <w:jc w:val="both"/>
        <w:rPr>
          <w:rFonts w:ascii="Arial" w:eastAsia="Calibri" w:hAnsi="Arial" w:cs="Arial"/>
          <w:lang w:val="en-US" w:eastAsia="en-US"/>
        </w:rPr>
      </w:pPr>
    </w:p>
    <w:p w14:paraId="139AFF5E" w14:textId="3C43698D" w:rsidR="001C32A5" w:rsidRDefault="001C32A5" w:rsidP="00C73856">
      <w:pPr>
        <w:spacing w:line="360" w:lineRule="auto"/>
        <w:jc w:val="both"/>
        <w:rPr>
          <w:rFonts w:ascii="Arial" w:eastAsia="Calibri" w:hAnsi="Arial" w:cs="Arial"/>
          <w:lang w:val="en-US" w:eastAsia="en-US"/>
        </w:rPr>
      </w:pPr>
    </w:p>
    <w:p w14:paraId="01352D1A" w14:textId="701000FB" w:rsidR="001C32A5" w:rsidRDefault="001C32A5" w:rsidP="00C73856">
      <w:pPr>
        <w:spacing w:line="360" w:lineRule="auto"/>
        <w:jc w:val="both"/>
        <w:rPr>
          <w:rFonts w:ascii="Arial" w:eastAsia="Calibri" w:hAnsi="Arial" w:cs="Arial"/>
          <w:lang w:val="en-US" w:eastAsia="en-US"/>
        </w:rPr>
      </w:pPr>
    </w:p>
    <w:p w14:paraId="3102826A" w14:textId="4851EACF" w:rsidR="001C32A5" w:rsidRDefault="001C32A5" w:rsidP="00C73856">
      <w:pPr>
        <w:spacing w:line="360" w:lineRule="auto"/>
        <w:jc w:val="both"/>
        <w:rPr>
          <w:rFonts w:ascii="Arial" w:eastAsia="Calibri" w:hAnsi="Arial" w:cs="Arial"/>
          <w:lang w:val="en-US" w:eastAsia="en-US"/>
        </w:rPr>
      </w:pPr>
    </w:p>
    <w:p w14:paraId="09A9D9EC" w14:textId="5419FA97" w:rsidR="001C32A5" w:rsidRDefault="001C32A5" w:rsidP="00C73856">
      <w:pPr>
        <w:spacing w:line="360" w:lineRule="auto"/>
        <w:jc w:val="both"/>
        <w:rPr>
          <w:rFonts w:ascii="Arial" w:eastAsia="Calibri" w:hAnsi="Arial" w:cs="Arial"/>
          <w:lang w:val="en-US" w:eastAsia="en-US"/>
        </w:rPr>
      </w:pPr>
    </w:p>
    <w:p w14:paraId="03AF541E" w14:textId="783AAD88" w:rsidR="001C32A5" w:rsidRDefault="001C32A5" w:rsidP="00C73856">
      <w:pPr>
        <w:spacing w:line="360" w:lineRule="auto"/>
        <w:jc w:val="both"/>
        <w:rPr>
          <w:rFonts w:ascii="Arial" w:eastAsia="Calibri" w:hAnsi="Arial" w:cs="Arial"/>
          <w:lang w:val="en-US" w:eastAsia="en-US"/>
        </w:rPr>
      </w:pPr>
    </w:p>
    <w:p w14:paraId="7E2021CE" w14:textId="31BDCF27" w:rsidR="001C32A5" w:rsidRDefault="001C32A5" w:rsidP="00C73856">
      <w:pPr>
        <w:spacing w:line="360" w:lineRule="auto"/>
        <w:jc w:val="both"/>
        <w:rPr>
          <w:rFonts w:ascii="Arial" w:eastAsia="Calibri" w:hAnsi="Arial" w:cs="Arial"/>
          <w:lang w:val="en-US" w:eastAsia="en-US"/>
        </w:rPr>
      </w:pPr>
    </w:p>
    <w:p w14:paraId="59C0D39F" w14:textId="55836D67" w:rsidR="001C32A5" w:rsidRDefault="001C32A5" w:rsidP="00C73856">
      <w:pPr>
        <w:spacing w:line="360" w:lineRule="auto"/>
        <w:jc w:val="both"/>
        <w:rPr>
          <w:rFonts w:ascii="Arial" w:eastAsia="Calibri" w:hAnsi="Arial" w:cs="Arial"/>
          <w:lang w:val="en-US" w:eastAsia="en-US"/>
        </w:rPr>
      </w:pPr>
    </w:p>
    <w:p w14:paraId="2E08DED0" w14:textId="25589599" w:rsidR="001C32A5" w:rsidRDefault="001C32A5" w:rsidP="00C73856">
      <w:pPr>
        <w:spacing w:line="360" w:lineRule="auto"/>
        <w:jc w:val="both"/>
        <w:rPr>
          <w:rFonts w:ascii="Arial" w:eastAsia="Calibri" w:hAnsi="Arial" w:cs="Arial"/>
          <w:lang w:val="en-US" w:eastAsia="en-US"/>
        </w:rPr>
      </w:pPr>
    </w:p>
    <w:p w14:paraId="526FE5B9" w14:textId="29CCCD90" w:rsidR="001C32A5" w:rsidRDefault="001C32A5" w:rsidP="00C73856">
      <w:pPr>
        <w:spacing w:line="360" w:lineRule="auto"/>
        <w:jc w:val="both"/>
        <w:rPr>
          <w:rFonts w:ascii="Arial" w:eastAsia="Calibri" w:hAnsi="Arial" w:cs="Arial"/>
          <w:lang w:val="en-US" w:eastAsia="en-US"/>
        </w:rPr>
      </w:pPr>
    </w:p>
    <w:p w14:paraId="30F6E19C" w14:textId="0A39DE6A" w:rsidR="001C32A5" w:rsidRDefault="001C32A5" w:rsidP="00C73856">
      <w:pPr>
        <w:spacing w:line="360" w:lineRule="auto"/>
        <w:jc w:val="both"/>
        <w:rPr>
          <w:rFonts w:ascii="Arial" w:eastAsia="Calibri" w:hAnsi="Arial" w:cs="Arial"/>
          <w:lang w:val="en-US" w:eastAsia="en-US"/>
        </w:rPr>
      </w:pPr>
    </w:p>
    <w:p w14:paraId="69163995" w14:textId="14AC085C" w:rsidR="001C32A5" w:rsidRDefault="001C32A5" w:rsidP="00C73856">
      <w:pPr>
        <w:spacing w:line="360" w:lineRule="auto"/>
        <w:jc w:val="both"/>
        <w:rPr>
          <w:rFonts w:ascii="Arial" w:eastAsia="Calibri" w:hAnsi="Arial" w:cs="Arial"/>
          <w:lang w:val="en-US" w:eastAsia="en-US"/>
        </w:rPr>
      </w:pPr>
    </w:p>
    <w:p w14:paraId="170F9EEA" w14:textId="1AA26461" w:rsidR="001C32A5" w:rsidRPr="001C32A5" w:rsidRDefault="001C32A5" w:rsidP="00C73856">
      <w:pPr>
        <w:spacing w:line="360" w:lineRule="auto"/>
        <w:jc w:val="both"/>
        <w:rPr>
          <w:rFonts w:ascii="Arial" w:eastAsia="Calibri" w:hAnsi="Arial" w:cs="Arial"/>
          <w:lang w:val="en-US" w:eastAsia="en-US"/>
        </w:rPr>
      </w:pPr>
    </w:p>
    <w:p w14:paraId="4B7A83A8" w14:textId="5054B68A" w:rsidR="001C32A5" w:rsidRPr="001C32A5" w:rsidRDefault="001C32A5" w:rsidP="00C73856">
      <w:pPr>
        <w:pBdr>
          <w:bottom w:val="single" w:sz="4" w:space="1" w:color="auto"/>
        </w:pBdr>
        <w:jc w:val="both"/>
        <w:rPr>
          <w:rFonts w:ascii="Arial" w:hAnsi="Arial" w:cs="Arial"/>
          <w:b/>
          <w:bCs/>
          <w:sz w:val="28"/>
          <w:szCs w:val="28"/>
        </w:rPr>
      </w:pPr>
      <w:r>
        <w:rPr>
          <w:rFonts w:ascii="Arial" w:hAnsi="Arial" w:cs="Arial"/>
          <w:b/>
          <w:bCs/>
          <w:sz w:val="28"/>
          <w:szCs w:val="28"/>
        </w:rPr>
        <w:lastRenderedPageBreak/>
        <w:t>References</w:t>
      </w:r>
    </w:p>
    <w:p w14:paraId="34A99A39" w14:textId="163B4CCD" w:rsidR="001C32A5" w:rsidRDefault="001C32A5" w:rsidP="00C73856">
      <w:pPr>
        <w:spacing w:after="0" w:line="360" w:lineRule="auto"/>
        <w:jc w:val="both"/>
        <w:rPr>
          <w:rFonts w:ascii="Arial" w:eastAsia="Calibri" w:hAnsi="Arial" w:cs="Arial"/>
          <w:b/>
          <w:sz w:val="28"/>
          <w:szCs w:val="28"/>
          <w:lang w:val="en-US" w:eastAsia="en-US"/>
        </w:rPr>
      </w:pPr>
    </w:p>
    <w:p w14:paraId="34CEAE67" w14:textId="1678D5AA"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t xml:space="preserve">Ahmad, S.S. (2016) 'Research and its importance,' </w:t>
      </w:r>
      <w:r w:rsidRPr="001C32A5">
        <w:rPr>
          <w:rFonts w:ascii="Arial" w:eastAsia="Times New Roman" w:hAnsi="Arial" w:cs="Arial"/>
          <w:i/>
          <w:iCs/>
          <w:lang w:val="en-US" w:eastAsia="en-US"/>
        </w:rPr>
        <w:t>The Ophthalmology - Open Journal</w:t>
      </w:r>
      <w:r w:rsidRPr="001C32A5">
        <w:rPr>
          <w:rFonts w:ascii="Arial" w:eastAsia="Times New Roman" w:hAnsi="Arial" w:cs="Arial"/>
          <w:lang w:val="en-US" w:eastAsia="en-US"/>
        </w:rPr>
        <w:t xml:space="preserve">, 1(1), pp. e1–e2. </w:t>
      </w:r>
      <w:hyperlink r:id="rId8" w:history="1">
        <w:r w:rsidRPr="001C32A5">
          <w:rPr>
            <w:rStyle w:val="Hyperlink"/>
            <w:rFonts w:ascii="Arial" w:eastAsia="Times New Roman" w:hAnsi="Arial" w:cs="Arial"/>
            <w:lang w:val="en-US" w:eastAsia="en-US"/>
          </w:rPr>
          <w:t>https://doi.org/10.17140/ooj-1-e001</w:t>
        </w:r>
      </w:hyperlink>
      <w:r w:rsidRPr="001C32A5">
        <w:rPr>
          <w:rFonts w:ascii="Arial" w:eastAsia="Times New Roman" w:hAnsi="Arial" w:cs="Arial"/>
          <w:lang w:val="en-US" w:eastAsia="en-US"/>
        </w:rPr>
        <w:t>.</w:t>
      </w:r>
    </w:p>
    <w:p w14:paraId="30ADF4A4" w14:textId="4DA76153"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t xml:space="preserve">Kelley, K. (2003) 'Good practice in the conduct and reporting of survey research,' </w:t>
      </w:r>
      <w:r w:rsidRPr="001C32A5">
        <w:rPr>
          <w:rFonts w:ascii="Arial" w:eastAsia="Times New Roman" w:hAnsi="Arial" w:cs="Arial"/>
          <w:i/>
          <w:iCs/>
          <w:lang w:val="en-US" w:eastAsia="en-US"/>
        </w:rPr>
        <w:t>International Journal for Quality in Health Care</w:t>
      </w:r>
      <w:r w:rsidRPr="001C32A5">
        <w:rPr>
          <w:rFonts w:ascii="Arial" w:eastAsia="Times New Roman" w:hAnsi="Arial" w:cs="Arial"/>
          <w:lang w:val="en-US" w:eastAsia="en-US"/>
        </w:rPr>
        <w:t xml:space="preserve">, 15(3), pp. 261–266. </w:t>
      </w:r>
      <w:hyperlink r:id="rId9" w:history="1">
        <w:r w:rsidRPr="001C32A5">
          <w:rPr>
            <w:rStyle w:val="Hyperlink"/>
            <w:rFonts w:ascii="Arial" w:eastAsia="Times New Roman" w:hAnsi="Arial" w:cs="Arial"/>
            <w:lang w:val="en-US" w:eastAsia="en-US"/>
          </w:rPr>
          <w:t>https://doi.org/10.1093/intqhc/mzg031</w:t>
        </w:r>
      </w:hyperlink>
      <w:r w:rsidRPr="001C32A5">
        <w:rPr>
          <w:rFonts w:ascii="Arial" w:eastAsia="Times New Roman" w:hAnsi="Arial" w:cs="Arial"/>
          <w:lang w:val="en-US" w:eastAsia="en-US"/>
        </w:rPr>
        <w:t>.</w:t>
      </w:r>
    </w:p>
    <w:p w14:paraId="1CD3805F" w14:textId="4D9BC924"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Naegle</w:t>
      </w:r>
      <w:proofErr w:type="spellEnd"/>
      <w:r w:rsidRPr="001C32A5">
        <w:rPr>
          <w:rFonts w:ascii="Arial" w:eastAsia="Times New Roman" w:hAnsi="Arial" w:cs="Arial"/>
          <w:lang w:val="en-US" w:eastAsia="en-US"/>
        </w:rPr>
        <w:t xml:space="preserve">, K.M. (2021) 'Ten simple rules for effective presentation slides,' </w:t>
      </w:r>
      <w:proofErr w:type="spellStart"/>
      <w:r w:rsidRPr="001C32A5">
        <w:rPr>
          <w:rFonts w:ascii="Arial" w:eastAsia="Times New Roman" w:hAnsi="Arial" w:cs="Arial"/>
          <w:i/>
          <w:iCs/>
          <w:lang w:val="en-US" w:eastAsia="en-US"/>
        </w:rPr>
        <w:t>PLoS</w:t>
      </w:r>
      <w:proofErr w:type="spellEnd"/>
      <w:r w:rsidRPr="001C32A5">
        <w:rPr>
          <w:rFonts w:ascii="Arial" w:eastAsia="Times New Roman" w:hAnsi="Arial" w:cs="Arial"/>
          <w:i/>
          <w:iCs/>
          <w:lang w:val="en-US" w:eastAsia="en-US"/>
        </w:rPr>
        <w:t xml:space="preserve"> Computational Biology</w:t>
      </w:r>
      <w:r w:rsidRPr="001C32A5">
        <w:rPr>
          <w:rFonts w:ascii="Arial" w:eastAsia="Times New Roman" w:hAnsi="Arial" w:cs="Arial"/>
          <w:lang w:val="en-US" w:eastAsia="en-US"/>
        </w:rPr>
        <w:t xml:space="preserve">, 17(12), p. e1009554. </w:t>
      </w:r>
      <w:hyperlink r:id="rId10" w:history="1">
        <w:r w:rsidRPr="001C32A5">
          <w:rPr>
            <w:rStyle w:val="Hyperlink"/>
            <w:rFonts w:ascii="Arial" w:eastAsia="Times New Roman" w:hAnsi="Arial" w:cs="Arial"/>
            <w:lang w:val="en-US" w:eastAsia="en-US"/>
          </w:rPr>
          <w:t>https://doi.org/10.1371/journal.pcbi.1009554</w:t>
        </w:r>
      </w:hyperlink>
      <w:r w:rsidRPr="001C32A5">
        <w:rPr>
          <w:rFonts w:ascii="Arial" w:eastAsia="Times New Roman" w:hAnsi="Arial" w:cs="Arial"/>
          <w:lang w:val="en-US" w:eastAsia="en-US"/>
        </w:rPr>
        <w:t>.</w:t>
      </w:r>
    </w:p>
    <w:p w14:paraId="761E9E67" w14:textId="65DD8E44"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t xml:space="preserve">Sari, A.B.P. </w:t>
      </w:r>
      <w:r w:rsidRPr="001C32A5">
        <w:rPr>
          <w:rFonts w:ascii="Arial" w:eastAsia="Times New Roman" w:hAnsi="Arial" w:cs="Arial"/>
          <w:i/>
          <w:iCs/>
          <w:lang w:val="en-US" w:eastAsia="en-US"/>
        </w:rPr>
        <w:t>et al.</w:t>
      </w:r>
      <w:r w:rsidRPr="001C32A5">
        <w:rPr>
          <w:rFonts w:ascii="Arial" w:eastAsia="Times New Roman" w:hAnsi="Arial" w:cs="Arial"/>
          <w:lang w:val="en-US" w:eastAsia="en-US"/>
        </w:rPr>
        <w:t xml:space="preserve"> (2020) 'Google Forms as an EFL Assessment Tool: Positive Features and Limitations,' </w:t>
      </w:r>
      <w:r w:rsidRPr="001C32A5">
        <w:rPr>
          <w:rFonts w:ascii="Arial" w:eastAsia="Times New Roman" w:hAnsi="Arial" w:cs="Arial"/>
          <w:i/>
          <w:iCs/>
          <w:lang w:val="en-US" w:eastAsia="en-US"/>
        </w:rPr>
        <w:t>Premise Journal of English Education</w:t>
      </w:r>
      <w:r w:rsidRPr="001C32A5">
        <w:rPr>
          <w:rFonts w:ascii="Arial" w:eastAsia="Times New Roman" w:hAnsi="Arial" w:cs="Arial"/>
          <w:lang w:val="en-US" w:eastAsia="en-US"/>
        </w:rPr>
        <w:t xml:space="preserve">, 9(2), p. 231. </w:t>
      </w:r>
      <w:hyperlink r:id="rId11" w:history="1">
        <w:r w:rsidRPr="001C32A5">
          <w:rPr>
            <w:rStyle w:val="Hyperlink"/>
            <w:rFonts w:ascii="Arial" w:eastAsia="Times New Roman" w:hAnsi="Arial" w:cs="Arial"/>
            <w:lang w:val="en-US" w:eastAsia="en-US"/>
          </w:rPr>
          <w:t>https://doi.org/10.24127/pj.v9i2.3037</w:t>
        </w:r>
      </w:hyperlink>
      <w:r w:rsidRPr="001C32A5">
        <w:rPr>
          <w:rFonts w:ascii="Arial" w:eastAsia="Times New Roman" w:hAnsi="Arial" w:cs="Arial"/>
          <w:lang w:val="en-US" w:eastAsia="en-US"/>
        </w:rPr>
        <w:t>.</w:t>
      </w:r>
    </w:p>
    <w:p w14:paraId="6183CF97" w14:textId="68AE6049"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t xml:space="preserve">Tan, C.-Y. </w:t>
      </w:r>
      <w:r w:rsidRPr="001C32A5">
        <w:rPr>
          <w:rFonts w:ascii="Arial" w:eastAsia="Times New Roman" w:hAnsi="Arial" w:cs="Arial"/>
          <w:i/>
          <w:iCs/>
          <w:lang w:val="en-US" w:eastAsia="en-US"/>
        </w:rPr>
        <w:t>et al.</w:t>
      </w:r>
      <w:r w:rsidRPr="001C32A5">
        <w:rPr>
          <w:rFonts w:ascii="Arial" w:eastAsia="Times New Roman" w:hAnsi="Arial" w:cs="Arial"/>
          <w:lang w:val="en-US" w:eastAsia="en-US"/>
        </w:rPr>
        <w:t xml:space="preserve"> (2021) 'Being creative makes you happier: The Positive Effect of Creativity on Subjective Well-Being,' </w:t>
      </w:r>
      <w:r w:rsidRPr="001C32A5">
        <w:rPr>
          <w:rFonts w:ascii="Arial" w:eastAsia="Times New Roman" w:hAnsi="Arial" w:cs="Arial"/>
          <w:i/>
          <w:iCs/>
          <w:lang w:val="en-US" w:eastAsia="en-US"/>
        </w:rPr>
        <w:t>International Journal of Environmental Research and Public Health</w:t>
      </w:r>
      <w:r w:rsidRPr="001C32A5">
        <w:rPr>
          <w:rFonts w:ascii="Arial" w:eastAsia="Times New Roman" w:hAnsi="Arial" w:cs="Arial"/>
          <w:lang w:val="en-US" w:eastAsia="en-US"/>
        </w:rPr>
        <w:t xml:space="preserve">, 18(14), p. 7244. </w:t>
      </w:r>
      <w:hyperlink r:id="rId12" w:history="1">
        <w:r w:rsidRPr="001C32A5">
          <w:rPr>
            <w:rStyle w:val="Hyperlink"/>
            <w:rFonts w:ascii="Arial" w:eastAsia="Times New Roman" w:hAnsi="Arial" w:cs="Arial"/>
            <w:lang w:val="en-US" w:eastAsia="en-US"/>
          </w:rPr>
          <w:t>https://doi.org/10.3390/ijerph18147244</w:t>
        </w:r>
      </w:hyperlink>
      <w:r w:rsidRPr="001C32A5">
        <w:rPr>
          <w:rFonts w:ascii="Arial" w:eastAsia="Times New Roman" w:hAnsi="Arial" w:cs="Arial"/>
          <w:lang w:val="en-US" w:eastAsia="en-US"/>
        </w:rPr>
        <w:t>.</w:t>
      </w:r>
    </w:p>
    <w:p w14:paraId="0D58657D" w14:textId="09B55FB7"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Wellstead</w:t>
      </w:r>
      <w:proofErr w:type="spellEnd"/>
      <w:r w:rsidRPr="001C32A5">
        <w:rPr>
          <w:rFonts w:ascii="Arial" w:eastAsia="Times New Roman" w:hAnsi="Arial" w:cs="Arial"/>
          <w:lang w:val="en-US" w:eastAsia="en-US"/>
        </w:rPr>
        <w:t xml:space="preserve">, G. </w:t>
      </w:r>
      <w:r w:rsidRPr="001C32A5">
        <w:rPr>
          <w:rFonts w:ascii="Arial" w:eastAsia="Times New Roman" w:hAnsi="Arial" w:cs="Arial"/>
          <w:i/>
          <w:iCs/>
          <w:lang w:val="en-US" w:eastAsia="en-US"/>
        </w:rPr>
        <w:t>et al.</w:t>
      </w:r>
      <w:r w:rsidRPr="001C32A5">
        <w:rPr>
          <w:rFonts w:ascii="Arial" w:eastAsia="Times New Roman" w:hAnsi="Arial" w:cs="Arial"/>
          <w:lang w:val="en-US" w:eastAsia="en-US"/>
        </w:rPr>
        <w:t xml:space="preserve"> (2017) 'How to deliver an oral presentation,' </w:t>
      </w:r>
      <w:r w:rsidRPr="001C32A5">
        <w:rPr>
          <w:rFonts w:ascii="Arial" w:eastAsia="Times New Roman" w:hAnsi="Arial" w:cs="Arial"/>
          <w:i/>
          <w:iCs/>
          <w:lang w:val="en-US" w:eastAsia="en-US"/>
        </w:rPr>
        <w:t>International Journal of Surgery Oncology</w:t>
      </w:r>
      <w:r w:rsidRPr="001C32A5">
        <w:rPr>
          <w:rFonts w:ascii="Arial" w:eastAsia="Times New Roman" w:hAnsi="Arial" w:cs="Arial"/>
          <w:lang w:val="en-US" w:eastAsia="en-US"/>
        </w:rPr>
        <w:t xml:space="preserve">, 2(6), p. 25. </w:t>
      </w:r>
      <w:hyperlink r:id="rId13" w:history="1">
        <w:r w:rsidRPr="001C32A5">
          <w:rPr>
            <w:rStyle w:val="Hyperlink"/>
            <w:rFonts w:ascii="Arial" w:eastAsia="Times New Roman" w:hAnsi="Arial" w:cs="Arial"/>
            <w:lang w:val="en-US" w:eastAsia="en-US"/>
          </w:rPr>
          <w:t>https://doi.org/10.1097/ij9.0000000000000025</w:t>
        </w:r>
      </w:hyperlink>
      <w:r w:rsidRPr="001C32A5">
        <w:rPr>
          <w:rFonts w:ascii="Arial" w:eastAsia="Times New Roman" w:hAnsi="Arial" w:cs="Arial"/>
          <w:lang w:val="en-US" w:eastAsia="en-US"/>
        </w:rPr>
        <w:t>.</w:t>
      </w:r>
    </w:p>
    <w:p w14:paraId="55D7F7F1" w14:textId="4A76C774"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Radtke</w:t>
      </w:r>
      <w:proofErr w:type="spellEnd"/>
      <w:r w:rsidRPr="001C32A5">
        <w:rPr>
          <w:rFonts w:ascii="Arial" w:eastAsia="Times New Roman" w:hAnsi="Arial" w:cs="Arial"/>
          <w:lang w:val="en-US" w:eastAsia="en-US"/>
        </w:rPr>
        <w:t xml:space="preserve">, R.R. (2000) 'The Effects of Gender and Setting on Accountants’ Ethically Sensitive Decisions,' </w:t>
      </w:r>
      <w:r w:rsidRPr="001C32A5">
        <w:rPr>
          <w:rFonts w:ascii="Arial" w:eastAsia="Times New Roman" w:hAnsi="Arial" w:cs="Arial"/>
          <w:i/>
          <w:iCs/>
          <w:lang w:val="en-US" w:eastAsia="en-US"/>
        </w:rPr>
        <w:t>Journal of Business Ethics</w:t>
      </w:r>
      <w:r w:rsidRPr="001C32A5">
        <w:rPr>
          <w:rFonts w:ascii="Arial" w:eastAsia="Times New Roman" w:hAnsi="Arial" w:cs="Arial"/>
          <w:lang w:val="en-US" w:eastAsia="en-US"/>
        </w:rPr>
        <w:t xml:space="preserve">, 24(4), pp. 299–312. </w:t>
      </w:r>
      <w:hyperlink r:id="rId14" w:history="1">
        <w:r w:rsidRPr="001C32A5">
          <w:rPr>
            <w:rStyle w:val="Hyperlink"/>
            <w:rFonts w:ascii="Arial" w:eastAsia="Times New Roman" w:hAnsi="Arial" w:cs="Arial"/>
            <w:lang w:val="en-US" w:eastAsia="en-US"/>
          </w:rPr>
          <w:t>https://doi.org/10.1023/a:1006277331803</w:t>
        </w:r>
      </w:hyperlink>
      <w:r w:rsidRPr="001C32A5">
        <w:rPr>
          <w:rFonts w:ascii="Arial" w:eastAsia="Times New Roman" w:hAnsi="Arial" w:cs="Arial"/>
          <w:lang w:val="en-US" w:eastAsia="en-US"/>
        </w:rPr>
        <w:t>.</w:t>
      </w:r>
    </w:p>
    <w:p w14:paraId="162AF9AF" w14:textId="4C9CAABC"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Adekoya</w:t>
      </w:r>
      <w:proofErr w:type="spellEnd"/>
      <w:r w:rsidRPr="001C32A5">
        <w:rPr>
          <w:rFonts w:ascii="Arial" w:eastAsia="Times New Roman" w:hAnsi="Arial" w:cs="Arial"/>
          <w:lang w:val="en-US" w:eastAsia="en-US"/>
        </w:rPr>
        <w:t xml:space="preserve">, A.C., </w:t>
      </w:r>
      <w:proofErr w:type="spellStart"/>
      <w:r w:rsidRPr="001C32A5">
        <w:rPr>
          <w:rFonts w:ascii="Arial" w:eastAsia="Times New Roman" w:hAnsi="Arial" w:cs="Arial"/>
          <w:lang w:val="en-US" w:eastAsia="en-US"/>
        </w:rPr>
        <w:t>Oboh</w:t>
      </w:r>
      <w:proofErr w:type="spellEnd"/>
      <w:r w:rsidRPr="001C32A5">
        <w:rPr>
          <w:rFonts w:ascii="Arial" w:eastAsia="Times New Roman" w:hAnsi="Arial" w:cs="Arial"/>
          <w:lang w:val="en-US" w:eastAsia="en-US"/>
        </w:rPr>
        <w:t xml:space="preserve">, C.S. and </w:t>
      </w:r>
      <w:proofErr w:type="spellStart"/>
      <w:r w:rsidRPr="001C32A5">
        <w:rPr>
          <w:rFonts w:ascii="Arial" w:eastAsia="Times New Roman" w:hAnsi="Arial" w:cs="Arial"/>
          <w:lang w:val="en-US" w:eastAsia="en-US"/>
        </w:rPr>
        <w:t>Oyewumi</w:t>
      </w:r>
      <w:proofErr w:type="spellEnd"/>
      <w:r w:rsidRPr="001C32A5">
        <w:rPr>
          <w:rFonts w:ascii="Arial" w:eastAsia="Times New Roman" w:hAnsi="Arial" w:cs="Arial"/>
          <w:lang w:val="en-US" w:eastAsia="en-US"/>
        </w:rPr>
        <w:t xml:space="preserve">, O.R. (2020) 'Accountants perception of the factors influencing auditors’ ethical </w:t>
      </w:r>
      <w:proofErr w:type="spellStart"/>
      <w:r w:rsidRPr="001C32A5">
        <w:rPr>
          <w:rFonts w:ascii="Arial" w:eastAsia="Times New Roman" w:hAnsi="Arial" w:cs="Arial"/>
          <w:lang w:val="en-US" w:eastAsia="en-US"/>
        </w:rPr>
        <w:t>behaviour</w:t>
      </w:r>
      <w:proofErr w:type="spellEnd"/>
      <w:r w:rsidRPr="001C32A5">
        <w:rPr>
          <w:rFonts w:ascii="Arial" w:eastAsia="Times New Roman" w:hAnsi="Arial" w:cs="Arial"/>
          <w:lang w:val="en-US" w:eastAsia="en-US"/>
        </w:rPr>
        <w:t xml:space="preserve"> in Nigeria,' </w:t>
      </w:r>
      <w:proofErr w:type="spellStart"/>
      <w:r w:rsidRPr="001C32A5">
        <w:rPr>
          <w:rFonts w:ascii="Arial" w:eastAsia="Times New Roman" w:hAnsi="Arial" w:cs="Arial"/>
          <w:i/>
          <w:iCs/>
          <w:lang w:val="en-US" w:eastAsia="en-US"/>
        </w:rPr>
        <w:t>Heliyon</w:t>
      </w:r>
      <w:proofErr w:type="spellEnd"/>
      <w:r w:rsidRPr="001C32A5">
        <w:rPr>
          <w:rFonts w:ascii="Arial" w:eastAsia="Times New Roman" w:hAnsi="Arial" w:cs="Arial"/>
          <w:lang w:val="en-US" w:eastAsia="en-US"/>
        </w:rPr>
        <w:t xml:space="preserve">, 6(6), p. e04271. </w:t>
      </w:r>
      <w:hyperlink r:id="rId15" w:history="1">
        <w:r w:rsidRPr="001C32A5">
          <w:rPr>
            <w:rStyle w:val="Hyperlink"/>
            <w:rFonts w:ascii="Arial" w:eastAsia="Times New Roman" w:hAnsi="Arial" w:cs="Arial"/>
            <w:lang w:val="en-US" w:eastAsia="en-US"/>
          </w:rPr>
          <w:t>https://doi.org/10.1016/j.heliyon.2020.e04271</w:t>
        </w:r>
      </w:hyperlink>
      <w:r w:rsidRPr="001C32A5">
        <w:rPr>
          <w:rFonts w:ascii="Arial" w:eastAsia="Times New Roman" w:hAnsi="Arial" w:cs="Arial"/>
          <w:lang w:val="en-US" w:eastAsia="en-US"/>
        </w:rPr>
        <w:t>.</w:t>
      </w:r>
    </w:p>
    <w:p w14:paraId="3866211C" w14:textId="5573A8DB"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Bhasin</w:t>
      </w:r>
      <w:proofErr w:type="spellEnd"/>
      <w:r w:rsidRPr="001C32A5">
        <w:rPr>
          <w:rFonts w:ascii="Arial" w:eastAsia="Times New Roman" w:hAnsi="Arial" w:cs="Arial"/>
          <w:lang w:val="en-US" w:eastAsia="en-US"/>
        </w:rPr>
        <w:t xml:space="preserve">, M.L. (2016) 'Accounting Manipulation Practices in Financial Statements: An Experience of an Asian Economy,' </w:t>
      </w:r>
      <w:r w:rsidRPr="001C32A5">
        <w:rPr>
          <w:rFonts w:ascii="Arial" w:eastAsia="Times New Roman" w:hAnsi="Arial" w:cs="Arial"/>
          <w:i/>
          <w:iCs/>
          <w:lang w:val="en-US" w:eastAsia="en-US"/>
        </w:rPr>
        <w:t>International Journal of Economics and Financial Research</w:t>
      </w:r>
      <w:r w:rsidRPr="001C32A5">
        <w:rPr>
          <w:rFonts w:ascii="Arial" w:eastAsia="Times New Roman" w:hAnsi="Arial" w:cs="Arial"/>
          <w:lang w:val="en-US" w:eastAsia="en-US"/>
        </w:rPr>
        <w:t xml:space="preserve">, 2(11), pp. 199–214. </w:t>
      </w:r>
      <w:hyperlink r:id="rId16" w:history="1">
        <w:r w:rsidRPr="001C32A5">
          <w:rPr>
            <w:rStyle w:val="Hyperlink"/>
            <w:rFonts w:ascii="Arial" w:eastAsia="Times New Roman" w:hAnsi="Arial" w:cs="Arial"/>
            <w:lang w:val="en-US" w:eastAsia="en-US"/>
          </w:rPr>
          <w:t>https://econpapers.repec.org/RePEc:arp:ijefrr:2016:p:199-214</w:t>
        </w:r>
      </w:hyperlink>
      <w:r w:rsidRPr="001C32A5">
        <w:rPr>
          <w:rFonts w:ascii="Arial" w:eastAsia="Times New Roman" w:hAnsi="Arial" w:cs="Arial"/>
          <w:lang w:val="en-US" w:eastAsia="en-US"/>
        </w:rPr>
        <w:t>.</w:t>
      </w:r>
    </w:p>
    <w:p w14:paraId="34233B26" w14:textId="77777777"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Boateng</w:t>
      </w:r>
      <w:proofErr w:type="spellEnd"/>
      <w:r w:rsidRPr="001C32A5">
        <w:rPr>
          <w:rFonts w:ascii="Arial" w:eastAsia="Times New Roman" w:hAnsi="Arial" w:cs="Arial"/>
          <w:lang w:val="en-US" w:eastAsia="en-US"/>
        </w:rPr>
        <w:t xml:space="preserve">, E.A. and Agyapong, D. (2017) 'Gender and Ethical </w:t>
      </w:r>
      <w:proofErr w:type="spellStart"/>
      <w:r w:rsidRPr="001C32A5">
        <w:rPr>
          <w:rFonts w:ascii="Arial" w:eastAsia="Times New Roman" w:hAnsi="Arial" w:cs="Arial"/>
          <w:lang w:val="en-US" w:eastAsia="en-US"/>
        </w:rPr>
        <w:t>Behaviour</w:t>
      </w:r>
      <w:proofErr w:type="spellEnd"/>
      <w:r w:rsidRPr="001C32A5">
        <w:rPr>
          <w:rFonts w:ascii="Arial" w:eastAsia="Times New Roman" w:hAnsi="Arial" w:cs="Arial"/>
          <w:lang w:val="en-US" w:eastAsia="en-US"/>
        </w:rPr>
        <w:t xml:space="preserve"> of accounting Students: An Empirical Evidence of University of Cape Coast,' </w:t>
      </w:r>
      <w:r w:rsidRPr="001C32A5">
        <w:rPr>
          <w:rFonts w:ascii="Arial" w:eastAsia="Times New Roman" w:hAnsi="Arial" w:cs="Arial"/>
          <w:i/>
          <w:iCs/>
          <w:lang w:val="en-US" w:eastAsia="en-US"/>
        </w:rPr>
        <w:t>Research Journal of Finance and Accounting</w:t>
      </w:r>
      <w:r w:rsidRPr="001C32A5">
        <w:rPr>
          <w:rFonts w:ascii="Arial" w:eastAsia="Times New Roman" w:hAnsi="Arial" w:cs="Arial"/>
          <w:lang w:val="en-US" w:eastAsia="en-US"/>
        </w:rPr>
        <w:t xml:space="preserve">, 8(4), pp. 49–56. </w:t>
      </w:r>
      <w:hyperlink r:id="rId17" w:history="1">
        <w:r w:rsidRPr="001C32A5">
          <w:rPr>
            <w:rFonts w:ascii="Arial" w:eastAsia="Times New Roman" w:hAnsi="Arial" w:cs="Arial"/>
            <w:color w:val="0563C1"/>
            <w:u w:val="single"/>
            <w:lang w:val="en-US" w:eastAsia="en-US"/>
          </w:rPr>
          <w:t>https://www.iiste.org/Journals/index.php/RJFA/article/view/35703</w:t>
        </w:r>
      </w:hyperlink>
      <w:r w:rsidRPr="001C32A5">
        <w:rPr>
          <w:rFonts w:ascii="Arial" w:eastAsia="Times New Roman" w:hAnsi="Arial" w:cs="Arial"/>
          <w:lang w:val="en-US" w:eastAsia="en-US"/>
        </w:rPr>
        <w:t>.</w:t>
      </w:r>
    </w:p>
    <w:p w14:paraId="27D38817" w14:textId="7E03DCC0"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t xml:space="preserve">Salman, K.R. and </w:t>
      </w:r>
      <w:proofErr w:type="spellStart"/>
      <w:r w:rsidRPr="001C32A5">
        <w:rPr>
          <w:rFonts w:ascii="Arial" w:eastAsia="Times New Roman" w:hAnsi="Arial" w:cs="Arial"/>
          <w:lang w:val="en-US" w:eastAsia="en-US"/>
        </w:rPr>
        <w:t>Setyaningrum</w:t>
      </w:r>
      <w:proofErr w:type="spellEnd"/>
      <w:r w:rsidRPr="001C32A5">
        <w:rPr>
          <w:rFonts w:ascii="Arial" w:eastAsia="Times New Roman" w:hAnsi="Arial" w:cs="Arial"/>
          <w:lang w:val="en-US" w:eastAsia="en-US"/>
        </w:rPr>
        <w:t xml:space="preserve">, B. (2023) 'The effects of audit firm size, audit tenure, and audit rotation on audit quality,' </w:t>
      </w:r>
      <w:proofErr w:type="spellStart"/>
      <w:r w:rsidRPr="001C32A5">
        <w:rPr>
          <w:rFonts w:ascii="Arial" w:eastAsia="Times New Roman" w:hAnsi="Arial" w:cs="Arial"/>
          <w:i/>
          <w:iCs/>
          <w:lang w:val="en-US" w:eastAsia="en-US"/>
        </w:rPr>
        <w:t>Ilomata</w:t>
      </w:r>
      <w:proofErr w:type="spellEnd"/>
      <w:r w:rsidRPr="001C32A5">
        <w:rPr>
          <w:rFonts w:ascii="Arial" w:eastAsia="Times New Roman" w:hAnsi="Arial" w:cs="Arial"/>
          <w:i/>
          <w:iCs/>
          <w:lang w:val="en-US" w:eastAsia="en-US"/>
        </w:rPr>
        <w:t xml:space="preserve"> International Journal of Tax and Accounting</w:t>
      </w:r>
      <w:r w:rsidRPr="001C32A5">
        <w:rPr>
          <w:rFonts w:ascii="Arial" w:eastAsia="Times New Roman" w:hAnsi="Arial" w:cs="Arial"/>
          <w:lang w:val="en-US" w:eastAsia="en-US"/>
        </w:rPr>
        <w:t xml:space="preserve">, 4(1), pp. 92–103. </w:t>
      </w:r>
      <w:hyperlink r:id="rId18" w:history="1">
        <w:r w:rsidRPr="001C32A5">
          <w:rPr>
            <w:rStyle w:val="Hyperlink"/>
            <w:rFonts w:ascii="Arial" w:eastAsia="Times New Roman" w:hAnsi="Arial" w:cs="Arial"/>
            <w:lang w:val="en-US" w:eastAsia="en-US"/>
          </w:rPr>
          <w:t>https://doi.org/10.52728/ijtc.v4i1.636</w:t>
        </w:r>
      </w:hyperlink>
      <w:r w:rsidRPr="001C32A5">
        <w:rPr>
          <w:rFonts w:ascii="Arial" w:eastAsia="Times New Roman" w:hAnsi="Arial" w:cs="Arial"/>
          <w:lang w:val="en-US" w:eastAsia="en-US"/>
        </w:rPr>
        <w:t>.</w:t>
      </w:r>
    </w:p>
    <w:p w14:paraId="19972042" w14:textId="5D56901F" w:rsidR="001C32A5" w:rsidRPr="001C32A5" w:rsidRDefault="001C32A5" w:rsidP="00C73856">
      <w:pPr>
        <w:spacing w:after="0" w:line="360" w:lineRule="auto"/>
        <w:ind w:left="720" w:hanging="720"/>
        <w:jc w:val="both"/>
        <w:rPr>
          <w:rFonts w:ascii="Arial" w:eastAsia="Times New Roman" w:hAnsi="Arial" w:cs="Arial"/>
          <w:lang w:val="en-US" w:eastAsia="en-US"/>
        </w:rPr>
      </w:pPr>
      <w:r w:rsidRPr="001C32A5">
        <w:rPr>
          <w:rFonts w:ascii="Arial" w:eastAsia="Times New Roman" w:hAnsi="Arial" w:cs="Arial"/>
          <w:lang w:val="en-US" w:eastAsia="en-US"/>
        </w:rPr>
        <w:lastRenderedPageBreak/>
        <w:t xml:space="preserve">Chen, J.Z., </w:t>
      </w:r>
      <w:proofErr w:type="spellStart"/>
      <w:r w:rsidRPr="001C32A5">
        <w:rPr>
          <w:rFonts w:ascii="Arial" w:eastAsia="Times New Roman" w:hAnsi="Arial" w:cs="Arial"/>
          <w:lang w:val="en-US" w:eastAsia="en-US"/>
        </w:rPr>
        <w:t>Elemes</w:t>
      </w:r>
      <w:proofErr w:type="spellEnd"/>
      <w:r w:rsidRPr="001C32A5">
        <w:rPr>
          <w:rFonts w:ascii="Arial" w:eastAsia="Times New Roman" w:hAnsi="Arial" w:cs="Arial"/>
          <w:lang w:val="en-US" w:eastAsia="en-US"/>
        </w:rPr>
        <w:t xml:space="preserve">, A. and Lobo, G.J. (2021) 'David versus Goliath: The Relation between Auditor Size and Audit Quality for U.K. Private Firms,' </w:t>
      </w:r>
      <w:r w:rsidRPr="001C32A5">
        <w:rPr>
          <w:rFonts w:ascii="Arial" w:eastAsia="Times New Roman" w:hAnsi="Arial" w:cs="Arial"/>
          <w:i/>
          <w:iCs/>
          <w:lang w:val="en-US" w:eastAsia="en-US"/>
        </w:rPr>
        <w:t>European Accounting Review</w:t>
      </w:r>
      <w:r w:rsidRPr="001C32A5">
        <w:rPr>
          <w:rFonts w:ascii="Arial" w:eastAsia="Times New Roman" w:hAnsi="Arial" w:cs="Arial"/>
          <w:lang w:val="en-US" w:eastAsia="en-US"/>
        </w:rPr>
        <w:t xml:space="preserve">, 32(2), pp. 447–480. </w:t>
      </w:r>
      <w:hyperlink r:id="rId19" w:history="1">
        <w:r w:rsidRPr="001C32A5">
          <w:rPr>
            <w:rStyle w:val="Hyperlink"/>
            <w:rFonts w:ascii="Arial" w:eastAsia="Times New Roman" w:hAnsi="Arial" w:cs="Arial"/>
            <w:lang w:val="en-US" w:eastAsia="en-US"/>
          </w:rPr>
          <w:t>https://doi.org/10.1080/09638180.2021.1986090</w:t>
        </w:r>
      </w:hyperlink>
      <w:r w:rsidRPr="001C32A5">
        <w:rPr>
          <w:rFonts w:ascii="Arial" w:eastAsia="Times New Roman" w:hAnsi="Arial" w:cs="Arial"/>
          <w:lang w:val="en-US" w:eastAsia="en-US"/>
        </w:rPr>
        <w:t>.</w:t>
      </w:r>
    </w:p>
    <w:p w14:paraId="2A1FAF08" w14:textId="56202094" w:rsidR="001C32A5" w:rsidRPr="001C32A5" w:rsidRDefault="001C32A5" w:rsidP="00C73856">
      <w:pPr>
        <w:spacing w:after="0" w:line="360" w:lineRule="auto"/>
        <w:ind w:left="720" w:hanging="720"/>
        <w:jc w:val="both"/>
        <w:rPr>
          <w:rFonts w:ascii="Arial" w:eastAsia="Times New Roman" w:hAnsi="Arial" w:cs="Arial"/>
          <w:lang w:val="en-US" w:eastAsia="en-US"/>
        </w:rPr>
      </w:pPr>
      <w:proofErr w:type="spellStart"/>
      <w:r w:rsidRPr="001C32A5">
        <w:rPr>
          <w:rFonts w:ascii="Arial" w:eastAsia="Times New Roman" w:hAnsi="Arial" w:cs="Arial"/>
          <w:lang w:val="en-US" w:eastAsia="en-US"/>
        </w:rPr>
        <w:t>Ettredge</w:t>
      </w:r>
      <w:proofErr w:type="spellEnd"/>
      <w:r w:rsidRPr="001C32A5">
        <w:rPr>
          <w:rFonts w:ascii="Arial" w:eastAsia="Times New Roman" w:hAnsi="Arial" w:cs="Arial"/>
          <w:lang w:val="en-US" w:eastAsia="en-US"/>
        </w:rPr>
        <w:t xml:space="preserve">, M. </w:t>
      </w:r>
      <w:r w:rsidRPr="001C32A5">
        <w:rPr>
          <w:rFonts w:ascii="Arial" w:eastAsia="Times New Roman" w:hAnsi="Arial" w:cs="Arial"/>
          <w:i/>
          <w:iCs/>
          <w:lang w:val="en-US" w:eastAsia="en-US"/>
        </w:rPr>
        <w:t>et al.</w:t>
      </w:r>
      <w:r w:rsidRPr="001C32A5">
        <w:rPr>
          <w:rFonts w:ascii="Arial" w:eastAsia="Times New Roman" w:hAnsi="Arial" w:cs="Arial"/>
          <w:lang w:val="en-US" w:eastAsia="en-US"/>
        </w:rPr>
        <w:t xml:space="preserve"> (2017) 'Client pressure and auditor independence: Evidence from the “Great Recession” of 2007–2009,' </w:t>
      </w:r>
      <w:r w:rsidRPr="001C32A5">
        <w:rPr>
          <w:rFonts w:ascii="Arial" w:eastAsia="Times New Roman" w:hAnsi="Arial" w:cs="Arial"/>
          <w:i/>
          <w:iCs/>
          <w:lang w:val="en-US" w:eastAsia="en-US"/>
        </w:rPr>
        <w:t>Journal of Accounting and Public Policy</w:t>
      </w:r>
      <w:r w:rsidRPr="001C32A5">
        <w:rPr>
          <w:rFonts w:ascii="Arial" w:eastAsia="Times New Roman" w:hAnsi="Arial" w:cs="Arial"/>
          <w:lang w:val="en-US" w:eastAsia="en-US"/>
        </w:rPr>
        <w:t xml:space="preserve">, 36(4), pp. 262–283. </w:t>
      </w:r>
      <w:hyperlink r:id="rId20" w:history="1">
        <w:r w:rsidRPr="001C32A5">
          <w:rPr>
            <w:rStyle w:val="Hyperlink"/>
            <w:rFonts w:ascii="Arial" w:eastAsia="Times New Roman" w:hAnsi="Arial" w:cs="Arial"/>
            <w:lang w:val="en-US" w:eastAsia="en-US"/>
          </w:rPr>
          <w:t>https://doi.org/10.1016/j.jaccpubpol.2017.05.004</w:t>
        </w:r>
      </w:hyperlink>
      <w:r w:rsidRPr="001C32A5">
        <w:rPr>
          <w:rFonts w:ascii="Arial" w:eastAsia="Times New Roman" w:hAnsi="Arial" w:cs="Arial"/>
          <w:lang w:val="en-US" w:eastAsia="en-US"/>
        </w:rPr>
        <w:t>.</w:t>
      </w:r>
    </w:p>
    <w:p w14:paraId="14D52D98" w14:textId="490FF933" w:rsidR="001C32A5" w:rsidRPr="00C73856" w:rsidRDefault="001C32A5" w:rsidP="00C73856">
      <w:pPr>
        <w:spacing w:after="0" w:line="360" w:lineRule="auto"/>
        <w:ind w:left="720" w:hanging="720"/>
        <w:jc w:val="both"/>
        <w:rPr>
          <w:rFonts w:ascii="Arial" w:eastAsia="Times New Roman" w:hAnsi="Arial" w:cs="Arial"/>
          <w:lang w:val="en-US" w:eastAsia="en-US"/>
        </w:rPr>
      </w:pPr>
      <w:r w:rsidRPr="00C73856">
        <w:rPr>
          <w:rFonts w:ascii="Arial" w:eastAsia="Times New Roman" w:hAnsi="Arial" w:cs="Arial"/>
          <w:lang w:val="en-US" w:eastAsia="en-US"/>
        </w:rPr>
        <w:t xml:space="preserve">Rashid, Y. </w:t>
      </w:r>
      <w:r w:rsidRPr="00C73856">
        <w:rPr>
          <w:rFonts w:ascii="Arial" w:eastAsia="Times New Roman" w:hAnsi="Arial" w:cs="Arial"/>
          <w:i/>
          <w:iCs/>
          <w:lang w:val="en-US" w:eastAsia="en-US"/>
        </w:rPr>
        <w:t>et al.</w:t>
      </w:r>
      <w:r w:rsidRPr="00C73856">
        <w:rPr>
          <w:rFonts w:ascii="Arial" w:eastAsia="Times New Roman" w:hAnsi="Arial" w:cs="Arial"/>
          <w:lang w:val="en-US" w:eastAsia="en-US"/>
        </w:rPr>
        <w:t xml:space="preserve"> (2019) 'Case study method: A Step-by-Step guide for business researchers,' </w:t>
      </w:r>
      <w:r w:rsidRPr="00C73856">
        <w:rPr>
          <w:rFonts w:ascii="Arial" w:eastAsia="Times New Roman" w:hAnsi="Arial" w:cs="Arial"/>
          <w:i/>
          <w:iCs/>
          <w:lang w:val="en-US" w:eastAsia="en-US"/>
        </w:rPr>
        <w:t>International Journal of Qualitative Methods</w:t>
      </w:r>
      <w:r w:rsidRPr="00C73856">
        <w:rPr>
          <w:rFonts w:ascii="Arial" w:eastAsia="Times New Roman" w:hAnsi="Arial" w:cs="Arial"/>
          <w:lang w:val="en-US" w:eastAsia="en-US"/>
        </w:rPr>
        <w:t xml:space="preserve">, 18, p. 160940691986242. </w:t>
      </w:r>
      <w:hyperlink r:id="rId21" w:history="1">
        <w:r w:rsidRPr="00C73856">
          <w:rPr>
            <w:rStyle w:val="Hyperlink"/>
            <w:rFonts w:ascii="Arial" w:eastAsia="Times New Roman" w:hAnsi="Arial" w:cs="Arial"/>
            <w:lang w:val="en-US" w:eastAsia="en-US"/>
          </w:rPr>
          <w:t>https://doi.org/10.1177/1609406919862424</w:t>
        </w:r>
      </w:hyperlink>
      <w:r w:rsidRPr="00C73856">
        <w:rPr>
          <w:rFonts w:ascii="Arial" w:eastAsia="Times New Roman" w:hAnsi="Arial" w:cs="Arial"/>
          <w:lang w:val="en-US" w:eastAsia="en-US"/>
        </w:rPr>
        <w:t>.</w:t>
      </w:r>
    </w:p>
    <w:p w14:paraId="7842E462" w14:textId="3923485B"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r w:rsidRPr="00C73856">
        <w:rPr>
          <w:rFonts w:ascii="Arial" w:hAnsi="Arial" w:cs="Arial"/>
          <w:sz w:val="22"/>
          <w:szCs w:val="22"/>
        </w:rPr>
        <w:t xml:space="preserve">Dodgson, N.A. (2019) 'What is the ‘'Opposite'’ of ‘'Blue'’? The Language of Color Wheels,' </w:t>
      </w:r>
      <w:r w:rsidRPr="00C73856">
        <w:rPr>
          <w:rFonts w:ascii="Arial" w:hAnsi="Arial" w:cs="Arial"/>
          <w:i/>
          <w:iCs/>
          <w:sz w:val="22"/>
          <w:szCs w:val="22"/>
        </w:rPr>
        <w:t>Journal of Perceptual Imaging</w:t>
      </w:r>
      <w:r w:rsidRPr="00C73856">
        <w:rPr>
          <w:rFonts w:ascii="Arial" w:hAnsi="Arial" w:cs="Arial"/>
          <w:sz w:val="22"/>
          <w:szCs w:val="22"/>
        </w:rPr>
        <w:t xml:space="preserve">, 2(1), pp. 010401–12. </w:t>
      </w:r>
      <w:hyperlink r:id="rId22" w:history="1">
        <w:r w:rsidRPr="00A44902">
          <w:rPr>
            <w:rStyle w:val="Hyperlink"/>
            <w:rFonts w:ascii="Arial" w:hAnsi="Arial" w:cs="Arial"/>
            <w:sz w:val="22"/>
            <w:szCs w:val="22"/>
          </w:rPr>
          <w:t>https://doi.org/10.2352/j.percept.imaging.2019.2.1.010401</w:t>
        </w:r>
      </w:hyperlink>
      <w:r w:rsidRPr="00C73856">
        <w:rPr>
          <w:rFonts w:ascii="Arial" w:hAnsi="Arial" w:cs="Arial"/>
          <w:sz w:val="22"/>
          <w:szCs w:val="22"/>
        </w:rPr>
        <w:t>.</w:t>
      </w:r>
    </w:p>
    <w:p w14:paraId="56BC71C4" w14:textId="12F3E54C"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r w:rsidRPr="00C73856">
        <w:rPr>
          <w:rFonts w:ascii="Arial" w:hAnsi="Arial" w:cs="Arial"/>
          <w:sz w:val="22"/>
          <w:szCs w:val="22"/>
        </w:rPr>
        <w:t xml:space="preserve">Hosseini, M.-S. </w:t>
      </w:r>
      <w:r w:rsidRPr="00C73856">
        <w:rPr>
          <w:rFonts w:ascii="Arial" w:hAnsi="Arial" w:cs="Arial"/>
          <w:i/>
          <w:iCs/>
          <w:sz w:val="22"/>
          <w:szCs w:val="22"/>
        </w:rPr>
        <w:t>et al.</w:t>
      </w:r>
      <w:r w:rsidRPr="00C73856">
        <w:rPr>
          <w:rFonts w:ascii="Arial" w:hAnsi="Arial" w:cs="Arial"/>
          <w:sz w:val="22"/>
          <w:szCs w:val="22"/>
        </w:rPr>
        <w:t xml:space="preserve"> (2023) 'Formulating research questions for Evidence-Based Studies,' </w:t>
      </w:r>
      <w:r w:rsidRPr="00C73856">
        <w:rPr>
          <w:rFonts w:ascii="Arial" w:hAnsi="Arial" w:cs="Arial"/>
          <w:i/>
          <w:iCs/>
          <w:sz w:val="22"/>
          <w:szCs w:val="22"/>
        </w:rPr>
        <w:t>Journal of Medicine Surgery and Public Health</w:t>
      </w:r>
      <w:r w:rsidRPr="00C73856">
        <w:rPr>
          <w:rFonts w:ascii="Arial" w:hAnsi="Arial" w:cs="Arial"/>
          <w:sz w:val="22"/>
          <w:szCs w:val="22"/>
        </w:rPr>
        <w:t xml:space="preserve">, p. 100046. </w:t>
      </w:r>
      <w:hyperlink r:id="rId23" w:history="1">
        <w:r w:rsidRPr="00C73856">
          <w:rPr>
            <w:rStyle w:val="Hyperlink"/>
            <w:rFonts w:ascii="Arial" w:hAnsi="Arial" w:cs="Arial"/>
            <w:sz w:val="22"/>
            <w:szCs w:val="22"/>
          </w:rPr>
          <w:t>https://doi.org/10.1016/j.glmedi.2023.100046</w:t>
        </w:r>
      </w:hyperlink>
      <w:r w:rsidRPr="00C73856">
        <w:rPr>
          <w:rFonts w:ascii="Arial" w:hAnsi="Arial" w:cs="Arial"/>
          <w:sz w:val="22"/>
          <w:szCs w:val="22"/>
        </w:rPr>
        <w:t>.</w:t>
      </w:r>
    </w:p>
    <w:p w14:paraId="208D9787" w14:textId="7853AFE7"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r w:rsidRPr="00C73856">
        <w:rPr>
          <w:rFonts w:ascii="Arial" w:hAnsi="Arial" w:cs="Arial"/>
          <w:sz w:val="22"/>
          <w:szCs w:val="22"/>
        </w:rPr>
        <w:t xml:space="preserve">Ji, Q., Zhao, Y. and Liu, L. (2019) 'Analysis of color language in poster design,' in </w:t>
      </w:r>
      <w:r w:rsidRPr="00C73856">
        <w:rPr>
          <w:rFonts w:ascii="Arial" w:hAnsi="Arial" w:cs="Arial"/>
          <w:i/>
          <w:iCs/>
          <w:sz w:val="22"/>
          <w:szCs w:val="22"/>
        </w:rPr>
        <w:t>Advances in intelligent systems and computing</w:t>
      </w:r>
      <w:r w:rsidRPr="00C73856">
        <w:rPr>
          <w:rFonts w:ascii="Arial" w:hAnsi="Arial" w:cs="Arial"/>
          <w:sz w:val="22"/>
          <w:szCs w:val="22"/>
        </w:rPr>
        <w:t xml:space="preserve">, pp. 250–262. </w:t>
      </w:r>
      <w:hyperlink r:id="rId24" w:history="1">
        <w:r w:rsidRPr="00C73856">
          <w:rPr>
            <w:rStyle w:val="Hyperlink"/>
            <w:rFonts w:ascii="Arial" w:hAnsi="Arial" w:cs="Arial"/>
            <w:sz w:val="22"/>
            <w:szCs w:val="22"/>
          </w:rPr>
          <w:t>https://doi.org/10.1007/978-3-030-20441-9_27</w:t>
        </w:r>
      </w:hyperlink>
      <w:r w:rsidRPr="00C73856">
        <w:rPr>
          <w:rFonts w:ascii="Arial" w:hAnsi="Arial" w:cs="Arial"/>
          <w:sz w:val="22"/>
          <w:szCs w:val="22"/>
        </w:rPr>
        <w:t>.</w:t>
      </w:r>
    </w:p>
    <w:p w14:paraId="48F57AF3" w14:textId="647584B1"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proofErr w:type="spellStart"/>
      <w:r w:rsidRPr="00C73856">
        <w:rPr>
          <w:rFonts w:ascii="Arial" w:hAnsi="Arial" w:cs="Arial"/>
          <w:sz w:val="22"/>
          <w:szCs w:val="22"/>
        </w:rPr>
        <w:t>Ratan</w:t>
      </w:r>
      <w:proofErr w:type="spellEnd"/>
      <w:r w:rsidRPr="00C73856">
        <w:rPr>
          <w:rFonts w:ascii="Arial" w:hAnsi="Arial" w:cs="Arial"/>
          <w:sz w:val="22"/>
          <w:szCs w:val="22"/>
        </w:rPr>
        <w:t xml:space="preserve">, S., </w:t>
      </w:r>
      <w:proofErr w:type="spellStart"/>
      <w:r w:rsidRPr="00C73856">
        <w:rPr>
          <w:rFonts w:ascii="Arial" w:hAnsi="Arial" w:cs="Arial"/>
          <w:sz w:val="22"/>
          <w:szCs w:val="22"/>
        </w:rPr>
        <w:t>Anand</w:t>
      </w:r>
      <w:proofErr w:type="spellEnd"/>
      <w:r w:rsidRPr="00C73856">
        <w:rPr>
          <w:rFonts w:ascii="Arial" w:hAnsi="Arial" w:cs="Arial"/>
          <w:sz w:val="22"/>
          <w:szCs w:val="22"/>
        </w:rPr>
        <w:t xml:space="preserve">, T. and </w:t>
      </w:r>
      <w:proofErr w:type="spellStart"/>
      <w:r w:rsidRPr="00C73856">
        <w:rPr>
          <w:rFonts w:ascii="Arial" w:hAnsi="Arial" w:cs="Arial"/>
          <w:sz w:val="22"/>
          <w:szCs w:val="22"/>
        </w:rPr>
        <w:t>Ratan</w:t>
      </w:r>
      <w:proofErr w:type="spellEnd"/>
      <w:r w:rsidRPr="00C73856">
        <w:rPr>
          <w:rFonts w:ascii="Arial" w:hAnsi="Arial" w:cs="Arial"/>
          <w:sz w:val="22"/>
          <w:szCs w:val="22"/>
        </w:rPr>
        <w:t xml:space="preserve">, J. (2019) 'Formulation of research question – Stepwise approach,' </w:t>
      </w:r>
      <w:r w:rsidRPr="00C73856">
        <w:rPr>
          <w:rFonts w:ascii="Arial" w:hAnsi="Arial" w:cs="Arial"/>
          <w:i/>
          <w:iCs/>
          <w:sz w:val="22"/>
          <w:szCs w:val="22"/>
        </w:rPr>
        <w:t>Journal of Indian Association of Pediatric Surgeons</w:t>
      </w:r>
      <w:r w:rsidRPr="00C73856">
        <w:rPr>
          <w:rFonts w:ascii="Arial" w:hAnsi="Arial" w:cs="Arial"/>
          <w:sz w:val="22"/>
          <w:szCs w:val="22"/>
        </w:rPr>
        <w:t xml:space="preserve">, 24(1), p. 15. </w:t>
      </w:r>
      <w:hyperlink r:id="rId25" w:history="1">
        <w:r w:rsidRPr="00C73856">
          <w:rPr>
            <w:rStyle w:val="Hyperlink"/>
            <w:rFonts w:ascii="Arial" w:hAnsi="Arial" w:cs="Arial"/>
            <w:sz w:val="22"/>
            <w:szCs w:val="22"/>
          </w:rPr>
          <w:t>https://doi.org/10.4103/jiaps.jiaps_76_18</w:t>
        </w:r>
      </w:hyperlink>
      <w:r w:rsidRPr="00C73856">
        <w:rPr>
          <w:rFonts w:ascii="Arial" w:hAnsi="Arial" w:cs="Arial"/>
          <w:sz w:val="22"/>
          <w:szCs w:val="22"/>
        </w:rPr>
        <w:t>.</w:t>
      </w:r>
    </w:p>
    <w:p w14:paraId="1B1FCF89" w14:textId="3D3BC9E4"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r w:rsidRPr="00C73856">
        <w:rPr>
          <w:rFonts w:ascii="Arial" w:hAnsi="Arial" w:cs="Arial"/>
          <w:sz w:val="22"/>
          <w:szCs w:val="22"/>
        </w:rPr>
        <w:t xml:space="preserve">Sousa, B.J. and Clark, A.M. (2019) 'Six insights to Make Better Academic Conference Posters,' </w:t>
      </w:r>
      <w:r w:rsidRPr="00C73856">
        <w:rPr>
          <w:rFonts w:ascii="Arial" w:hAnsi="Arial" w:cs="Arial"/>
          <w:i/>
          <w:iCs/>
          <w:sz w:val="22"/>
          <w:szCs w:val="22"/>
        </w:rPr>
        <w:t>International Journal of Qualitative Methods</w:t>
      </w:r>
      <w:r w:rsidRPr="00C73856">
        <w:rPr>
          <w:rFonts w:ascii="Arial" w:hAnsi="Arial" w:cs="Arial"/>
          <w:sz w:val="22"/>
          <w:szCs w:val="22"/>
        </w:rPr>
        <w:t xml:space="preserve">, 18, p. 160940691986237. </w:t>
      </w:r>
      <w:hyperlink r:id="rId26" w:history="1">
        <w:r w:rsidRPr="00A44902">
          <w:rPr>
            <w:rStyle w:val="Hyperlink"/>
            <w:rFonts w:ascii="Arial" w:hAnsi="Arial" w:cs="Arial"/>
            <w:sz w:val="22"/>
            <w:szCs w:val="22"/>
          </w:rPr>
          <w:t>https://doi.org/10.1177/1609406919862370</w:t>
        </w:r>
      </w:hyperlink>
      <w:r w:rsidRPr="00C73856">
        <w:rPr>
          <w:rFonts w:ascii="Arial" w:hAnsi="Arial" w:cs="Arial"/>
          <w:sz w:val="22"/>
          <w:szCs w:val="22"/>
        </w:rPr>
        <w:t>.</w:t>
      </w:r>
    </w:p>
    <w:p w14:paraId="3F43C171" w14:textId="34B88FCD" w:rsid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proofErr w:type="spellStart"/>
      <w:r w:rsidRPr="00C73856">
        <w:rPr>
          <w:rFonts w:ascii="Arial" w:hAnsi="Arial" w:cs="Arial"/>
          <w:sz w:val="22"/>
          <w:szCs w:val="22"/>
        </w:rPr>
        <w:t>Taherdoost</w:t>
      </w:r>
      <w:proofErr w:type="spellEnd"/>
      <w:r w:rsidRPr="00C73856">
        <w:rPr>
          <w:rFonts w:ascii="Arial" w:hAnsi="Arial" w:cs="Arial"/>
          <w:sz w:val="22"/>
          <w:szCs w:val="22"/>
        </w:rPr>
        <w:t xml:space="preserve">, H. (2016) 'Sampling methods in research methodology; How to choose a sampling technique for research,' </w:t>
      </w:r>
      <w:r w:rsidRPr="00C73856">
        <w:rPr>
          <w:rFonts w:ascii="Arial" w:hAnsi="Arial" w:cs="Arial"/>
          <w:i/>
          <w:iCs/>
          <w:sz w:val="22"/>
          <w:szCs w:val="22"/>
        </w:rPr>
        <w:t>SSRN Electronic Journal</w:t>
      </w:r>
      <w:r w:rsidRPr="00C73856">
        <w:rPr>
          <w:rFonts w:ascii="Arial" w:hAnsi="Arial" w:cs="Arial"/>
          <w:sz w:val="22"/>
          <w:szCs w:val="22"/>
        </w:rPr>
        <w:t xml:space="preserve"> [Preprint]. </w:t>
      </w:r>
      <w:hyperlink r:id="rId27" w:history="1">
        <w:r w:rsidRPr="00A44902">
          <w:rPr>
            <w:rStyle w:val="Hyperlink"/>
            <w:rFonts w:ascii="Arial" w:hAnsi="Arial" w:cs="Arial"/>
            <w:sz w:val="22"/>
            <w:szCs w:val="22"/>
          </w:rPr>
          <w:t>https://doi.org/10.2139/ssrn.3205035</w:t>
        </w:r>
      </w:hyperlink>
      <w:r w:rsidRPr="00C73856">
        <w:rPr>
          <w:rFonts w:ascii="Arial" w:hAnsi="Arial" w:cs="Arial"/>
          <w:sz w:val="22"/>
          <w:szCs w:val="22"/>
        </w:rPr>
        <w:t>.</w:t>
      </w:r>
    </w:p>
    <w:p w14:paraId="1217C21F" w14:textId="77777777" w:rsidR="00C73856" w:rsidRPr="00C73856" w:rsidRDefault="00C73856" w:rsidP="00C73856">
      <w:pPr>
        <w:pStyle w:val="NormalWeb"/>
        <w:spacing w:before="0" w:beforeAutospacing="0" w:after="0" w:afterAutospacing="0" w:line="360" w:lineRule="auto"/>
        <w:ind w:left="720" w:hanging="720"/>
        <w:jc w:val="both"/>
        <w:rPr>
          <w:rFonts w:ascii="Arial" w:hAnsi="Arial" w:cs="Arial"/>
          <w:sz w:val="22"/>
          <w:szCs w:val="22"/>
        </w:rPr>
      </w:pPr>
      <w:bookmarkStart w:id="0" w:name="_GoBack"/>
      <w:bookmarkEnd w:id="0"/>
    </w:p>
    <w:p w14:paraId="039094BD" w14:textId="02B7462A" w:rsidR="00DA4AE8" w:rsidRDefault="00DA4AE8" w:rsidP="00C73856">
      <w:pPr>
        <w:jc w:val="both"/>
      </w:pPr>
    </w:p>
    <w:sectPr w:rsidR="00DA4AE8" w:rsidSect="001C32A5">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FB1677" w14:textId="77777777" w:rsidR="004564BF" w:rsidRDefault="004564BF" w:rsidP="001C32A5">
      <w:pPr>
        <w:spacing w:after="0" w:line="240" w:lineRule="auto"/>
      </w:pPr>
      <w:r>
        <w:separator/>
      </w:r>
    </w:p>
  </w:endnote>
  <w:endnote w:type="continuationSeparator" w:id="0">
    <w:p w14:paraId="3D081176" w14:textId="77777777" w:rsidR="004564BF" w:rsidRDefault="004564BF" w:rsidP="001C3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2409325"/>
      <w:docPartObj>
        <w:docPartGallery w:val="Page Numbers (Bottom of Page)"/>
        <w:docPartUnique/>
      </w:docPartObj>
    </w:sdtPr>
    <w:sdtEndPr>
      <w:rPr>
        <w:noProof/>
      </w:rPr>
    </w:sdtEndPr>
    <w:sdtContent>
      <w:p w14:paraId="180405A6" w14:textId="750284EF" w:rsidR="001C32A5" w:rsidRDefault="001C32A5">
        <w:pPr>
          <w:pStyle w:val="Footer"/>
          <w:jc w:val="right"/>
        </w:pPr>
        <w:r>
          <w:fldChar w:fldCharType="begin"/>
        </w:r>
        <w:r>
          <w:instrText xml:space="preserve"> PAGE   \* MERGEFORMAT </w:instrText>
        </w:r>
        <w:r>
          <w:fldChar w:fldCharType="separate"/>
        </w:r>
        <w:r w:rsidR="00C73856">
          <w:rPr>
            <w:noProof/>
          </w:rPr>
          <w:t>1</w:t>
        </w:r>
        <w:r>
          <w:rPr>
            <w:noProof/>
          </w:rPr>
          <w:fldChar w:fldCharType="end"/>
        </w:r>
      </w:p>
    </w:sdtContent>
  </w:sdt>
  <w:p w14:paraId="30F38CB6" w14:textId="77777777" w:rsidR="001C32A5" w:rsidRDefault="001C3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7E5549" w14:textId="77777777" w:rsidR="004564BF" w:rsidRDefault="004564BF" w:rsidP="001C32A5">
      <w:pPr>
        <w:spacing w:after="0" w:line="240" w:lineRule="auto"/>
      </w:pPr>
      <w:r>
        <w:separator/>
      </w:r>
    </w:p>
  </w:footnote>
  <w:footnote w:type="continuationSeparator" w:id="0">
    <w:p w14:paraId="3D8FA45E" w14:textId="77777777" w:rsidR="004564BF" w:rsidRDefault="004564BF" w:rsidP="001C32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AD40F9"/>
    <w:multiLevelType w:val="multilevel"/>
    <w:tmpl w:val="9C96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65243A"/>
    <w:multiLevelType w:val="hybridMultilevel"/>
    <w:tmpl w:val="DB284E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0"/>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E8"/>
    <w:rsid w:val="00093367"/>
    <w:rsid w:val="000D4E80"/>
    <w:rsid w:val="00147497"/>
    <w:rsid w:val="00185E9B"/>
    <w:rsid w:val="001C32A5"/>
    <w:rsid w:val="002148EA"/>
    <w:rsid w:val="00232F21"/>
    <w:rsid w:val="002F24B8"/>
    <w:rsid w:val="0033107F"/>
    <w:rsid w:val="003842D7"/>
    <w:rsid w:val="0043513E"/>
    <w:rsid w:val="004564BF"/>
    <w:rsid w:val="00471164"/>
    <w:rsid w:val="0048001C"/>
    <w:rsid w:val="004A0544"/>
    <w:rsid w:val="00501EAC"/>
    <w:rsid w:val="00546417"/>
    <w:rsid w:val="005760B2"/>
    <w:rsid w:val="00590BCA"/>
    <w:rsid w:val="0068201C"/>
    <w:rsid w:val="006B0C92"/>
    <w:rsid w:val="006C5F66"/>
    <w:rsid w:val="006D3F32"/>
    <w:rsid w:val="00704249"/>
    <w:rsid w:val="007254EB"/>
    <w:rsid w:val="00747240"/>
    <w:rsid w:val="00761D41"/>
    <w:rsid w:val="00762615"/>
    <w:rsid w:val="007E1EB0"/>
    <w:rsid w:val="007F77FB"/>
    <w:rsid w:val="00843CE9"/>
    <w:rsid w:val="00876DCD"/>
    <w:rsid w:val="008877E1"/>
    <w:rsid w:val="008B2CC1"/>
    <w:rsid w:val="008B3AD5"/>
    <w:rsid w:val="008E5C5A"/>
    <w:rsid w:val="00977B44"/>
    <w:rsid w:val="009B3223"/>
    <w:rsid w:val="009F27B1"/>
    <w:rsid w:val="00A85AC4"/>
    <w:rsid w:val="00B3167E"/>
    <w:rsid w:val="00B47C0C"/>
    <w:rsid w:val="00B81398"/>
    <w:rsid w:val="00BC17DE"/>
    <w:rsid w:val="00BD0BF3"/>
    <w:rsid w:val="00BE3D2A"/>
    <w:rsid w:val="00BF240C"/>
    <w:rsid w:val="00C12B4D"/>
    <w:rsid w:val="00C64B9D"/>
    <w:rsid w:val="00C655F0"/>
    <w:rsid w:val="00C73856"/>
    <w:rsid w:val="00CC29B1"/>
    <w:rsid w:val="00CC4051"/>
    <w:rsid w:val="00D17D9B"/>
    <w:rsid w:val="00DA4AE8"/>
    <w:rsid w:val="00E34FD9"/>
    <w:rsid w:val="00E4119D"/>
    <w:rsid w:val="00E45374"/>
    <w:rsid w:val="00E70D51"/>
    <w:rsid w:val="00E84E32"/>
    <w:rsid w:val="00ED19B2"/>
    <w:rsid w:val="00EF089C"/>
    <w:rsid w:val="00F64C8D"/>
    <w:rsid w:val="00FA0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ListParagraph">
    <w:name w:val="List Paragraph"/>
    <w:basedOn w:val="Normal"/>
    <w:uiPriority w:val="34"/>
    <w:qFormat/>
    <w:rsid w:val="003842D7"/>
    <w:pPr>
      <w:ind w:left="720"/>
      <w:contextualSpacing/>
    </w:pPr>
  </w:style>
  <w:style w:type="paragraph" w:styleId="NormalWeb">
    <w:name w:val="Normal (Web)"/>
    <w:basedOn w:val="Normal"/>
    <w:uiPriority w:val="99"/>
    <w:semiHidden/>
    <w:unhideWhenUsed/>
    <w:rsid w:val="003842D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rl">
    <w:name w:val="url"/>
    <w:basedOn w:val="DefaultParagraphFont"/>
    <w:rsid w:val="003842D7"/>
  </w:style>
  <w:style w:type="character" w:styleId="Hyperlink">
    <w:name w:val="Hyperlink"/>
    <w:basedOn w:val="DefaultParagraphFont"/>
    <w:uiPriority w:val="99"/>
    <w:unhideWhenUsed/>
    <w:rsid w:val="003842D7"/>
    <w:rPr>
      <w:color w:val="0563C1" w:themeColor="hyperlink"/>
      <w:u w:val="single"/>
    </w:rPr>
  </w:style>
  <w:style w:type="table" w:styleId="TableGrid">
    <w:name w:val="Table Grid"/>
    <w:basedOn w:val="TableNormal"/>
    <w:uiPriority w:val="39"/>
    <w:rsid w:val="00F64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32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2A5"/>
  </w:style>
  <w:style w:type="paragraph" w:styleId="Footer">
    <w:name w:val="footer"/>
    <w:basedOn w:val="Normal"/>
    <w:link w:val="FooterChar"/>
    <w:uiPriority w:val="99"/>
    <w:unhideWhenUsed/>
    <w:rsid w:val="001C3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171144887">
      <w:bodyDiv w:val="1"/>
      <w:marLeft w:val="0"/>
      <w:marRight w:val="0"/>
      <w:marTop w:val="0"/>
      <w:marBottom w:val="0"/>
      <w:divBdr>
        <w:top w:val="none" w:sz="0" w:space="0" w:color="auto"/>
        <w:left w:val="none" w:sz="0" w:space="0" w:color="auto"/>
        <w:bottom w:val="none" w:sz="0" w:space="0" w:color="auto"/>
        <w:right w:val="none" w:sz="0" w:space="0" w:color="auto"/>
      </w:divBdr>
      <w:divsChild>
        <w:div w:id="178398714">
          <w:marLeft w:val="-720"/>
          <w:marRight w:val="0"/>
          <w:marTop w:val="0"/>
          <w:marBottom w:val="0"/>
          <w:divBdr>
            <w:top w:val="none" w:sz="0" w:space="0" w:color="auto"/>
            <w:left w:val="none" w:sz="0" w:space="0" w:color="auto"/>
            <w:bottom w:val="none" w:sz="0" w:space="0" w:color="auto"/>
            <w:right w:val="none" w:sz="0" w:space="0" w:color="auto"/>
          </w:divBdr>
        </w:div>
      </w:divsChild>
    </w:div>
    <w:div w:id="173111514">
      <w:bodyDiv w:val="1"/>
      <w:marLeft w:val="0"/>
      <w:marRight w:val="0"/>
      <w:marTop w:val="0"/>
      <w:marBottom w:val="0"/>
      <w:divBdr>
        <w:top w:val="none" w:sz="0" w:space="0" w:color="auto"/>
        <w:left w:val="none" w:sz="0" w:space="0" w:color="auto"/>
        <w:bottom w:val="none" w:sz="0" w:space="0" w:color="auto"/>
        <w:right w:val="none" w:sz="0" w:space="0" w:color="auto"/>
      </w:divBdr>
      <w:divsChild>
        <w:div w:id="580481082">
          <w:marLeft w:val="-720"/>
          <w:marRight w:val="0"/>
          <w:marTop w:val="0"/>
          <w:marBottom w:val="0"/>
          <w:divBdr>
            <w:top w:val="none" w:sz="0" w:space="0" w:color="auto"/>
            <w:left w:val="none" w:sz="0" w:space="0" w:color="auto"/>
            <w:bottom w:val="none" w:sz="0" w:space="0" w:color="auto"/>
            <w:right w:val="none" w:sz="0" w:space="0" w:color="auto"/>
          </w:divBdr>
        </w:div>
      </w:divsChild>
    </w:div>
    <w:div w:id="183633926">
      <w:bodyDiv w:val="1"/>
      <w:marLeft w:val="0"/>
      <w:marRight w:val="0"/>
      <w:marTop w:val="0"/>
      <w:marBottom w:val="0"/>
      <w:divBdr>
        <w:top w:val="none" w:sz="0" w:space="0" w:color="auto"/>
        <w:left w:val="none" w:sz="0" w:space="0" w:color="auto"/>
        <w:bottom w:val="none" w:sz="0" w:space="0" w:color="auto"/>
        <w:right w:val="none" w:sz="0" w:space="0" w:color="auto"/>
      </w:divBdr>
      <w:divsChild>
        <w:div w:id="1919824479">
          <w:marLeft w:val="-720"/>
          <w:marRight w:val="0"/>
          <w:marTop w:val="0"/>
          <w:marBottom w:val="0"/>
          <w:divBdr>
            <w:top w:val="none" w:sz="0" w:space="0" w:color="auto"/>
            <w:left w:val="none" w:sz="0" w:space="0" w:color="auto"/>
            <w:bottom w:val="none" w:sz="0" w:space="0" w:color="auto"/>
            <w:right w:val="none" w:sz="0" w:space="0" w:color="auto"/>
          </w:divBdr>
        </w:div>
      </w:divsChild>
    </w:div>
    <w:div w:id="271010936">
      <w:bodyDiv w:val="1"/>
      <w:marLeft w:val="0"/>
      <w:marRight w:val="0"/>
      <w:marTop w:val="0"/>
      <w:marBottom w:val="0"/>
      <w:divBdr>
        <w:top w:val="none" w:sz="0" w:space="0" w:color="auto"/>
        <w:left w:val="none" w:sz="0" w:space="0" w:color="auto"/>
        <w:bottom w:val="none" w:sz="0" w:space="0" w:color="auto"/>
        <w:right w:val="none" w:sz="0" w:space="0" w:color="auto"/>
      </w:divBdr>
      <w:divsChild>
        <w:div w:id="1281305172">
          <w:marLeft w:val="0"/>
          <w:marRight w:val="0"/>
          <w:marTop w:val="0"/>
          <w:marBottom w:val="0"/>
          <w:divBdr>
            <w:top w:val="none" w:sz="0" w:space="0" w:color="auto"/>
            <w:left w:val="none" w:sz="0" w:space="0" w:color="auto"/>
            <w:bottom w:val="none" w:sz="0" w:space="0" w:color="auto"/>
            <w:right w:val="none" w:sz="0" w:space="0" w:color="auto"/>
          </w:divBdr>
          <w:divsChild>
            <w:div w:id="2146510636">
              <w:marLeft w:val="0"/>
              <w:marRight w:val="0"/>
              <w:marTop w:val="0"/>
              <w:marBottom w:val="0"/>
              <w:divBdr>
                <w:top w:val="none" w:sz="0" w:space="0" w:color="auto"/>
                <w:left w:val="none" w:sz="0" w:space="0" w:color="auto"/>
                <w:bottom w:val="none" w:sz="0" w:space="0" w:color="auto"/>
                <w:right w:val="none" w:sz="0" w:space="0" w:color="auto"/>
              </w:divBdr>
              <w:divsChild>
                <w:div w:id="2054503868">
                  <w:marLeft w:val="0"/>
                  <w:marRight w:val="0"/>
                  <w:marTop w:val="0"/>
                  <w:marBottom w:val="0"/>
                  <w:divBdr>
                    <w:top w:val="none" w:sz="0" w:space="0" w:color="auto"/>
                    <w:left w:val="none" w:sz="0" w:space="0" w:color="auto"/>
                    <w:bottom w:val="none" w:sz="0" w:space="0" w:color="auto"/>
                    <w:right w:val="none" w:sz="0" w:space="0" w:color="auto"/>
                  </w:divBdr>
                  <w:divsChild>
                    <w:div w:id="60214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88516">
          <w:marLeft w:val="0"/>
          <w:marRight w:val="0"/>
          <w:marTop w:val="0"/>
          <w:marBottom w:val="0"/>
          <w:divBdr>
            <w:top w:val="none" w:sz="0" w:space="0" w:color="auto"/>
            <w:left w:val="none" w:sz="0" w:space="0" w:color="auto"/>
            <w:bottom w:val="none" w:sz="0" w:space="0" w:color="auto"/>
            <w:right w:val="none" w:sz="0" w:space="0" w:color="auto"/>
          </w:divBdr>
          <w:divsChild>
            <w:div w:id="1618608289">
              <w:marLeft w:val="0"/>
              <w:marRight w:val="0"/>
              <w:marTop w:val="0"/>
              <w:marBottom w:val="0"/>
              <w:divBdr>
                <w:top w:val="none" w:sz="0" w:space="0" w:color="auto"/>
                <w:left w:val="none" w:sz="0" w:space="0" w:color="auto"/>
                <w:bottom w:val="none" w:sz="0" w:space="0" w:color="auto"/>
                <w:right w:val="none" w:sz="0" w:space="0" w:color="auto"/>
              </w:divBdr>
              <w:divsChild>
                <w:div w:id="1087848248">
                  <w:marLeft w:val="0"/>
                  <w:marRight w:val="0"/>
                  <w:marTop w:val="0"/>
                  <w:marBottom w:val="0"/>
                  <w:divBdr>
                    <w:top w:val="none" w:sz="0" w:space="0" w:color="auto"/>
                    <w:left w:val="none" w:sz="0" w:space="0" w:color="auto"/>
                    <w:bottom w:val="none" w:sz="0" w:space="0" w:color="auto"/>
                    <w:right w:val="none" w:sz="0" w:space="0" w:color="auto"/>
                  </w:divBdr>
                  <w:divsChild>
                    <w:div w:id="200300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585787">
      <w:bodyDiv w:val="1"/>
      <w:marLeft w:val="0"/>
      <w:marRight w:val="0"/>
      <w:marTop w:val="0"/>
      <w:marBottom w:val="0"/>
      <w:divBdr>
        <w:top w:val="none" w:sz="0" w:space="0" w:color="auto"/>
        <w:left w:val="none" w:sz="0" w:space="0" w:color="auto"/>
        <w:bottom w:val="none" w:sz="0" w:space="0" w:color="auto"/>
        <w:right w:val="none" w:sz="0" w:space="0" w:color="auto"/>
      </w:divBdr>
      <w:divsChild>
        <w:div w:id="292905024">
          <w:marLeft w:val="-720"/>
          <w:marRight w:val="0"/>
          <w:marTop w:val="0"/>
          <w:marBottom w:val="0"/>
          <w:divBdr>
            <w:top w:val="none" w:sz="0" w:space="0" w:color="auto"/>
            <w:left w:val="none" w:sz="0" w:space="0" w:color="auto"/>
            <w:bottom w:val="none" w:sz="0" w:space="0" w:color="auto"/>
            <w:right w:val="none" w:sz="0" w:space="0" w:color="auto"/>
          </w:divBdr>
        </w:div>
      </w:divsChild>
    </w:div>
    <w:div w:id="699819479">
      <w:bodyDiv w:val="1"/>
      <w:marLeft w:val="0"/>
      <w:marRight w:val="0"/>
      <w:marTop w:val="0"/>
      <w:marBottom w:val="0"/>
      <w:divBdr>
        <w:top w:val="none" w:sz="0" w:space="0" w:color="auto"/>
        <w:left w:val="none" w:sz="0" w:space="0" w:color="auto"/>
        <w:bottom w:val="none" w:sz="0" w:space="0" w:color="auto"/>
        <w:right w:val="none" w:sz="0" w:space="0" w:color="auto"/>
      </w:divBdr>
      <w:divsChild>
        <w:div w:id="1950821143">
          <w:marLeft w:val="-720"/>
          <w:marRight w:val="0"/>
          <w:marTop w:val="0"/>
          <w:marBottom w:val="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136332142">
      <w:bodyDiv w:val="1"/>
      <w:marLeft w:val="0"/>
      <w:marRight w:val="0"/>
      <w:marTop w:val="0"/>
      <w:marBottom w:val="0"/>
      <w:divBdr>
        <w:top w:val="none" w:sz="0" w:space="0" w:color="auto"/>
        <w:left w:val="none" w:sz="0" w:space="0" w:color="auto"/>
        <w:bottom w:val="none" w:sz="0" w:space="0" w:color="auto"/>
        <w:right w:val="none" w:sz="0" w:space="0" w:color="auto"/>
      </w:divBdr>
    </w:div>
    <w:div w:id="1177888031">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755198853">
      <w:bodyDiv w:val="1"/>
      <w:marLeft w:val="0"/>
      <w:marRight w:val="0"/>
      <w:marTop w:val="0"/>
      <w:marBottom w:val="0"/>
      <w:divBdr>
        <w:top w:val="none" w:sz="0" w:space="0" w:color="auto"/>
        <w:left w:val="none" w:sz="0" w:space="0" w:color="auto"/>
        <w:bottom w:val="none" w:sz="0" w:space="0" w:color="auto"/>
        <w:right w:val="none" w:sz="0" w:space="0" w:color="auto"/>
      </w:divBdr>
      <w:divsChild>
        <w:div w:id="2099330615">
          <w:marLeft w:val="-720"/>
          <w:marRight w:val="0"/>
          <w:marTop w:val="0"/>
          <w:marBottom w:val="0"/>
          <w:divBdr>
            <w:top w:val="none" w:sz="0" w:space="0" w:color="auto"/>
            <w:left w:val="none" w:sz="0" w:space="0" w:color="auto"/>
            <w:bottom w:val="none" w:sz="0" w:space="0" w:color="auto"/>
            <w:right w:val="none" w:sz="0" w:space="0" w:color="auto"/>
          </w:divBdr>
        </w:div>
      </w:divsChild>
    </w:div>
    <w:div w:id="1962414211">
      <w:bodyDiv w:val="1"/>
      <w:marLeft w:val="0"/>
      <w:marRight w:val="0"/>
      <w:marTop w:val="0"/>
      <w:marBottom w:val="0"/>
      <w:divBdr>
        <w:top w:val="none" w:sz="0" w:space="0" w:color="auto"/>
        <w:left w:val="none" w:sz="0" w:space="0" w:color="auto"/>
        <w:bottom w:val="none" w:sz="0" w:space="0" w:color="auto"/>
        <w:right w:val="none" w:sz="0" w:space="0" w:color="auto"/>
      </w:divBdr>
      <w:divsChild>
        <w:div w:id="460851707">
          <w:marLeft w:val="0"/>
          <w:marRight w:val="0"/>
          <w:marTop w:val="0"/>
          <w:marBottom w:val="0"/>
          <w:divBdr>
            <w:top w:val="none" w:sz="0" w:space="0" w:color="auto"/>
            <w:left w:val="none" w:sz="0" w:space="0" w:color="auto"/>
            <w:bottom w:val="none" w:sz="0" w:space="0" w:color="auto"/>
            <w:right w:val="none" w:sz="0" w:space="0" w:color="auto"/>
          </w:divBdr>
        </w:div>
      </w:divsChild>
    </w:div>
    <w:div w:id="1971402021">
      <w:bodyDiv w:val="1"/>
      <w:marLeft w:val="0"/>
      <w:marRight w:val="0"/>
      <w:marTop w:val="0"/>
      <w:marBottom w:val="0"/>
      <w:divBdr>
        <w:top w:val="none" w:sz="0" w:space="0" w:color="auto"/>
        <w:left w:val="none" w:sz="0" w:space="0" w:color="auto"/>
        <w:bottom w:val="none" w:sz="0" w:space="0" w:color="auto"/>
        <w:right w:val="none" w:sz="0" w:space="0" w:color="auto"/>
      </w:divBdr>
      <w:divsChild>
        <w:div w:id="270550585">
          <w:marLeft w:val="0"/>
          <w:marRight w:val="0"/>
          <w:marTop w:val="0"/>
          <w:marBottom w:val="0"/>
          <w:divBdr>
            <w:top w:val="none" w:sz="0" w:space="0" w:color="auto"/>
            <w:left w:val="none" w:sz="0" w:space="0" w:color="auto"/>
            <w:bottom w:val="none" w:sz="0" w:space="0" w:color="auto"/>
            <w:right w:val="none" w:sz="0" w:space="0" w:color="auto"/>
          </w:divBdr>
        </w:div>
        <w:div w:id="524054378">
          <w:marLeft w:val="0"/>
          <w:marRight w:val="0"/>
          <w:marTop w:val="0"/>
          <w:marBottom w:val="0"/>
          <w:divBdr>
            <w:top w:val="none" w:sz="0" w:space="0" w:color="auto"/>
            <w:left w:val="none" w:sz="0" w:space="0" w:color="auto"/>
            <w:bottom w:val="none" w:sz="0" w:space="0" w:color="auto"/>
            <w:right w:val="none" w:sz="0" w:space="0" w:color="auto"/>
          </w:divBdr>
        </w:div>
        <w:div w:id="18394967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140/ooj-1-e001" TargetMode="External"/><Relationship Id="rId13" Type="http://schemas.openxmlformats.org/officeDocument/2006/relationships/hyperlink" Target="https://doi.org/10.1097/ij9.0000000000000025" TargetMode="External"/><Relationship Id="rId18" Type="http://schemas.openxmlformats.org/officeDocument/2006/relationships/hyperlink" Target="https://doi.org/10.52728/ijtc.v4i1.636" TargetMode="External"/><Relationship Id="rId26" Type="http://schemas.openxmlformats.org/officeDocument/2006/relationships/hyperlink" Target="https://doi.org/10.1177/1609406919862370" TargetMode="External"/><Relationship Id="rId3" Type="http://schemas.openxmlformats.org/officeDocument/2006/relationships/settings" Target="settings.xml"/><Relationship Id="rId21" Type="http://schemas.openxmlformats.org/officeDocument/2006/relationships/hyperlink" Target="https://doi.org/10.1177/1609406919862424" TargetMode="External"/><Relationship Id="rId7" Type="http://schemas.openxmlformats.org/officeDocument/2006/relationships/image" Target="media/image1.jpeg"/><Relationship Id="rId12" Type="http://schemas.openxmlformats.org/officeDocument/2006/relationships/hyperlink" Target="https://doi.org/10.3390/ijerph18147244" TargetMode="External"/><Relationship Id="rId17" Type="http://schemas.openxmlformats.org/officeDocument/2006/relationships/hyperlink" Target="https://www.iiste.org/Journals/index.php/RJFA/article/view/35703" TargetMode="External"/><Relationship Id="rId25" Type="http://schemas.openxmlformats.org/officeDocument/2006/relationships/hyperlink" Target="https://doi.org/10.4103/jiaps.jiaps_76_18" TargetMode="External"/><Relationship Id="rId2" Type="http://schemas.openxmlformats.org/officeDocument/2006/relationships/styles" Target="styles.xml"/><Relationship Id="rId16" Type="http://schemas.openxmlformats.org/officeDocument/2006/relationships/hyperlink" Target="https://econpapers.repec.org/RePEc:arp:ijefrr:2016:p:199-214" TargetMode="External"/><Relationship Id="rId20" Type="http://schemas.openxmlformats.org/officeDocument/2006/relationships/hyperlink" Target="https://doi.org/10.1016/j.jaccpubpol.2017.05.00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4127/pj.v9i2.3037" TargetMode="External"/><Relationship Id="rId24" Type="http://schemas.openxmlformats.org/officeDocument/2006/relationships/hyperlink" Target="https://doi.org/10.1007/978-3-030-20441-9_27" TargetMode="External"/><Relationship Id="rId5" Type="http://schemas.openxmlformats.org/officeDocument/2006/relationships/footnotes" Target="footnotes.xml"/><Relationship Id="rId15" Type="http://schemas.openxmlformats.org/officeDocument/2006/relationships/hyperlink" Target="https://doi.org/10.1016/j.heliyon.2020.e04271" TargetMode="External"/><Relationship Id="rId23" Type="http://schemas.openxmlformats.org/officeDocument/2006/relationships/hyperlink" Target="https://doi.org/10.1016/j.glmedi.2023.100046" TargetMode="External"/><Relationship Id="rId28" Type="http://schemas.openxmlformats.org/officeDocument/2006/relationships/footer" Target="footer1.xml"/><Relationship Id="rId10" Type="http://schemas.openxmlformats.org/officeDocument/2006/relationships/hyperlink" Target="https://doi.org/10.1371/journal.pcbi.1009554" TargetMode="External"/><Relationship Id="rId19" Type="http://schemas.openxmlformats.org/officeDocument/2006/relationships/hyperlink" Target="https://doi.org/10.1080/09638180.2021.1986090" TargetMode="External"/><Relationship Id="rId4" Type="http://schemas.openxmlformats.org/officeDocument/2006/relationships/webSettings" Target="webSettings.xml"/><Relationship Id="rId9" Type="http://schemas.openxmlformats.org/officeDocument/2006/relationships/hyperlink" Target="https://doi.org/10.1093/intqhc/mzg031" TargetMode="External"/><Relationship Id="rId14" Type="http://schemas.openxmlformats.org/officeDocument/2006/relationships/hyperlink" Target="https://doi.org/10.1023/a:1006277331803" TargetMode="External"/><Relationship Id="rId22" Type="http://schemas.openxmlformats.org/officeDocument/2006/relationships/hyperlink" Target="https://doi.org/10.2352/j.percept.imaging.2019.2.1.010401" TargetMode="External"/><Relationship Id="rId27" Type="http://schemas.openxmlformats.org/officeDocument/2006/relationships/hyperlink" Target="https://doi.org/10.2139/ssrn.320503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9</Pages>
  <Words>2573</Words>
  <Characters>14568</Characters>
  <Application>Microsoft Office Word</Application>
  <DocSecurity>0</DocSecurity>
  <Lines>280</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Priyankka</dc:creator>
  <cp:keywords/>
  <dc:description/>
  <cp:lastModifiedBy>Priyankka</cp:lastModifiedBy>
  <cp:revision>13</cp:revision>
  <dcterms:created xsi:type="dcterms:W3CDTF">2024-07-19T05:22:00Z</dcterms:created>
  <dcterms:modified xsi:type="dcterms:W3CDTF">2024-09-09T04:47:00Z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488f1b9e70adfd90e4f0eebc2d28e239fa69853aafd89f98f519f88db4ec1077</vt:lpwstr>
  </property>
</Properties>
</file>