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16915" w14:textId="77777777" w:rsidR="00A43FCF" w:rsidRDefault="00A43FCF" w:rsidP="00B81227">
      <w:pPr>
        <w:spacing w:line="360" w:lineRule="auto"/>
        <w:jc w:val="center"/>
        <w:rPr>
          <w:b/>
          <w:bCs/>
        </w:rPr>
      </w:pPr>
    </w:p>
    <w:p w14:paraId="5971150D" w14:textId="77777777" w:rsidR="00A43FCF" w:rsidRDefault="00A43FCF" w:rsidP="00B81227">
      <w:pPr>
        <w:spacing w:line="360" w:lineRule="auto"/>
        <w:jc w:val="center"/>
        <w:rPr>
          <w:b/>
          <w:bCs/>
        </w:rPr>
      </w:pPr>
    </w:p>
    <w:p w14:paraId="0584C2ED" w14:textId="77777777" w:rsidR="00A43FCF" w:rsidRDefault="00A43FCF" w:rsidP="00B81227">
      <w:pPr>
        <w:spacing w:line="360" w:lineRule="auto"/>
        <w:jc w:val="center"/>
        <w:rPr>
          <w:b/>
          <w:bCs/>
        </w:rPr>
      </w:pPr>
    </w:p>
    <w:p w14:paraId="386CDB6A" w14:textId="77777777" w:rsidR="00A43FCF" w:rsidRDefault="00A43FCF" w:rsidP="00B81227">
      <w:pPr>
        <w:spacing w:line="360" w:lineRule="auto"/>
        <w:jc w:val="center"/>
        <w:rPr>
          <w:b/>
          <w:bCs/>
        </w:rPr>
      </w:pPr>
    </w:p>
    <w:p w14:paraId="46F2DA04" w14:textId="77777777" w:rsidR="00A43FCF" w:rsidRDefault="00A43FCF" w:rsidP="00B81227">
      <w:pPr>
        <w:spacing w:line="360" w:lineRule="auto"/>
        <w:jc w:val="center"/>
        <w:rPr>
          <w:b/>
          <w:bCs/>
        </w:rPr>
      </w:pPr>
    </w:p>
    <w:p w14:paraId="12672E89" w14:textId="77777777" w:rsidR="00A43FCF" w:rsidRDefault="00A43FCF" w:rsidP="00B81227">
      <w:pPr>
        <w:spacing w:line="360" w:lineRule="auto"/>
        <w:jc w:val="center"/>
        <w:rPr>
          <w:b/>
          <w:bCs/>
        </w:rPr>
      </w:pPr>
    </w:p>
    <w:p w14:paraId="19530D1B" w14:textId="53BE3343" w:rsidR="00A43FCF" w:rsidRDefault="00A43FCF" w:rsidP="00B81227">
      <w:pPr>
        <w:spacing w:line="360" w:lineRule="auto"/>
        <w:jc w:val="center"/>
        <w:rPr>
          <w:b/>
          <w:bCs/>
        </w:rPr>
      </w:pPr>
      <w:r>
        <w:rPr>
          <w:noProof/>
        </w:rPr>
        <w:drawing>
          <wp:inline distT="0" distB="0" distL="0" distR="0" wp14:anchorId="1F9FF407" wp14:editId="5661690A">
            <wp:extent cx="1809750" cy="723900"/>
            <wp:effectExtent l="0" t="0" r="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pic:nvPicPr>
                  <pic:blipFill>
                    <a:blip r:embed="rId8"/>
                    <a:srcRect/>
                    <a:stretch>
                      <a:fillRect/>
                    </a:stretch>
                  </pic:blipFill>
                  <pic:spPr>
                    <a:xfrm>
                      <a:off x="0" y="0"/>
                      <a:ext cx="1809750" cy="723900"/>
                    </a:xfrm>
                    <a:prstGeom prst="rect">
                      <a:avLst/>
                    </a:prstGeom>
                    <a:ln/>
                  </pic:spPr>
                </pic:pic>
              </a:graphicData>
            </a:graphic>
          </wp:inline>
        </w:drawing>
      </w:r>
    </w:p>
    <w:p w14:paraId="222A8626" w14:textId="08C94E36" w:rsidR="00A43FCF" w:rsidRPr="00D303E2" w:rsidRDefault="00A43FCF" w:rsidP="00B81227">
      <w:pPr>
        <w:spacing w:line="360" w:lineRule="auto"/>
        <w:jc w:val="center"/>
        <w:rPr>
          <w:b/>
          <w:bCs/>
        </w:rPr>
      </w:pPr>
      <w:r w:rsidRPr="00D303E2">
        <w:rPr>
          <w:b/>
          <w:bCs/>
        </w:rPr>
        <w:t>Name:</w:t>
      </w:r>
      <w:r>
        <w:rPr>
          <w:b/>
          <w:bCs/>
        </w:rPr>
        <w:t xml:space="preserve"> Adil</w:t>
      </w:r>
    </w:p>
    <w:p w14:paraId="54692244" w14:textId="01D8B539" w:rsidR="00A43FCF" w:rsidRPr="00D303E2" w:rsidRDefault="00A43FCF" w:rsidP="00B81227">
      <w:pPr>
        <w:spacing w:line="360" w:lineRule="auto"/>
        <w:jc w:val="center"/>
        <w:rPr>
          <w:b/>
          <w:bCs/>
        </w:rPr>
      </w:pPr>
      <w:r w:rsidRPr="00D303E2">
        <w:rPr>
          <w:b/>
          <w:bCs/>
        </w:rPr>
        <w:t>Student Number:</w:t>
      </w:r>
      <w:r w:rsidR="009C13B9">
        <w:rPr>
          <w:b/>
          <w:bCs/>
        </w:rPr>
        <w:t>2541273</w:t>
      </w:r>
    </w:p>
    <w:p w14:paraId="605468F6" w14:textId="13620F4E" w:rsidR="00A43FCF" w:rsidRPr="00D303E2" w:rsidRDefault="00A43FCF" w:rsidP="00B81227">
      <w:pPr>
        <w:spacing w:line="360" w:lineRule="auto"/>
        <w:jc w:val="center"/>
        <w:rPr>
          <w:b/>
          <w:bCs/>
        </w:rPr>
      </w:pPr>
      <w:r w:rsidRPr="00D303E2">
        <w:rPr>
          <w:b/>
          <w:bCs/>
        </w:rPr>
        <w:t>Module Code:</w:t>
      </w:r>
      <w:r w:rsidR="00257829" w:rsidRPr="00257829">
        <w:rPr>
          <w:b/>
          <w:bCs/>
        </w:rPr>
        <w:t xml:space="preserve"> LCHS4003</w:t>
      </w:r>
    </w:p>
    <w:p w14:paraId="214B928A" w14:textId="482FC15F" w:rsidR="00A43FCF" w:rsidRPr="00D303E2" w:rsidRDefault="00A43FCF" w:rsidP="00B81227">
      <w:pPr>
        <w:spacing w:line="360" w:lineRule="auto"/>
        <w:jc w:val="center"/>
        <w:rPr>
          <w:b/>
          <w:bCs/>
        </w:rPr>
      </w:pPr>
      <w:r w:rsidRPr="00D303E2">
        <w:rPr>
          <w:b/>
          <w:bCs/>
        </w:rPr>
        <w:t>Module Title:</w:t>
      </w:r>
      <w:r w:rsidRPr="00D303E2">
        <w:t xml:space="preserve"> </w:t>
      </w:r>
      <w:r w:rsidR="005F3054" w:rsidRPr="005F3054">
        <w:rPr>
          <w:b/>
          <w:bCs/>
        </w:rPr>
        <w:t>Introduction to Health and Social Care</w:t>
      </w:r>
    </w:p>
    <w:p w14:paraId="52461FE5" w14:textId="46F6930F" w:rsidR="00A43FCF" w:rsidRDefault="00A43FCF" w:rsidP="00B81227">
      <w:pPr>
        <w:spacing w:line="360" w:lineRule="auto"/>
        <w:jc w:val="center"/>
        <w:rPr>
          <w:b/>
          <w:bCs/>
        </w:rPr>
      </w:pPr>
      <w:r w:rsidRPr="00D303E2">
        <w:rPr>
          <w:b/>
          <w:bCs/>
        </w:rPr>
        <w:t>Assignment Title:</w:t>
      </w:r>
      <w:r w:rsidR="00257829">
        <w:rPr>
          <w:b/>
          <w:bCs/>
        </w:rPr>
        <w:t xml:space="preserve"> </w:t>
      </w:r>
      <w:r w:rsidR="00257829" w:rsidRPr="00257829">
        <w:rPr>
          <w:b/>
          <w:bCs/>
        </w:rPr>
        <w:t>Written Assignment</w:t>
      </w:r>
    </w:p>
    <w:p w14:paraId="04C52C3F" w14:textId="35FA691A" w:rsidR="003B402B" w:rsidRPr="00257829" w:rsidRDefault="003B402B" w:rsidP="003B402B">
      <w:pPr>
        <w:spacing w:line="360" w:lineRule="auto"/>
        <w:jc w:val="center"/>
        <w:rPr>
          <w:b/>
          <w:bCs/>
        </w:rPr>
      </w:pPr>
      <w:r>
        <w:rPr>
          <w:b/>
          <w:bCs/>
        </w:rPr>
        <w:t>Word Count: 1575</w:t>
      </w:r>
    </w:p>
    <w:p w14:paraId="592F405E" w14:textId="77777777" w:rsidR="003B402B" w:rsidRPr="00257829" w:rsidRDefault="003B402B" w:rsidP="00B81227">
      <w:pPr>
        <w:spacing w:line="360" w:lineRule="auto"/>
        <w:jc w:val="center"/>
        <w:rPr>
          <w:b/>
          <w:bCs/>
        </w:rPr>
      </w:pPr>
    </w:p>
    <w:p w14:paraId="21203D7F" w14:textId="77777777" w:rsidR="00A43FCF" w:rsidRDefault="00A43FCF" w:rsidP="00B81227">
      <w:pPr>
        <w:spacing w:line="360" w:lineRule="auto"/>
      </w:pPr>
    </w:p>
    <w:p w14:paraId="01AE7FB5" w14:textId="77777777" w:rsidR="00A43FCF" w:rsidRDefault="00A43FCF" w:rsidP="00B81227">
      <w:pPr>
        <w:spacing w:line="360" w:lineRule="auto"/>
      </w:pPr>
    </w:p>
    <w:p w14:paraId="466520F9" w14:textId="77777777" w:rsidR="00A43FCF" w:rsidRDefault="00A43FCF" w:rsidP="00B81227">
      <w:pPr>
        <w:spacing w:line="360" w:lineRule="auto"/>
      </w:pPr>
    </w:p>
    <w:p w14:paraId="1AAB3344" w14:textId="77777777" w:rsidR="005B6F38" w:rsidRDefault="005B6F38" w:rsidP="00B81227">
      <w:pPr>
        <w:spacing w:line="360" w:lineRule="auto"/>
      </w:pPr>
    </w:p>
    <w:p w14:paraId="1C7D9893" w14:textId="77777777" w:rsidR="00A43FCF" w:rsidRDefault="00A43FCF" w:rsidP="00B81227">
      <w:pPr>
        <w:spacing w:line="360" w:lineRule="auto"/>
      </w:pPr>
    </w:p>
    <w:sdt>
      <w:sdtPr>
        <w:rPr>
          <w:rFonts w:asciiTheme="minorHAnsi" w:eastAsiaTheme="minorHAnsi" w:hAnsiTheme="minorHAnsi" w:cstheme="minorBidi"/>
          <w:color w:val="auto"/>
          <w:kern w:val="2"/>
          <w:sz w:val="24"/>
          <w:szCs w:val="24"/>
          <w14:ligatures w14:val="standardContextual"/>
        </w:rPr>
        <w:id w:val="72556176"/>
        <w:docPartObj>
          <w:docPartGallery w:val="Table of Contents"/>
          <w:docPartUnique/>
        </w:docPartObj>
      </w:sdtPr>
      <w:sdtEndPr>
        <w:rPr>
          <w:b/>
          <w:bCs/>
          <w:noProof/>
        </w:rPr>
      </w:sdtEndPr>
      <w:sdtContent>
        <w:p w14:paraId="6CC09A73" w14:textId="6763FE8E" w:rsidR="0004658C" w:rsidRDefault="0004658C">
          <w:pPr>
            <w:pStyle w:val="TOCHeading"/>
          </w:pPr>
          <w:r>
            <w:t>Contents</w:t>
          </w:r>
        </w:p>
        <w:p w14:paraId="64BF07FF" w14:textId="27D0B480" w:rsidR="00AE049D" w:rsidRDefault="0004658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42319600" w:history="1">
            <w:r w:rsidR="00AE049D" w:rsidRPr="004C6110">
              <w:rPr>
                <w:rStyle w:val="Hyperlink"/>
                <w:rFonts w:ascii="Arial" w:hAnsi="Arial" w:cs="Arial"/>
                <w:b/>
                <w:bCs/>
                <w:noProof/>
              </w:rPr>
              <w:t>Task 1: Guided Scenario Response – Mini Report</w:t>
            </w:r>
            <w:r w:rsidR="00AE049D">
              <w:rPr>
                <w:noProof/>
                <w:webHidden/>
              </w:rPr>
              <w:tab/>
            </w:r>
            <w:r w:rsidR="00AE049D">
              <w:rPr>
                <w:noProof/>
                <w:webHidden/>
              </w:rPr>
              <w:fldChar w:fldCharType="begin"/>
            </w:r>
            <w:r w:rsidR="00AE049D">
              <w:rPr>
                <w:noProof/>
                <w:webHidden/>
              </w:rPr>
              <w:instrText xml:space="preserve"> PAGEREF _Toc242319600 \h </w:instrText>
            </w:r>
            <w:r w:rsidR="00AE049D">
              <w:rPr>
                <w:noProof/>
                <w:webHidden/>
              </w:rPr>
            </w:r>
            <w:r w:rsidR="00AE049D">
              <w:rPr>
                <w:noProof/>
                <w:webHidden/>
              </w:rPr>
              <w:fldChar w:fldCharType="separate"/>
            </w:r>
            <w:r w:rsidR="00AE049D">
              <w:rPr>
                <w:noProof/>
                <w:webHidden/>
              </w:rPr>
              <w:t>3</w:t>
            </w:r>
            <w:r w:rsidR="00AE049D">
              <w:rPr>
                <w:noProof/>
                <w:webHidden/>
              </w:rPr>
              <w:fldChar w:fldCharType="end"/>
            </w:r>
          </w:hyperlink>
        </w:p>
        <w:p w14:paraId="0FA29F13" w14:textId="5949A750" w:rsidR="00AE049D" w:rsidRDefault="00AE049D">
          <w:pPr>
            <w:pStyle w:val="TOC2"/>
            <w:tabs>
              <w:tab w:val="right" w:leader="dot" w:pos="9350"/>
            </w:tabs>
            <w:rPr>
              <w:rFonts w:eastAsiaTheme="minorEastAsia"/>
              <w:noProof/>
            </w:rPr>
          </w:pPr>
          <w:hyperlink w:anchor="_Toc242319601" w:history="1">
            <w:r w:rsidRPr="004C611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_Toc242319601 \h </w:instrText>
            </w:r>
            <w:r>
              <w:rPr>
                <w:noProof/>
                <w:webHidden/>
              </w:rPr>
            </w:r>
            <w:r>
              <w:rPr>
                <w:noProof/>
                <w:webHidden/>
              </w:rPr>
              <w:fldChar w:fldCharType="separate"/>
            </w:r>
            <w:r>
              <w:rPr>
                <w:noProof/>
                <w:webHidden/>
              </w:rPr>
              <w:t>3</w:t>
            </w:r>
            <w:r>
              <w:rPr>
                <w:noProof/>
                <w:webHidden/>
              </w:rPr>
              <w:fldChar w:fldCharType="end"/>
            </w:r>
          </w:hyperlink>
        </w:p>
        <w:p w14:paraId="6CBD62C8" w14:textId="38DE7828" w:rsidR="00AE049D" w:rsidRDefault="00AE049D">
          <w:pPr>
            <w:pStyle w:val="TOC2"/>
            <w:tabs>
              <w:tab w:val="right" w:leader="dot" w:pos="9350"/>
            </w:tabs>
            <w:rPr>
              <w:rFonts w:eastAsiaTheme="minorEastAsia"/>
              <w:noProof/>
            </w:rPr>
          </w:pPr>
          <w:hyperlink w:anchor="_Toc242319602" w:history="1">
            <w:r w:rsidRPr="004C6110">
              <w:rPr>
                <w:rStyle w:val="Hyperlink"/>
                <w:rFonts w:ascii="Arial" w:hAnsi="Arial" w:cs="Arial"/>
                <w:b/>
                <w:bCs/>
                <w:noProof/>
              </w:rPr>
              <w:t>Impact on the Community</w:t>
            </w:r>
            <w:r>
              <w:rPr>
                <w:noProof/>
                <w:webHidden/>
              </w:rPr>
              <w:tab/>
            </w:r>
            <w:r>
              <w:rPr>
                <w:noProof/>
                <w:webHidden/>
              </w:rPr>
              <w:fldChar w:fldCharType="begin"/>
            </w:r>
            <w:r>
              <w:rPr>
                <w:noProof/>
                <w:webHidden/>
              </w:rPr>
              <w:instrText xml:space="preserve"> PAGEREF _Toc242319602 \h </w:instrText>
            </w:r>
            <w:r>
              <w:rPr>
                <w:noProof/>
                <w:webHidden/>
              </w:rPr>
            </w:r>
            <w:r>
              <w:rPr>
                <w:noProof/>
                <w:webHidden/>
              </w:rPr>
              <w:fldChar w:fldCharType="separate"/>
            </w:r>
            <w:r>
              <w:rPr>
                <w:noProof/>
                <w:webHidden/>
              </w:rPr>
              <w:t>3</w:t>
            </w:r>
            <w:r>
              <w:rPr>
                <w:noProof/>
                <w:webHidden/>
              </w:rPr>
              <w:fldChar w:fldCharType="end"/>
            </w:r>
          </w:hyperlink>
        </w:p>
        <w:p w14:paraId="38838C6A" w14:textId="2A5EBD27" w:rsidR="00AE049D" w:rsidRDefault="00AE049D">
          <w:pPr>
            <w:pStyle w:val="TOC2"/>
            <w:tabs>
              <w:tab w:val="right" w:leader="dot" w:pos="9350"/>
            </w:tabs>
            <w:rPr>
              <w:rFonts w:eastAsiaTheme="minorEastAsia"/>
              <w:noProof/>
            </w:rPr>
          </w:pPr>
          <w:hyperlink w:anchor="_Toc242319603" w:history="1">
            <w:r w:rsidRPr="004C6110">
              <w:rPr>
                <w:rStyle w:val="Hyperlink"/>
                <w:rFonts w:ascii="Arial" w:hAnsi="Arial" w:cs="Arial"/>
                <w:b/>
                <w:bCs/>
                <w:noProof/>
              </w:rPr>
              <w:t>Recommended Response</w:t>
            </w:r>
            <w:r>
              <w:rPr>
                <w:noProof/>
                <w:webHidden/>
              </w:rPr>
              <w:tab/>
            </w:r>
            <w:r>
              <w:rPr>
                <w:noProof/>
                <w:webHidden/>
              </w:rPr>
              <w:fldChar w:fldCharType="begin"/>
            </w:r>
            <w:r>
              <w:rPr>
                <w:noProof/>
                <w:webHidden/>
              </w:rPr>
              <w:instrText xml:space="preserve"> PAGEREF _Toc242319603 \h </w:instrText>
            </w:r>
            <w:r>
              <w:rPr>
                <w:noProof/>
                <w:webHidden/>
              </w:rPr>
            </w:r>
            <w:r>
              <w:rPr>
                <w:noProof/>
                <w:webHidden/>
              </w:rPr>
              <w:fldChar w:fldCharType="separate"/>
            </w:r>
            <w:r>
              <w:rPr>
                <w:noProof/>
                <w:webHidden/>
              </w:rPr>
              <w:t>4</w:t>
            </w:r>
            <w:r>
              <w:rPr>
                <w:noProof/>
                <w:webHidden/>
              </w:rPr>
              <w:fldChar w:fldCharType="end"/>
            </w:r>
          </w:hyperlink>
        </w:p>
        <w:p w14:paraId="29AE9ECB" w14:textId="6B2D2713" w:rsidR="00AE049D" w:rsidRDefault="00AE049D">
          <w:pPr>
            <w:pStyle w:val="TOC2"/>
            <w:tabs>
              <w:tab w:val="right" w:leader="dot" w:pos="9350"/>
            </w:tabs>
            <w:rPr>
              <w:rFonts w:eastAsiaTheme="minorEastAsia"/>
              <w:noProof/>
            </w:rPr>
          </w:pPr>
          <w:hyperlink w:anchor="_Toc242319604" w:history="1">
            <w:r w:rsidRPr="004C611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_Toc242319604 \h </w:instrText>
            </w:r>
            <w:r>
              <w:rPr>
                <w:noProof/>
                <w:webHidden/>
              </w:rPr>
            </w:r>
            <w:r>
              <w:rPr>
                <w:noProof/>
                <w:webHidden/>
              </w:rPr>
              <w:fldChar w:fldCharType="separate"/>
            </w:r>
            <w:r>
              <w:rPr>
                <w:noProof/>
                <w:webHidden/>
              </w:rPr>
              <w:t>4</w:t>
            </w:r>
            <w:r>
              <w:rPr>
                <w:noProof/>
                <w:webHidden/>
              </w:rPr>
              <w:fldChar w:fldCharType="end"/>
            </w:r>
          </w:hyperlink>
        </w:p>
        <w:p w14:paraId="2B0E94E2" w14:textId="5EB1D847" w:rsidR="00AE049D" w:rsidRDefault="00AE049D">
          <w:pPr>
            <w:pStyle w:val="TOC1"/>
            <w:tabs>
              <w:tab w:val="right" w:leader="dot" w:pos="9350"/>
            </w:tabs>
            <w:rPr>
              <w:rFonts w:eastAsiaTheme="minorEastAsia"/>
              <w:noProof/>
            </w:rPr>
          </w:pPr>
          <w:hyperlink w:anchor="_Toc242319605" w:history="1">
            <w:r w:rsidRPr="004C6110">
              <w:rPr>
                <w:rStyle w:val="Hyperlink"/>
                <w:rFonts w:ascii="Arial" w:hAnsi="Arial" w:cs="Arial"/>
                <w:b/>
                <w:bCs/>
                <w:noProof/>
              </w:rPr>
              <w:t>Task 2: Ambulance Services</w:t>
            </w:r>
            <w:r>
              <w:rPr>
                <w:noProof/>
                <w:webHidden/>
              </w:rPr>
              <w:tab/>
            </w:r>
            <w:r>
              <w:rPr>
                <w:noProof/>
                <w:webHidden/>
              </w:rPr>
              <w:fldChar w:fldCharType="begin"/>
            </w:r>
            <w:r>
              <w:rPr>
                <w:noProof/>
                <w:webHidden/>
              </w:rPr>
              <w:instrText xml:space="preserve"> PAGEREF _Toc242319605 \h </w:instrText>
            </w:r>
            <w:r>
              <w:rPr>
                <w:noProof/>
                <w:webHidden/>
              </w:rPr>
            </w:r>
            <w:r>
              <w:rPr>
                <w:noProof/>
                <w:webHidden/>
              </w:rPr>
              <w:fldChar w:fldCharType="separate"/>
            </w:r>
            <w:r>
              <w:rPr>
                <w:noProof/>
                <w:webHidden/>
              </w:rPr>
              <w:t>6</w:t>
            </w:r>
            <w:r>
              <w:rPr>
                <w:noProof/>
                <w:webHidden/>
              </w:rPr>
              <w:fldChar w:fldCharType="end"/>
            </w:r>
          </w:hyperlink>
        </w:p>
        <w:p w14:paraId="69727259" w14:textId="41AE8779" w:rsidR="00AE049D" w:rsidRDefault="00AE049D">
          <w:pPr>
            <w:pStyle w:val="TOC2"/>
            <w:tabs>
              <w:tab w:val="right" w:leader="dot" w:pos="9350"/>
            </w:tabs>
            <w:rPr>
              <w:rFonts w:eastAsiaTheme="minorEastAsia"/>
              <w:noProof/>
            </w:rPr>
          </w:pPr>
          <w:hyperlink w:anchor="_Toc242319606" w:history="1">
            <w:r w:rsidRPr="004C611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_Toc242319606 \h </w:instrText>
            </w:r>
            <w:r>
              <w:rPr>
                <w:noProof/>
                <w:webHidden/>
              </w:rPr>
            </w:r>
            <w:r>
              <w:rPr>
                <w:noProof/>
                <w:webHidden/>
              </w:rPr>
              <w:fldChar w:fldCharType="separate"/>
            </w:r>
            <w:r>
              <w:rPr>
                <w:noProof/>
                <w:webHidden/>
              </w:rPr>
              <w:t>6</w:t>
            </w:r>
            <w:r>
              <w:rPr>
                <w:noProof/>
                <w:webHidden/>
              </w:rPr>
              <w:fldChar w:fldCharType="end"/>
            </w:r>
          </w:hyperlink>
        </w:p>
        <w:p w14:paraId="6699AEC6" w14:textId="35C5D63C" w:rsidR="00AE049D" w:rsidRDefault="00AE049D">
          <w:pPr>
            <w:pStyle w:val="TOC2"/>
            <w:tabs>
              <w:tab w:val="right" w:leader="dot" w:pos="9350"/>
            </w:tabs>
            <w:rPr>
              <w:rFonts w:eastAsiaTheme="minorEastAsia"/>
              <w:noProof/>
            </w:rPr>
          </w:pPr>
          <w:hyperlink w:anchor="_Toc242319607" w:history="1">
            <w:r w:rsidRPr="004C6110">
              <w:rPr>
                <w:rStyle w:val="Hyperlink"/>
                <w:rFonts w:ascii="Arial" w:hAnsi="Arial" w:cs="Arial"/>
                <w:b/>
                <w:bCs/>
                <w:noProof/>
              </w:rPr>
              <w:t>Historical Development and Current Function</w:t>
            </w:r>
            <w:r>
              <w:rPr>
                <w:noProof/>
                <w:webHidden/>
              </w:rPr>
              <w:tab/>
            </w:r>
            <w:r>
              <w:rPr>
                <w:noProof/>
                <w:webHidden/>
              </w:rPr>
              <w:fldChar w:fldCharType="begin"/>
            </w:r>
            <w:r>
              <w:rPr>
                <w:noProof/>
                <w:webHidden/>
              </w:rPr>
              <w:instrText xml:space="preserve"> PAGEREF _Toc242319607 \h </w:instrText>
            </w:r>
            <w:r>
              <w:rPr>
                <w:noProof/>
                <w:webHidden/>
              </w:rPr>
            </w:r>
            <w:r>
              <w:rPr>
                <w:noProof/>
                <w:webHidden/>
              </w:rPr>
              <w:fldChar w:fldCharType="separate"/>
            </w:r>
            <w:r>
              <w:rPr>
                <w:noProof/>
                <w:webHidden/>
              </w:rPr>
              <w:t>6</w:t>
            </w:r>
            <w:r>
              <w:rPr>
                <w:noProof/>
                <w:webHidden/>
              </w:rPr>
              <w:fldChar w:fldCharType="end"/>
            </w:r>
          </w:hyperlink>
        </w:p>
        <w:p w14:paraId="30D2D818" w14:textId="21EF78C7" w:rsidR="00AE049D" w:rsidRDefault="00AE049D">
          <w:pPr>
            <w:pStyle w:val="TOC2"/>
            <w:tabs>
              <w:tab w:val="right" w:leader="dot" w:pos="9350"/>
            </w:tabs>
            <w:rPr>
              <w:rFonts w:eastAsiaTheme="minorEastAsia"/>
              <w:noProof/>
            </w:rPr>
          </w:pPr>
          <w:hyperlink w:anchor="_Toc242319608" w:history="1">
            <w:r w:rsidRPr="004C6110">
              <w:rPr>
                <w:rStyle w:val="Hyperlink"/>
                <w:rFonts w:ascii="Arial" w:hAnsi="Arial" w:cs="Arial"/>
                <w:b/>
                <w:bCs/>
                <w:noProof/>
              </w:rPr>
              <w:t>Critical Evaluation and Significance for Service Users</w:t>
            </w:r>
            <w:r>
              <w:rPr>
                <w:noProof/>
                <w:webHidden/>
              </w:rPr>
              <w:tab/>
            </w:r>
            <w:r>
              <w:rPr>
                <w:noProof/>
                <w:webHidden/>
              </w:rPr>
              <w:fldChar w:fldCharType="begin"/>
            </w:r>
            <w:r>
              <w:rPr>
                <w:noProof/>
                <w:webHidden/>
              </w:rPr>
              <w:instrText xml:space="preserve"> PAGEREF _Toc242319608 \h </w:instrText>
            </w:r>
            <w:r>
              <w:rPr>
                <w:noProof/>
                <w:webHidden/>
              </w:rPr>
            </w:r>
            <w:r>
              <w:rPr>
                <w:noProof/>
                <w:webHidden/>
              </w:rPr>
              <w:fldChar w:fldCharType="separate"/>
            </w:r>
            <w:r>
              <w:rPr>
                <w:noProof/>
                <w:webHidden/>
              </w:rPr>
              <w:t>7</w:t>
            </w:r>
            <w:r>
              <w:rPr>
                <w:noProof/>
                <w:webHidden/>
              </w:rPr>
              <w:fldChar w:fldCharType="end"/>
            </w:r>
          </w:hyperlink>
        </w:p>
        <w:p w14:paraId="23B8D55B" w14:textId="426DD1F0" w:rsidR="00AE049D" w:rsidRDefault="00AE049D">
          <w:pPr>
            <w:pStyle w:val="TOC2"/>
            <w:tabs>
              <w:tab w:val="right" w:leader="dot" w:pos="9350"/>
            </w:tabs>
            <w:rPr>
              <w:rFonts w:eastAsiaTheme="minorEastAsia"/>
              <w:noProof/>
            </w:rPr>
          </w:pPr>
          <w:hyperlink w:anchor="_Toc242319609" w:history="1">
            <w:r w:rsidRPr="004C611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_Toc242319609 \h </w:instrText>
            </w:r>
            <w:r>
              <w:rPr>
                <w:noProof/>
                <w:webHidden/>
              </w:rPr>
            </w:r>
            <w:r>
              <w:rPr>
                <w:noProof/>
                <w:webHidden/>
              </w:rPr>
              <w:fldChar w:fldCharType="separate"/>
            </w:r>
            <w:r>
              <w:rPr>
                <w:noProof/>
                <w:webHidden/>
              </w:rPr>
              <w:t>7</w:t>
            </w:r>
            <w:r>
              <w:rPr>
                <w:noProof/>
                <w:webHidden/>
              </w:rPr>
              <w:fldChar w:fldCharType="end"/>
            </w:r>
          </w:hyperlink>
        </w:p>
        <w:p w14:paraId="04DDC639" w14:textId="675B4CEF" w:rsidR="00AE049D" w:rsidRDefault="00AE049D">
          <w:pPr>
            <w:pStyle w:val="TOC2"/>
            <w:tabs>
              <w:tab w:val="right" w:leader="dot" w:pos="9350"/>
            </w:tabs>
            <w:rPr>
              <w:rFonts w:eastAsiaTheme="minorEastAsia"/>
              <w:noProof/>
            </w:rPr>
          </w:pPr>
          <w:hyperlink w:anchor="_Toc242319610" w:history="1">
            <w:r w:rsidRPr="004C611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_Toc242319610 \h </w:instrText>
            </w:r>
            <w:r>
              <w:rPr>
                <w:noProof/>
                <w:webHidden/>
              </w:rPr>
            </w:r>
            <w:r>
              <w:rPr>
                <w:noProof/>
                <w:webHidden/>
              </w:rPr>
              <w:fldChar w:fldCharType="separate"/>
            </w:r>
            <w:r>
              <w:rPr>
                <w:noProof/>
                <w:webHidden/>
              </w:rPr>
              <w:t>8</w:t>
            </w:r>
            <w:r>
              <w:rPr>
                <w:noProof/>
                <w:webHidden/>
              </w:rPr>
              <w:fldChar w:fldCharType="end"/>
            </w:r>
          </w:hyperlink>
        </w:p>
        <w:p w14:paraId="33F217A7" w14:textId="4B0A3B18" w:rsidR="0004658C" w:rsidRDefault="0004658C">
          <w:r>
            <w:rPr>
              <w:b/>
              <w:bCs/>
              <w:noProof/>
            </w:rPr>
            <w:fldChar w:fldCharType="end"/>
          </w:r>
        </w:p>
      </w:sdtContent>
    </w:sdt>
    <w:p w14:paraId="2F810B09" w14:textId="77777777" w:rsidR="0004658C" w:rsidRDefault="0004658C" w:rsidP="00B81227">
      <w:pPr>
        <w:spacing w:line="360" w:lineRule="auto"/>
      </w:pPr>
    </w:p>
    <w:p w14:paraId="4FF1A838" w14:textId="77777777" w:rsidR="0004658C" w:rsidRDefault="0004658C" w:rsidP="00B81227">
      <w:pPr>
        <w:spacing w:line="360" w:lineRule="auto"/>
      </w:pPr>
    </w:p>
    <w:p w14:paraId="1D2D8D03" w14:textId="77777777" w:rsidR="0004658C" w:rsidRDefault="0004658C" w:rsidP="00B81227">
      <w:pPr>
        <w:spacing w:line="360" w:lineRule="auto"/>
      </w:pPr>
    </w:p>
    <w:p w14:paraId="1FF9C8E2" w14:textId="77777777" w:rsidR="0004658C" w:rsidRDefault="0004658C" w:rsidP="00B81227">
      <w:pPr>
        <w:spacing w:line="360" w:lineRule="auto"/>
      </w:pPr>
    </w:p>
    <w:p w14:paraId="23E60B93" w14:textId="77777777" w:rsidR="0004658C" w:rsidRDefault="0004658C" w:rsidP="00B81227">
      <w:pPr>
        <w:spacing w:line="360" w:lineRule="auto"/>
      </w:pPr>
    </w:p>
    <w:p w14:paraId="5964FB90" w14:textId="77777777" w:rsidR="0004658C" w:rsidRDefault="0004658C" w:rsidP="00B81227">
      <w:pPr>
        <w:spacing w:line="360" w:lineRule="auto"/>
      </w:pPr>
    </w:p>
    <w:p w14:paraId="19188975" w14:textId="77777777" w:rsidR="0004658C" w:rsidRDefault="0004658C" w:rsidP="00B81227">
      <w:pPr>
        <w:spacing w:line="360" w:lineRule="auto"/>
      </w:pPr>
    </w:p>
    <w:p w14:paraId="7DDF063E" w14:textId="77777777" w:rsidR="0004658C" w:rsidRDefault="0004658C" w:rsidP="00B81227">
      <w:pPr>
        <w:spacing w:line="360" w:lineRule="auto"/>
      </w:pPr>
    </w:p>
    <w:p w14:paraId="1E7A16F2" w14:textId="77777777" w:rsidR="0004658C" w:rsidRDefault="0004658C" w:rsidP="00B81227">
      <w:pPr>
        <w:spacing w:line="360" w:lineRule="auto"/>
      </w:pPr>
    </w:p>
    <w:p w14:paraId="78D9DA3C" w14:textId="77777777" w:rsidR="008E4899" w:rsidRDefault="008E4899" w:rsidP="00B81227">
      <w:pPr>
        <w:spacing w:line="360" w:lineRule="auto"/>
      </w:pPr>
    </w:p>
    <w:p w14:paraId="1D27B568" w14:textId="0D320067" w:rsidR="00FE5AAE" w:rsidRPr="000E29F5" w:rsidRDefault="00FE5AAE" w:rsidP="00B81227">
      <w:pPr>
        <w:pStyle w:val="Heading1"/>
        <w:spacing w:line="360" w:lineRule="auto"/>
        <w:jc w:val="center"/>
        <w:rPr>
          <w:rFonts w:ascii="Arial" w:hAnsi="Arial" w:cs="Arial"/>
          <w:b/>
          <w:bCs/>
          <w:color w:val="auto"/>
          <w:sz w:val="32"/>
          <w:szCs w:val="32"/>
        </w:rPr>
      </w:pPr>
      <w:bookmarkStart w:id="0" w:name="_Toc242319600"/>
      <w:r w:rsidRPr="000E29F5">
        <w:rPr>
          <w:rFonts w:ascii="Arial" w:hAnsi="Arial" w:cs="Arial"/>
          <w:b/>
          <w:bCs/>
          <w:color w:val="auto"/>
          <w:sz w:val="32"/>
          <w:szCs w:val="32"/>
        </w:rPr>
        <w:t>Task 1: Guided Scenario Response – Mini Report</w:t>
      </w:r>
      <w:bookmarkEnd w:id="0"/>
    </w:p>
    <w:p w14:paraId="17670DB5" w14:textId="435B3321" w:rsidR="00FE5AAE" w:rsidRPr="000E29F5" w:rsidRDefault="00FE5AAE" w:rsidP="00B81227">
      <w:pPr>
        <w:spacing w:line="360" w:lineRule="auto"/>
        <w:rPr>
          <w:rFonts w:ascii="Arial" w:hAnsi="Arial" w:cs="Arial"/>
          <w:sz w:val="22"/>
          <w:szCs w:val="22"/>
        </w:rPr>
      </w:pPr>
      <w:r w:rsidRPr="000E29F5">
        <w:rPr>
          <w:rFonts w:ascii="Arial" w:hAnsi="Arial" w:cs="Arial"/>
          <w:b/>
          <w:bCs/>
          <w:sz w:val="22"/>
          <w:szCs w:val="22"/>
        </w:rPr>
        <w:t>To:</w:t>
      </w:r>
      <w:r w:rsidRPr="000E29F5">
        <w:rPr>
          <w:rFonts w:ascii="Arial" w:hAnsi="Arial" w:cs="Arial"/>
          <w:sz w:val="22"/>
          <w:szCs w:val="22"/>
        </w:rPr>
        <w:t xml:space="preserve"> </w:t>
      </w:r>
      <w:proofErr w:type="spellStart"/>
      <w:r w:rsidRPr="000E29F5">
        <w:rPr>
          <w:rFonts w:ascii="Arial" w:hAnsi="Arial" w:cs="Arial"/>
          <w:sz w:val="22"/>
          <w:szCs w:val="22"/>
        </w:rPr>
        <w:t>Councillor</w:t>
      </w:r>
      <w:proofErr w:type="spellEnd"/>
      <w:r w:rsidRPr="000E29F5">
        <w:rPr>
          <w:rFonts w:ascii="Arial" w:hAnsi="Arial" w:cs="Arial"/>
          <w:sz w:val="22"/>
          <w:szCs w:val="22"/>
        </w:rPr>
        <w:t xml:space="preserve"> </w:t>
      </w:r>
      <w:proofErr w:type="spellStart"/>
      <w:r w:rsidR="00920E7A" w:rsidRPr="000E29F5">
        <w:rPr>
          <w:rFonts w:ascii="Arial" w:hAnsi="Arial" w:cs="Arial"/>
          <w:sz w:val="22"/>
          <w:szCs w:val="22"/>
        </w:rPr>
        <w:t>Nosheen</w:t>
      </w:r>
      <w:proofErr w:type="spellEnd"/>
      <w:r w:rsidR="00920E7A" w:rsidRPr="000E29F5">
        <w:rPr>
          <w:rFonts w:ascii="Arial" w:hAnsi="Arial" w:cs="Arial"/>
          <w:sz w:val="22"/>
          <w:szCs w:val="22"/>
        </w:rPr>
        <w:t xml:space="preserve"> Khalid, </w:t>
      </w:r>
      <w:r w:rsidR="000E29F5" w:rsidRPr="000E29F5">
        <w:rPr>
          <w:rFonts w:ascii="Arial" w:hAnsi="Arial" w:cs="Arial"/>
          <w:sz w:val="22"/>
          <w:szCs w:val="22"/>
        </w:rPr>
        <w:t xml:space="preserve">Birmingham City Council                                                           </w:t>
      </w:r>
      <w:r w:rsidRPr="000E29F5">
        <w:rPr>
          <w:rFonts w:ascii="Arial" w:hAnsi="Arial" w:cs="Arial"/>
          <w:b/>
          <w:bCs/>
          <w:sz w:val="22"/>
          <w:szCs w:val="22"/>
        </w:rPr>
        <w:t>Subject:</w:t>
      </w:r>
      <w:r w:rsidRPr="000E29F5">
        <w:rPr>
          <w:rFonts w:ascii="Arial" w:hAnsi="Arial" w:cs="Arial"/>
          <w:sz w:val="22"/>
          <w:szCs w:val="22"/>
        </w:rPr>
        <w:t xml:space="preserve"> Addressing the Shortage of Community Mental Health Services</w:t>
      </w:r>
      <w:r w:rsidRPr="000E29F5">
        <w:rPr>
          <w:rFonts w:ascii="Arial" w:hAnsi="Arial" w:cs="Arial"/>
          <w:sz w:val="22"/>
          <w:szCs w:val="22"/>
        </w:rPr>
        <w:br/>
      </w:r>
      <w:r w:rsidRPr="000E29F5">
        <w:rPr>
          <w:rFonts w:ascii="Arial" w:hAnsi="Arial" w:cs="Arial"/>
          <w:b/>
          <w:bCs/>
          <w:sz w:val="22"/>
          <w:szCs w:val="22"/>
        </w:rPr>
        <w:t>Prepared by:</w:t>
      </w:r>
      <w:r w:rsidRPr="000E29F5">
        <w:rPr>
          <w:rFonts w:ascii="Arial" w:hAnsi="Arial" w:cs="Arial"/>
          <w:sz w:val="22"/>
          <w:szCs w:val="22"/>
        </w:rPr>
        <w:t xml:space="preserve"> Adil</w:t>
      </w:r>
      <w:r w:rsidRPr="000E29F5">
        <w:rPr>
          <w:rFonts w:ascii="Arial" w:hAnsi="Arial" w:cs="Arial"/>
          <w:sz w:val="22"/>
          <w:szCs w:val="22"/>
        </w:rPr>
        <w:br/>
      </w:r>
      <w:r w:rsidRPr="000E29F5">
        <w:rPr>
          <w:rFonts w:ascii="Arial" w:hAnsi="Arial" w:cs="Arial"/>
          <w:b/>
          <w:bCs/>
          <w:sz w:val="22"/>
          <w:szCs w:val="22"/>
        </w:rPr>
        <w:t>Date:</w:t>
      </w:r>
      <w:r w:rsidRPr="000E29F5">
        <w:rPr>
          <w:rFonts w:ascii="Arial" w:hAnsi="Arial" w:cs="Arial"/>
          <w:sz w:val="22"/>
          <w:szCs w:val="22"/>
        </w:rPr>
        <w:t xml:space="preserve"> </w:t>
      </w:r>
      <w:r w:rsidR="001D1509" w:rsidRPr="001D1509">
        <w:rPr>
          <w:rFonts w:ascii="Arial" w:hAnsi="Arial" w:cs="Arial"/>
          <w:sz w:val="22"/>
          <w:szCs w:val="22"/>
        </w:rPr>
        <w:t>19 October 2026</w:t>
      </w:r>
    </w:p>
    <w:p w14:paraId="678591B3" w14:textId="77777777" w:rsidR="00FE5AAE" w:rsidRPr="000E29F5" w:rsidRDefault="00FE5AAE" w:rsidP="00B81227">
      <w:pPr>
        <w:pStyle w:val="Heading2"/>
        <w:spacing w:line="360" w:lineRule="auto"/>
        <w:jc w:val="both"/>
        <w:rPr>
          <w:rFonts w:ascii="Arial" w:hAnsi="Arial" w:cs="Arial"/>
          <w:b/>
          <w:bCs/>
          <w:color w:val="auto"/>
          <w:sz w:val="28"/>
          <w:szCs w:val="28"/>
        </w:rPr>
      </w:pPr>
      <w:bookmarkStart w:id="1" w:name="_Toc242319601"/>
      <w:r w:rsidRPr="000E29F5">
        <w:rPr>
          <w:rFonts w:ascii="Arial" w:hAnsi="Arial" w:cs="Arial"/>
          <w:b/>
          <w:bCs/>
          <w:color w:val="auto"/>
          <w:sz w:val="28"/>
          <w:szCs w:val="28"/>
        </w:rPr>
        <w:t>Introduction</w:t>
      </w:r>
      <w:bookmarkEnd w:id="1"/>
    </w:p>
    <w:p w14:paraId="0A335BAB" w14:textId="6C964920" w:rsidR="00FE5AAE" w:rsidRPr="000E29F5" w:rsidRDefault="00FE5AAE" w:rsidP="00B81227">
      <w:pPr>
        <w:spacing w:line="360" w:lineRule="auto"/>
        <w:jc w:val="both"/>
        <w:rPr>
          <w:rFonts w:ascii="Arial" w:hAnsi="Arial" w:cs="Arial"/>
          <w:sz w:val="22"/>
          <w:szCs w:val="22"/>
        </w:rPr>
      </w:pPr>
      <w:r w:rsidRPr="000E29F5">
        <w:rPr>
          <w:rFonts w:ascii="Arial" w:hAnsi="Arial" w:cs="Arial"/>
          <w:sz w:val="22"/>
          <w:szCs w:val="22"/>
        </w:rPr>
        <w:t xml:space="preserve">Community mental health services are vital because they help to assess, treat, recover and intervene early to people's lives near their homes. It outlines a lack of such services in the </w:t>
      </w:r>
      <w:r w:rsidR="00F40077" w:rsidRPr="000E29F5">
        <w:rPr>
          <w:rFonts w:ascii="Arial" w:hAnsi="Arial" w:cs="Arial"/>
          <w:sz w:val="22"/>
          <w:szCs w:val="22"/>
        </w:rPr>
        <w:t>Birmingham City Council</w:t>
      </w:r>
      <w:r w:rsidRPr="000E29F5">
        <w:rPr>
          <w:rFonts w:ascii="Arial" w:hAnsi="Arial" w:cs="Arial"/>
          <w:sz w:val="22"/>
          <w:szCs w:val="22"/>
        </w:rPr>
        <w:t xml:space="preserve">, which means the </w:t>
      </w:r>
      <w:r w:rsidR="004E6E58" w:rsidRPr="004E6E58">
        <w:rPr>
          <w:rFonts w:ascii="Arial" w:hAnsi="Arial" w:cs="Arial"/>
          <w:sz w:val="22"/>
          <w:szCs w:val="22"/>
        </w:rPr>
        <w:t>Birmingham City Council</w:t>
      </w:r>
      <w:r w:rsidR="004E6E58">
        <w:rPr>
          <w:rFonts w:ascii="Arial" w:hAnsi="Arial" w:cs="Arial"/>
          <w:sz w:val="22"/>
          <w:szCs w:val="22"/>
        </w:rPr>
        <w:t xml:space="preserve"> </w:t>
      </w:r>
      <w:r w:rsidRPr="000E29F5">
        <w:rPr>
          <w:rFonts w:ascii="Arial" w:hAnsi="Arial" w:cs="Arial"/>
          <w:sz w:val="22"/>
          <w:szCs w:val="22"/>
        </w:rPr>
        <w:t xml:space="preserve">needs to increase accessibility and preventive provision. This need is one of the </w:t>
      </w:r>
      <w:r w:rsidR="00F40077" w:rsidRPr="000E29F5">
        <w:rPr>
          <w:rFonts w:ascii="Arial" w:hAnsi="Arial" w:cs="Arial"/>
          <w:sz w:val="22"/>
          <w:szCs w:val="22"/>
        </w:rPr>
        <w:t>key</w:t>
      </w:r>
      <w:r w:rsidRPr="000E29F5">
        <w:rPr>
          <w:rFonts w:ascii="Arial" w:hAnsi="Arial" w:cs="Arial"/>
          <w:sz w:val="22"/>
          <w:szCs w:val="22"/>
        </w:rPr>
        <w:t xml:space="preserve"> aims of the Care Act 2014, Part 1, which </w:t>
      </w:r>
      <w:proofErr w:type="spellStart"/>
      <w:r w:rsidRPr="000E29F5">
        <w:rPr>
          <w:rFonts w:ascii="Arial" w:hAnsi="Arial" w:cs="Arial"/>
          <w:sz w:val="22"/>
          <w:szCs w:val="22"/>
        </w:rPr>
        <w:t>prioritises</w:t>
      </w:r>
      <w:proofErr w:type="spellEnd"/>
      <w:r w:rsidRPr="000E29F5">
        <w:rPr>
          <w:rFonts w:ascii="Arial" w:hAnsi="Arial" w:cs="Arial"/>
          <w:sz w:val="22"/>
          <w:szCs w:val="22"/>
        </w:rPr>
        <w:t xml:space="preserve"> the need to put individual wellbeing at the heart of </w:t>
      </w:r>
      <w:r w:rsidR="00FD7E02" w:rsidRPr="000E29F5">
        <w:rPr>
          <w:rFonts w:ascii="Arial" w:hAnsi="Arial" w:cs="Arial"/>
          <w:sz w:val="22"/>
          <w:szCs w:val="22"/>
        </w:rPr>
        <w:t>Birmingham City Council</w:t>
      </w:r>
      <w:r w:rsidR="00F40077">
        <w:rPr>
          <w:rFonts w:ascii="Arial" w:hAnsi="Arial" w:cs="Arial"/>
          <w:sz w:val="22"/>
          <w:szCs w:val="22"/>
        </w:rPr>
        <w:t xml:space="preserve"> </w:t>
      </w:r>
      <w:r w:rsidRPr="000E29F5">
        <w:rPr>
          <w:rFonts w:ascii="Arial" w:hAnsi="Arial" w:cs="Arial"/>
          <w:sz w:val="22"/>
          <w:szCs w:val="22"/>
        </w:rPr>
        <w:t xml:space="preserve">duties. Mental health and emotional wellbeing </w:t>
      </w:r>
      <w:r w:rsidR="00C455EE" w:rsidRPr="000E29F5">
        <w:rPr>
          <w:rFonts w:ascii="Arial" w:hAnsi="Arial" w:cs="Arial"/>
          <w:sz w:val="22"/>
          <w:szCs w:val="22"/>
        </w:rPr>
        <w:t>are</w:t>
      </w:r>
      <w:r w:rsidRPr="000E29F5">
        <w:rPr>
          <w:rFonts w:ascii="Arial" w:hAnsi="Arial" w:cs="Arial"/>
          <w:sz w:val="22"/>
          <w:szCs w:val="22"/>
        </w:rPr>
        <w:t xml:space="preserve"> part of wellbeing in section </w:t>
      </w:r>
      <w:r w:rsidR="00911A05" w:rsidRPr="000E29F5">
        <w:rPr>
          <w:rFonts w:ascii="Arial" w:hAnsi="Arial" w:cs="Arial"/>
          <w:sz w:val="22"/>
          <w:szCs w:val="22"/>
        </w:rPr>
        <w:t>1 and</w:t>
      </w:r>
      <w:r w:rsidRPr="000E29F5">
        <w:rPr>
          <w:rFonts w:ascii="Arial" w:hAnsi="Arial" w:cs="Arial"/>
          <w:sz w:val="22"/>
          <w:szCs w:val="22"/>
        </w:rPr>
        <w:t xml:space="preserve"> is required to be regarded when measures are taken to prevent or reduce care and support needs (Care Act 2014). Additionally, workforce capacity was identified as a key concern, with Brimblecombe (2023) reporting that the number of mental health nurses was still lower than the national targets while over half of the workforce were </w:t>
      </w:r>
      <w:r w:rsidR="00911A05" w:rsidRPr="000E29F5">
        <w:rPr>
          <w:rFonts w:ascii="Arial" w:hAnsi="Arial" w:cs="Arial"/>
          <w:sz w:val="22"/>
          <w:szCs w:val="22"/>
        </w:rPr>
        <w:t>community-based</w:t>
      </w:r>
      <w:r w:rsidRPr="000E29F5">
        <w:rPr>
          <w:rFonts w:ascii="Arial" w:hAnsi="Arial" w:cs="Arial"/>
          <w:sz w:val="22"/>
          <w:szCs w:val="22"/>
        </w:rPr>
        <w:t xml:space="preserve"> nurses. </w:t>
      </w:r>
    </w:p>
    <w:p w14:paraId="6F506837" w14:textId="77777777" w:rsidR="00FE5AAE" w:rsidRPr="001D1509" w:rsidRDefault="00FE5AAE" w:rsidP="00B81227">
      <w:pPr>
        <w:pStyle w:val="Heading2"/>
        <w:spacing w:line="360" w:lineRule="auto"/>
        <w:jc w:val="both"/>
        <w:rPr>
          <w:rFonts w:ascii="Arial" w:hAnsi="Arial" w:cs="Arial"/>
          <w:b/>
          <w:bCs/>
          <w:color w:val="auto"/>
          <w:sz w:val="28"/>
          <w:szCs w:val="28"/>
        </w:rPr>
      </w:pPr>
      <w:bookmarkStart w:id="2" w:name="_Toc242319602"/>
      <w:r w:rsidRPr="001D1509">
        <w:rPr>
          <w:rFonts w:ascii="Arial" w:hAnsi="Arial" w:cs="Arial"/>
          <w:b/>
          <w:bCs/>
          <w:color w:val="auto"/>
          <w:sz w:val="28"/>
          <w:szCs w:val="28"/>
        </w:rPr>
        <w:t>Impact on the Community</w:t>
      </w:r>
      <w:bookmarkEnd w:id="2"/>
    </w:p>
    <w:p w14:paraId="0D075B35" w14:textId="48F45BD2" w:rsidR="00D863E3" w:rsidRPr="00D863E3" w:rsidRDefault="00876FD8" w:rsidP="00D863E3">
      <w:pPr>
        <w:spacing w:line="360" w:lineRule="auto"/>
        <w:jc w:val="both"/>
        <w:rPr>
          <w:rFonts w:ascii="Arial" w:hAnsi="Arial" w:cs="Arial"/>
          <w:sz w:val="22"/>
          <w:szCs w:val="22"/>
        </w:rPr>
      </w:pPr>
      <w:r w:rsidRPr="00876FD8">
        <w:rPr>
          <w:rFonts w:ascii="Arial" w:hAnsi="Arial" w:cs="Arial"/>
          <w:sz w:val="22"/>
          <w:szCs w:val="22"/>
        </w:rPr>
        <w:t xml:space="preserve">The lack of community mental health services can result in substantial impacts within a family, for individuals and for communities. People may not be able to access the support they need at the right time and place, due to delayed assessment, limited treatment options and less continuity of care. Some of the barriers to accessing mental health and wellbeing services identified in the Community Mental Health Survey </w:t>
      </w:r>
      <w:r w:rsidR="000322AA" w:rsidRPr="00876FD8">
        <w:rPr>
          <w:rFonts w:ascii="Arial" w:hAnsi="Arial" w:cs="Arial"/>
          <w:sz w:val="22"/>
          <w:szCs w:val="22"/>
        </w:rPr>
        <w:t>are</w:t>
      </w:r>
      <w:r w:rsidRPr="00876FD8">
        <w:rPr>
          <w:rFonts w:ascii="Arial" w:hAnsi="Arial" w:cs="Arial"/>
          <w:sz w:val="22"/>
          <w:szCs w:val="22"/>
        </w:rPr>
        <w:t xml:space="preserve"> waiting times, access, staffing levels, communication and capacity issues; and service users value timely, </w:t>
      </w:r>
      <w:proofErr w:type="spellStart"/>
      <w:r w:rsidRPr="00876FD8">
        <w:rPr>
          <w:rFonts w:ascii="Arial" w:hAnsi="Arial" w:cs="Arial"/>
          <w:sz w:val="22"/>
          <w:szCs w:val="22"/>
        </w:rPr>
        <w:t>individualised</w:t>
      </w:r>
      <w:proofErr w:type="spellEnd"/>
      <w:r w:rsidRPr="00876FD8">
        <w:rPr>
          <w:rFonts w:ascii="Arial" w:hAnsi="Arial" w:cs="Arial"/>
          <w:sz w:val="22"/>
          <w:szCs w:val="22"/>
        </w:rPr>
        <w:t xml:space="preserve"> and coordinated care (NHS England, 2024). Such barriers can cause delays in recovery and may see needs become more complex, which can impact independence as well as relationships and everyday activities. They can also create added strain on crisis and secondary services, as well as on services available within the community, when people have complex and evolving needs and need to be supported in the community on a regular basis</w:t>
      </w:r>
      <w:r w:rsidR="00D863E3" w:rsidRPr="00D863E3">
        <w:rPr>
          <w:rFonts w:ascii="Arial" w:hAnsi="Arial" w:cs="Arial"/>
          <w:sz w:val="22"/>
          <w:szCs w:val="22"/>
        </w:rPr>
        <w:t>.</w:t>
      </w:r>
    </w:p>
    <w:p w14:paraId="7084F1E0" w14:textId="6154360B" w:rsidR="00FE5AAE" w:rsidRPr="000E29F5" w:rsidRDefault="00CB033A" w:rsidP="00B81227">
      <w:pPr>
        <w:spacing w:line="360" w:lineRule="auto"/>
        <w:jc w:val="both"/>
        <w:rPr>
          <w:rFonts w:ascii="Arial" w:hAnsi="Arial" w:cs="Arial"/>
          <w:sz w:val="22"/>
          <w:szCs w:val="22"/>
        </w:rPr>
      </w:pPr>
      <w:r w:rsidRPr="00CB033A">
        <w:rPr>
          <w:rFonts w:ascii="Arial" w:hAnsi="Arial" w:cs="Arial"/>
          <w:sz w:val="22"/>
          <w:szCs w:val="22"/>
        </w:rPr>
        <w:t xml:space="preserve">Accessibility isn't the only thing that's affected as </w:t>
      </w:r>
      <w:r w:rsidR="000732A1" w:rsidRPr="00CB033A">
        <w:rPr>
          <w:rFonts w:ascii="Arial" w:hAnsi="Arial" w:cs="Arial"/>
          <w:sz w:val="22"/>
          <w:szCs w:val="22"/>
        </w:rPr>
        <w:t>safety</w:t>
      </w:r>
      <w:r w:rsidRPr="00CB033A">
        <w:rPr>
          <w:rFonts w:ascii="Arial" w:hAnsi="Arial" w:cs="Arial"/>
          <w:sz w:val="22"/>
          <w:szCs w:val="22"/>
        </w:rPr>
        <w:t xml:space="preserve"> and quality of community care are also a concern. Averill et al. (2024) identified systemic barriers to a safe community-based mental health care, noting the need to pay attention to patient and carer experiences, as well as clinical risk. This indicates that where provision is inadequate it may be that </w:t>
      </w:r>
      <w:r w:rsidR="00531927" w:rsidRPr="00CB033A">
        <w:rPr>
          <w:rFonts w:ascii="Arial" w:hAnsi="Arial" w:cs="Arial"/>
          <w:sz w:val="22"/>
          <w:szCs w:val="22"/>
        </w:rPr>
        <w:t>people</w:t>
      </w:r>
      <w:r w:rsidRPr="00CB033A">
        <w:rPr>
          <w:rFonts w:ascii="Arial" w:hAnsi="Arial" w:cs="Arial"/>
          <w:sz w:val="22"/>
          <w:szCs w:val="22"/>
        </w:rPr>
        <w:t xml:space="preserve"> and carers are not getting the support they need before their needs increase. The shortage is not just a capacity issue, it can have a detrimental impact on wellbeing, recovery, independence and safe, </w:t>
      </w:r>
      <w:proofErr w:type="spellStart"/>
      <w:r w:rsidRPr="00CB033A">
        <w:rPr>
          <w:rFonts w:ascii="Arial" w:hAnsi="Arial" w:cs="Arial"/>
          <w:sz w:val="22"/>
          <w:szCs w:val="22"/>
        </w:rPr>
        <w:t>personalised</w:t>
      </w:r>
      <w:proofErr w:type="spellEnd"/>
      <w:r w:rsidRPr="00CB033A">
        <w:rPr>
          <w:rFonts w:ascii="Arial" w:hAnsi="Arial" w:cs="Arial"/>
          <w:sz w:val="22"/>
          <w:szCs w:val="22"/>
        </w:rPr>
        <w:t xml:space="preserve"> care provision within the community</w:t>
      </w:r>
      <w:r w:rsidR="00D863E3" w:rsidRPr="00D863E3">
        <w:rPr>
          <w:rFonts w:ascii="Arial" w:hAnsi="Arial" w:cs="Arial"/>
          <w:sz w:val="22"/>
          <w:szCs w:val="22"/>
        </w:rPr>
        <w:t>.</w:t>
      </w:r>
    </w:p>
    <w:p w14:paraId="37400FBE" w14:textId="77777777" w:rsidR="00FE5AAE" w:rsidRPr="001D1509" w:rsidRDefault="00FE5AAE" w:rsidP="00B81227">
      <w:pPr>
        <w:pStyle w:val="Heading2"/>
        <w:spacing w:line="360" w:lineRule="auto"/>
        <w:jc w:val="both"/>
        <w:rPr>
          <w:rFonts w:ascii="Arial" w:hAnsi="Arial" w:cs="Arial"/>
          <w:b/>
          <w:bCs/>
          <w:color w:val="auto"/>
          <w:sz w:val="28"/>
          <w:szCs w:val="28"/>
        </w:rPr>
      </w:pPr>
      <w:bookmarkStart w:id="3" w:name="_Toc242319603"/>
      <w:r w:rsidRPr="001D1509">
        <w:rPr>
          <w:rFonts w:ascii="Arial" w:hAnsi="Arial" w:cs="Arial"/>
          <w:b/>
          <w:bCs/>
          <w:color w:val="auto"/>
          <w:sz w:val="28"/>
          <w:szCs w:val="28"/>
        </w:rPr>
        <w:t>Recommended Response</w:t>
      </w:r>
      <w:bookmarkEnd w:id="3"/>
    </w:p>
    <w:p w14:paraId="1A7D11CA" w14:textId="50464C7B" w:rsidR="00D272BE" w:rsidRPr="00D272BE" w:rsidRDefault="00CB033A" w:rsidP="00D272BE">
      <w:pPr>
        <w:spacing w:line="360" w:lineRule="auto"/>
        <w:jc w:val="both"/>
        <w:rPr>
          <w:rFonts w:ascii="Arial" w:hAnsi="Arial" w:cs="Arial"/>
          <w:sz w:val="22"/>
          <w:szCs w:val="22"/>
        </w:rPr>
      </w:pPr>
      <w:r w:rsidRPr="00CB033A">
        <w:rPr>
          <w:rFonts w:ascii="Arial" w:hAnsi="Arial" w:cs="Arial"/>
          <w:sz w:val="22"/>
          <w:szCs w:val="22"/>
        </w:rPr>
        <w:t xml:space="preserve">Birmingham City Council should have a coordinated Community Mental Health Access </w:t>
      </w:r>
      <w:proofErr w:type="spellStart"/>
      <w:r w:rsidRPr="00CB033A">
        <w:rPr>
          <w:rFonts w:ascii="Arial" w:hAnsi="Arial" w:cs="Arial"/>
          <w:sz w:val="22"/>
          <w:szCs w:val="22"/>
        </w:rPr>
        <w:t>Programme</w:t>
      </w:r>
      <w:proofErr w:type="spellEnd"/>
      <w:r w:rsidRPr="00CB033A">
        <w:rPr>
          <w:rFonts w:ascii="Arial" w:hAnsi="Arial" w:cs="Arial"/>
          <w:sz w:val="22"/>
          <w:szCs w:val="22"/>
        </w:rPr>
        <w:t xml:space="preserve"> in conjunction with NHS providers, primary care providers and voluntary-sector providers. Firstly, there needs to be more community mental health nurses and early intervention capacity. The study by Kenwright et al., (2024) showed clinically significant </w:t>
      </w:r>
      <w:r w:rsidR="006B2A0E" w:rsidRPr="00CB033A">
        <w:rPr>
          <w:rFonts w:ascii="Arial" w:hAnsi="Arial" w:cs="Arial"/>
          <w:sz w:val="22"/>
          <w:szCs w:val="22"/>
        </w:rPr>
        <w:t>symptoms</w:t>
      </w:r>
      <w:r w:rsidRPr="00CB033A">
        <w:rPr>
          <w:rFonts w:ascii="Arial" w:hAnsi="Arial" w:cs="Arial"/>
          <w:sz w:val="22"/>
          <w:szCs w:val="22"/>
        </w:rPr>
        <w:t xml:space="preserve"> and functioning improvement in those receiving community mental health nursing in integrated primary care. Building up community capacity would then help to increase access without taking undue strain on secondary services</w:t>
      </w:r>
      <w:r w:rsidR="00D272BE" w:rsidRPr="00D272BE">
        <w:rPr>
          <w:rFonts w:ascii="Arial" w:hAnsi="Arial" w:cs="Arial"/>
          <w:sz w:val="22"/>
          <w:szCs w:val="22"/>
        </w:rPr>
        <w:t>.</w:t>
      </w:r>
    </w:p>
    <w:p w14:paraId="4B20361E" w14:textId="77438258" w:rsidR="00D272BE" w:rsidRPr="00D272BE" w:rsidRDefault="00B51DA7" w:rsidP="00D272BE">
      <w:pPr>
        <w:spacing w:line="360" w:lineRule="auto"/>
        <w:jc w:val="both"/>
        <w:rPr>
          <w:rFonts w:ascii="Arial" w:hAnsi="Arial" w:cs="Arial"/>
          <w:sz w:val="22"/>
          <w:szCs w:val="22"/>
        </w:rPr>
      </w:pPr>
      <w:r w:rsidRPr="00B51DA7">
        <w:rPr>
          <w:rFonts w:ascii="Arial" w:hAnsi="Arial" w:cs="Arial"/>
          <w:sz w:val="22"/>
          <w:szCs w:val="22"/>
        </w:rPr>
        <w:t xml:space="preserve">Secondly, there should be joint referral systems and better collaboration with voluntary </w:t>
      </w:r>
      <w:proofErr w:type="spellStart"/>
      <w:r w:rsidRPr="00B51DA7">
        <w:rPr>
          <w:rFonts w:ascii="Arial" w:hAnsi="Arial" w:cs="Arial"/>
          <w:sz w:val="22"/>
          <w:szCs w:val="22"/>
        </w:rPr>
        <w:t>organisations</w:t>
      </w:r>
      <w:proofErr w:type="spellEnd"/>
      <w:r w:rsidRPr="00B51DA7">
        <w:rPr>
          <w:rFonts w:ascii="Arial" w:hAnsi="Arial" w:cs="Arial"/>
          <w:sz w:val="22"/>
          <w:szCs w:val="22"/>
        </w:rPr>
        <w:t xml:space="preserve">, by the Council. Power imbalance and rigid statutory </w:t>
      </w:r>
      <w:proofErr w:type="spellStart"/>
      <w:r w:rsidRPr="00B51DA7">
        <w:rPr>
          <w:rFonts w:ascii="Arial" w:hAnsi="Arial" w:cs="Arial"/>
          <w:sz w:val="22"/>
          <w:szCs w:val="22"/>
        </w:rPr>
        <w:t>organisation</w:t>
      </w:r>
      <w:proofErr w:type="spellEnd"/>
      <w:r w:rsidRPr="00B51DA7">
        <w:rPr>
          <w:rFonts w:ascii="Arial" w:hAnsi="Arial" w:cs="Arial"/>
          <w:sz w:val="22"/>
          <w:szCs w:val="22"/>
        </w:rPr>
        <w:t xml:space="preserve"> may impede integration (Hobson-Merrett et al., 2025); and a role for the voluntary sector may help to close treatment gaps and support service users. This should therefore include shared protocols, multidisciplinary meetings and clear accountability</w:t>
      </w:r>
      <w:r w:rsidR="00D272BE" w:rsidRPr="00D272BE">
        <w:rPr>
          <w:rFonts w:ascii="Arial" w:hAnsi="Arial" w:cs="Arial"/>
          <w:sz w:val="22"/>
          <w:szCs w:val="22"/>
        </w:rPr>
        <w:t>.</w:t>
      </w:r>
    </w:p>
    <w:p w14:paraId="2DC8FE88" w14:textId="3FEA4D07" w:rsidR="00D272BE" w:rsidRPr="00D272BE" w:rsidRDefault="00B51DA7" w:rsidP="00D272BE">
      <w:pPr>
        <w:spacing w:line="360" w:lineRule="auto"/>
        <w:jc w:val="both"/>
        <w:rPr>
          <w:rFonts w:ascii="Arial" w:hAnsi="Arial" w:cs="Arial"/>
          <w:sz w:val="22"/>
          <w:szCs w:val="22"/>
        </w:rPr>
      </w:pPr>
      <w:r w:rsidRPr="00B51DA7">
        <w:rPr>
          <w:rFonts w:ascii="Arial" w:hAnsi="Arial" w:cs="Arial"/>
          <w:sz w:val="22"/>
          <w:szCs w:val="22"/>
        </w:rPr>
        <w:t xml:space="preserve">Thirdly, in addition to waiting times, non-referrals, workforce continuity and service-user feedback, workforce recruitment, retention and development should be monitored. However, poor information flow and provider-specific working practices were cited as barriers to integration by </w:t>
      </w:r>
      <w:proofErr w:type="spellStart"/>
      <w:r w:rsidRPr="00B51DA7">
        <w:rPr>
          <w:rFonts w:ascii="Arial" w:hAnsi="Arial" w:cs="Arial"/>
          <w:sz w:val="22"/>
          <w:szCs w:val="22"/>
        </w:rPr>
        <w:t>Silvonen</w:t>
      </w:r>
      <w:proofErr w:type="spellEnd"/>
      <w:r w:rsidRPr="00B51DA7">
        <w:rPr>
          <w:rFonts w:ascii="Arial" w:hAnsi="Arial" w:cs="Arial"/>
          <w:sz w:val="22"/>
          <w:szCs w:val="22"/>
        </w:rPr>
        <w:t xml:space="preserve"> (2024), highlighting that capacity building is not enough to address any service gaps</w:t>
      </w:r>
      <w:r w:rsidR="00D272BE" w:rsidRPr="00D272BE">
        <w:rPr>
          <w:rFonts w:ascii="Arial" w:hAnsi="Arial" w:cs="Arial"/>
          <w:sz w:val="22"/>
          <w:szCs w:val="22"/>
        </w:rPr>
        <w:t>.</w:t>
      </w:r>
      <w:r w:rsidR="00AE049D" w:rsidRPr="00AE049D">
        <w:t xml:space="preserve"> </w:t>
      </w:r>
      <w:r w:rsidR="00AE049D" w:rsidRPr="00AE049D">
        <w:rPr>
          <w:rFonts w:ascii="Arial" w:hAnsi="Arial" w:cs="Arial"/>
          <w:sz w:val="22"/>
          <w:szCs w:val="22"/>
        </w:rPr>
        <w:t xml:space="preserve">The </w:t>
      </w:r>
      <w:proofErr w:type="spellStart"/>
      <w:r w:rsidR="00AE049D" w:rsidRPr="00AE049D">
        <w:rPr>
          <w:rFonts w:ascii="Arial" w:hAnsi="Arial" w:cs="Arial"/>
          <w:sz w:val="22"/>
          <w:szCs w:val="22"/>
        </w:rPr>
        <w:t>programme</w:t>
      </w:r>
      <w:proofErr w:type="spellEnd"/>
      <w:r w:rsidR="00AE049D" w:rsidRPr="00AE049D">
        <w:rPr>
          <w:rFonts w:ascii="Arial" w:hAnsi="Arial" w:cs="Arial"/>
          <w:sz w:val="22"/>
          <w:szCs w:val="22"/>
        </w:rPr>
        <w:t xml:space="preserve"> should also include regular review of outcomes to ensure that improvements in access, continuity and service-user experience are sustained over time.</w:t>
      </w:r>
    </w:p>
    <w:p w14:paraId="67608EBE" w14:textId="222D3DF2" w:rsidR="00FE5AAE" w:rsidRPr="000E29F5" w:rsidRDefault="00B51DA7" w:rsidP="00B81227">
      <w:pPr>
        <w:spacing w:line="360" w:lineRule="auto"/>
        <w:jc w:val="both"/>
        <w:rPr>
          <w:rFonts w:ascii="Arial" w:hAnsi="Arial" w:cs="Arial"/>
          <w:sz w:val="22"/>
          <w:szCs w:val="22"/>
        </w:rPr>
      </w:pPr>
      <w:r w:rsidRPr="00B51DA7">
        <w:rPr>
          <w:rFonts w:ascii="Arial" w:hAnsi="Arial" w:cs="Arial"/>
          <w:sz w:val="22"/>
          <w:szCs w:val="22"/>
        </w:rPr>
        <w:t xml:space="preserve">This fits in with the Care Act 2014, which includes prevention and early help (Section 2), integration of health and care (Section 3) and a suitable range of </w:t>
      </w:r>
      <w:r w:rsidR="00C92599" w:rsidRPr="00B51DA7">
        <w:rPr>
          <w:rFonts w:ascii="Arial" w:hAnsi="Arial" w:cs="Arial"/>
          <w:sz w:val="22"/>
          <w:szCs w:val="22"/>
        </w:rPr>
        <w:t>high-quality</w:t>
      </w:r>
      <w:r w:rsidRPr="00B51DA7">
        <w:rPr>
          <w:rFonts w:ascii="Arial" w:hAnsi="Arial" w:cs="Arial"/>
          <w:sz w:val="22"/>
          <w:szCs w:val="22"/>
        </w:rPr>
        <w:t xml:space="preserve"> services (Section 5).</w:t>
      </w:r>
    </w:p>
    <w:p w14:paraId="7E50EBC8" w14:textId="77777777" w:rsidR="00FE5AAE" w:rsidRPr="001D1509" w:rsidRDefault="00FE5AAE" w:rsidP="00B81227">
      <w:pPr>
        <w:pStyle w:val="Heading2"/>
        <w:spacing w:line="360" w:lineRule="auto"/>
        <w:jc w:val="both"/>
        <w:rPr>
          <w:rFonts w:ascii="Arial" w:hAnsi="Arial" w:cs="Arial"/>
          <w:b/>
          <w:bCs/>
          <w:color w:val="auto"/>
          <w:sz w:val="28"/>
          <w:szCs w:val="28"/>
        </w:rPr>
      </w:pPr>
      <w:bookmarkStart w:id="4" w:name="_Toc242319604"/>
      <w:r w:rsidRPr="001D1509">
        <w:rPr>
          <w:rFonts w:ascii="Arial" w:hAnsi="Arial" w:cs="Arial"/>
          <w:b/>
          <w:bCs/>
          <w:color w:val="auto"/>
          <w:sz w:val="28"/>
          <w:szCs w:val="28"/>
        </w:rPr>
        <w:t>Conclusion</w:t>
      </w:r>
      <w:bookmarkEnd w:id="4"/>
    </w:p>
    <w:p w14:paraId="3FB6BCB4" w14:textId="3970B5DA" w:rsidR="001D1509" w:rsidRDefault="00FE5AAE" w:rsidP="00B81227">
      <w:pPr>
        <w:spacing w:line="360" w:lineRule="auto"/>
        <w:jc w:val="both"/>
        <w:rPr>
          <w:rFonts w:ascii="Arial" w:hAnsi="Arial" w:cs="Arial"/>
          <w:sz w:val="22"/>
          <w:szCs w:val="22"/>
        </w:rPr>
      </w:pPr>
      <w:r w:rsidRPr="000E29F5">
        <w:rPr>
          <w:rFonts w:ascii="Arial" w:hAnsi="Arial" w:cs="Arial"/>
          <w:sz w:val="22"/>
          <w:szCs w:val="22"/>
        </w:rPr>
        <w:t xml:space="preserve">Limited community mental health services </w:t>
      </w:r>
      <w:r w:rsidR="00606464" w:rsidRPr="000E29F5">
        <w:rPr>
          <w:rFonts w:ascii="Arial" w:hAnsi="Arial" w:cs="Arial"/>
          <w:sz w:val="22"/>
          <w:szCs w:val="22"/>
        </w:rPr>
        <w:t>are</w:t>
      </w:r>
      <w:r w:rsidRPr="000E29F5">
        <w:rPr>
          <w:rFonts w:ascii="Arial" w:hAnsi="Arial" w:cs="Arial"/>
          <w:sz w:val="22"/>
          <w:szCs w:val="22"/>
        </w:rPr>
        <w:t xml:space="preserve"> likely to impact access, safety, recovery and independence. There is evidence that enhancing the clinical capacity of the community, improving partnerships with the voluntary sector and expanding information and workforce systems can help meet critical gaps in services. An integrated and preventive approach would then be a better approach than crisis and secondary care. The principles of prevention, wellbeing, integration and quality as found in Part 1 of the Care Act 2014 enable the </w:t>
      </w:r>
      <w:r w:rsidR="004E6E58" w:rsidRPr="004E6E58">
        <w:rPr>
          <w:rFonts w:ascii="Arial" w:hAnsi="Arial" w:cs="Arial"/>
          <w:sz w:val="22"/>
          <w:szCs w:val="22"/>
        </w:rPr>
        <w:t>Birmingham City Council</w:t>
      </w:r>
      <w:r w:rsidR="004E6E58">
        <w:rPr>
          <w:rFonts w:ascii="Arial" w:hAnsi="Arial" w:cs="Arial"/>
          <w:sz w:val="22"/>
          <w:szCs w:val="22"/>
        </w:rPr>
        <w:t xml:space="preserve"> </w:t>
      </w:r>
      <w:r w:rsidRPr="000E29F5">
        <w:rPr>
          <w:rFonts w:ascii="Arial" w:hAnsi="Arial" w:cs="Arial"/>
          <w:sz w:val="22"/>
          <w:szCs w:val="22"/>
        </w:rPr>
        <w:t>to better meet the needs of the local population and enhance the quality and continuity of community mental health services.</w:t>
      </w:r>
    </w:p>
    <w:p w14:paraId="3F069634" w14:textId="77777777" w:rsidR="00AE049D" w:rsidRDefault="00AE049D" w:rsidP="00B81227">
      <w:pPr>
        <w:spacing w:line="360" w:lineRule="auto"/>
        <w:jc w:val="both"/>
        <w:rPr>
          <w:rFonts w:ascii="Arial" w:hAnsi="Arial" w:cs="Arial"/>
          <w:sz w:val="22"/>
          <w:szCs w:val="22"/>
        </w:rPr>
      </w:pPr>
    </w:p>
    <w:p w14:paraId="419D17A1" w14:textId="77777777" w:rsidR="00AE049D" w:rsidRDefault="00AE049D" w:rsidP="00B81227">
      <w:pPr>
        <w:spacing w:line="360" w:lineRule="auto"/>
        <w:jc w:val="both"/>
        <w:rPr>
          <w:rFonts w:ascii="Arial" w:hAnsi="Arial" w:cs="Arial"/>
          <w:sz w:val="22"/>
          <w:szCs w:val="22"/>
        </w:rPr>
      </w:pPr>
    </w:p>
    <w:p w14:paraId="2BCBDAD5" w14:textId="77777777" w:rsidR="00AE049D" w:rsidRDefault="00AE049D" w:rsidP="00B81227">
      <w:pPr>
        <w:spacing w:line="360" w:lineRule="auto"/>
        <w:jc w:val="both"/>
        <w:rPr>
          <w:rFonts w:ascii="Arial" w:hAnsi="Arial" w:cs="Arial"/>
          <w:sz w:val="22"/>
          <w:szCs w:val="22"/>
        </w:rPr>
      </w:pPr>
    </w:p>
    <w:p w14:paraId="7251BD89" w14:textId="77777777" w:rsidR="00AE049D" w:rsidRDefault="00AE049D" w:rsidP="00B81227">
      <w:pPr>
        <w:spacing w:line="360" w:lineRule="auto"/>
        <w:jc w:val="both"/>
        <w:rPr>
          <w:rFonts w:ascii="Arial" w:hAnsi="Arial" w:cs="Arial"/>
          <w:sz w:val="22"/>
          <w:szCs w:val="22"/>
        </w:rPr>
      </w:pPr>
    </w:p>
    <w:p w14:paraId="69C05A14" w14:textId="77777777" w:rsidR="00AE049D" w:rsidRDefault="00AE049D" w:rsidP="00B81227">
      <w:pPr>
        <w:spacing w:line="360" w:lineRule="auto"/>
        <w:jc w:val="both"/>
        <w:rPr>
          <w:rFonts w:ascii="Arial" w:hAnsi="Arial" w:cs="Arial"/>
          <w:sz w:val="22"/>
          <w:szCs w:val="22"/>
        </w:rPr>
      </w:pPr>
    </w:p>
    <w:p w14:paraId="53097A44" w14:textId="77777777" w:rsidR="00AE049D" w:rsidRDefault="00AE049D" w:rsidP="00B81227">
      <w:pPr>
        <w:spacing w:line="360" w:lineRule="auto"/>
        <w:jc w:val="both"/>
        <w:rPr>
          <w:rFonts w:ascii="Arial" w:hAnsi="Arial" w:cs="Arial"/>
          <w:sz w:val="22"/>
          <w:szCs w:val="22"/>
        </w:rPr>
      </w:pPr>
    </w:p>
    <w:p w14:paraId="3630C195" w14:textId="77777777" w:rsidR="00AE049D" w:rsidRDefault="00AE049D" w:rsidP="00B81227">
      <w:pPr>
        <w:spacing w:line="360" w:lineRule="auto"/>
        <w:jc w:val="both"/>
        <w:rPr>
          <w:rFonts w:ascii="Arial" w:hAnsi="Arial" w:cs="Arial"/>
          <w:sz w:val="22"/>
          <w:szCs w:val="22"/>
        </w:rPr>
      </w:pPr>
    </w:p>
    <w:p w14:paraId="20F2A351" w14:textId="77777777" w:rsidR="00AE049D" w:rsidRDefault="00AE049D" w:rsidP="00B81227">
      <w:pPr>
        <w:spacing w:line="360" w:lineRule="auto"/>
        <w:jc w:val="both"/>
        <w:rPr>
          <w:rFonts w:ascii="Arial" w:hAnsi="Arial" w:cs="Arial"/>
          <w:sz w:val="22"/>
          <w:szCs w:val="22"/>
        </w:rPr>
      </w:pPr>
    </w:p>
    <w:p w14:paraId="27F8D7DB" w14:textId="77777777" w:rsidR="00AE049D" w:rsidRDefault="00AE049D" w:rsidP="00B81227">
      <w:pPr>
        <w:spacing w:line="360" w:lineRule="auto"/>
        <w:jc w:val="both"/>
        <w:rPr>
          <w:rFonts w:ascii="Arial" w:hAnsi="Arial" w:cs="Arial"/>
          <w:sz w:val="22"/>
          <w:szCs w:val="22"/>
        </w:rPr>
      </w:pPr>
    </w:p>
    <w:p w14:paraId="0753F02C" w14:textId="77777777" w:rsidR="00AE049D" w:rsidRDefault="00AE049D" w:rsidP="00B81227">
      <w:pPr>
        <w:spacing w:line="360" w:lineRule="auto"/>
        <w:jc w:val="both"/>
        <w:rPr>
          <w:rFonts w:ascii="Arial" w:hAnsi="Arial" w:cs="Arial"/>
          <w:sz w:val="22"/>
          <w:szCs w:val="22"/>
        </w:rPr>
      </w:pPr>
    </w:p>
    <w:p w14:paraId="6519FB69" w14:textId="77777777" w:rsidR="00AE049D" w:rsidRDefault="00AE049D" w:rsidP="00B81227">
      <w:pPr>
        <w:spacing w:line="360" w:lineRule="auto"/>
        <w:jc w:val="both"/>
        <w:rPr>
          <w:rFonts w:ascii="Arial" w:hAnsi="Arial" w:cs="Arial"/>
          <w:sz w:val="22"/>
          <w:szCs w:val="22"/>
        </w:rPr>
      </w:pPr>
    </w:p>
    <w:p w14:paraId="21EC2781" w14:textId="77777777" w:rsidR="00AE049D" w:rsidRDefault="00AE049D" w:rsidP="00B81227">
      <w:pPr>
        <w:spacing w:line="360" w:lineRule="auto"/>
        <w:jc w:val="both"/>
        <w:rPr>
          <w:rFonts w:ascii="Arial" w:hAnsi="Arial" w:cs="Arial"/>
          <w:sz w:val="22"/>
          <w:szCs w:val="22"/>
        </w:rPr>
      </w:pPr>
    </w:p>
    <w:p w14:paraId="31E4AB34" w14:textId="77777777" w:rsidR="00AE049D" w:rsidRDefault="00AE049D" w:rsidP="00B81227">
      <w:pPr>
        <w:spacing w:line="360" w:lineRule="auto"/>
        <w:jc w:val="both"/>
        <w:rPr>
          <w:rFonts w:ascii="Arial" w:hAnsi="Arial" w:cs="Arial"/>
          <w:sz w:val="22"/>
          <w:szCs w:val="22"/>
        </w:rPr>
      </w:pPr>
    </w:p>
    <w:p w14:paraId="343D98DD" w14:textId="77777777" w:rsidR="00AE049D" w:rsidRDefault="00AE049D" w:rsidP="00B81227">
      <w:pPr>
        <w:spacing w:line="360" w:lineRule="auto"/>
        <w:jc w:val="both"/>
        <w:rPr>
          <w:rFonts w:ascii="Arial" w:hAnsi="Arial" w:cs="Arial"/>
          <w:sz w:val="22"/>
          <w:szCs w:val="22"/>
        </w:rPr>
      </w:pPr>
    </w:p>
    <w:p w14:paraId="4B3DC1AE" w14:textId="77777777" w:rsidR="00AE049D" w:rsidRDefault="00AE049D" w:rsidP="00B81227">
      <w:pPr>
        <w:spacing w:line="360" w:lineRule="auto"/>
        <w:jc w:val="both"/>
        <w:rPr>
          <w:rFonts w:ascii="Arial" w:hAnsi="Arial" w:cs="Arial"/>
          <w:sz w:val="22"/>
          <w:szCs w:val="22"/>
        </w:rPr>
      </w:pPr>
    </w:p>
    <w:p w14:paraId="50F4C306" w14:textId="77777777" w:rsidR="00AE049D" w:rsidRDefault="00AE049D" w:rsidP="00B81227">
      <w:pPr>
        <w:spacing w:line="360" w:lineRule="auto"/>
        <w:jc w:val="both"/>
        <w:rPr>
          <w:rFonts w:ascii="Arial" w:hAnsi="Arial" w:cs="Arial"/>
          <w:sz w:val="22"/>
          <w:szCs w:val="22"/>
        </w:rPr>
      </w:pPr>
    </w:p>
    <w:p w14:paraId="28DF7F46" w14:textId="77777777" w:rsidR="00AE049D" w:rsidRDefault="00AE049D" w:rsidP="00B81227">
      <w:pPr>
        <w:spacing w:line="360" w:lineRule="auto"/>
        <w:jc w:val="both"/>
        <w:rPr>
          <w:rFonts w:ascii="Arial" w:hAnsi="Arial" w:cs="Arial"/>
          <w:sz w:val="22"/>
          <w:szCs w:val="22"/>
        </w:rPr>
      </w:pPr>
    </w:p>
    <w:p w14:paraId="1C60208B" w14:textId="77777777" w:rsidR="00AE049D" w:rsidRPr="000E29F5" w:rsidRDefault="00AE049D" w:rsidP="00B81227">
      <w:pPr>
        <w:spacing w:line="360" w:lineRule="auto"/>
        <w:jc w:val="both"/>
        <w:rPr>
          <w:rFonts w:ascii="Arial" w:hAnsi="Arial" w:cs="Arial"/>
          <w:sz w:val="22"/>
          <w:szCs w:val="22"/>
        </w:rPr>
      </w:pPr>
    </w:p>
    <w:p w14:paraId="49D0719A" w14:textId="32670966" w:rsidR="00087278" w:rsidRPr="001D1509" w:rsidRDefault="00087278" w:rsidP="00B81227">
      <w:pPr>
        <w:pStyle w:val="Heading1"/>
        <w:spacing w:line="360" w:lineRule="auto"/>
        <w:jc w:val="center"/>
        <w:rPr>
          <w:rFonts w:ascii="Arial" w:hAnsi="Arial" w:cs="Arial"/>
          <w:b/>
          <w:bCs/>
          <w:color w:val="auto"/>
          <w:sz w:val="32"/>
          <w:szCs w:val="32"/>
        </w:rPr>
      </w:pPr>
      <w:bookmarkStart w:id="5" w:name="_Toc242319605"/>
      <w:r w:rsidRPr="001D1509">
        <w:rPr>
          <w:rFonts w:ascii="Arial" w:hAnsi="Arial" w:cs="Arial"/>
          <w:b/>
          <w:bCs/>
          <w:color w:val="auto"/>
          <w:sz w:val="32"/>
          <w:szCs w:val="32"/>
        </w:rPr>
        <w:t>Task 2:</w:t>
      </w:r>
      <w:r w:rsidR="004D56A0">
        <w:rPr>
          <w:rFonts w:ascii="Arial" w:hAnsi="Arial" w:cs="Arial"/>
          <w:b/>
          <w:bCs/>
          <w:color w:val="auto"/>
          <w:sz w:val="32"/>
          <w:szCs w:val="32"/>
        </w:rPr>
        <w:t xml:space="preserve"> Essay -</w:t>
      </w:r>
      <w:r w:rsidRPr="001D1509">
        <w:rPr>
          <w:rFonts w:ascii="Arial" w:hAnsi="Arial" w:cs="Arial"/>
          <w:b/>
          <w:bCs/>
          <w:color w:val="auto"/>
          <w:sz w:val="32"/>
          <w:szCs w:val="32"/>
        </w:rPr>
        <w:t xml:space="preserve"> Ambulance Services</w:t>
      </w:r>
      <w:bookmarkEnd w:id="5"/>
    </w:p>
    <w:p w14:paraId="5CA30DD1" w14:textId="77777777" w:rsidR="00087278" w:rsidRPr="001D1509" w:rsidRDefault="00087278" w:rsidP="00B81227">
      <w:pPr>
        <w:pStyle w:val="Heading2"/>
        <w:spacing w:line="360" w:lineRule="auto"/>
        <w:jc w:val="both"/>
        <w:rPr>
          <w:rFonts w:ascii="Arial" w:hAnsi="Arial" w:cs="Arial"/>
          <w:b/>
          <w:bCs/>
          <w:color w:val="auto"/>
          <w:sz w:val="28"/>
          <w:szCs w:val="28"/>
        </w:rPr>
      </w:pPr>
      <w:bookmarkStart w:id="6" w:name="_Toc242319606"/>
      <w:r w:rsidRPr="001D1509">
        <w:rPr>
          <w:rFonts w:ascii="Arial" w:hAnsi="Arial" w:cs="Arial"/>
          <w:b/>
          <w:bCs/>
          <w:color w:val="auto"/>
          <w:sz w:val="28"/>
          <w:szCs w:val="28"/>
        </w:rPr>
        <w:t>Introduction</w:t>
      </w:r>
      <w:bookmarkEnd w:id="6"/>
    </w:p>
    <w:p w14:paraId="7655E1D7" w14:textId="7DBF2532" w:rsidR="00087278" w:rsidRPr="000E29F5" w:rsidRDefault="009268DE" w:rsidP="00B81227">
      <w:pPr>
        <w:spacing w:line="360" w:lineRule="auto"/>
        <w:jc w:val="both"/>
        <w:rPr>
          <w:rFonts w:ascii="Arial" w:hAnsi="Arial" w:cs="Arial"/>
          <w:sz w:val="22"/>
          <w:szCs w:val="22"/>
        </w:rPr>
      </w:pPr>
      <w:r w:rsidRPr="009268DE">
        <w:rPr>
          <w:rFonts w:ascii="Arial" w:hAnsi="Arial" w:cs="Arial"/>
          <w:sz w:val="22"/>
          <w:szCs w:val="22"/>
        </w:rPr>
        <w:t xml:space="preserve">Ambulance services form an integral part of the healthcare service, </w:t>
      </w:r>
      <w:r w:rsidR="004D56A0" w:rsidRPr="009268DE">
        <w:rPr>
          <w:rFonts w:ascii="Arial" w:hAnsi="Arial" w:cs="Arial"/>
          <w:sz w:val="22"/>
          <w:szCs w:val="22"/>
        </w:rPr>
        <w:t>providing</w:t>
      </w:r>
      <w:r w:rsidRPr="009268DE">
        <w:rPr>
          <w:rFonts w:ascii="Arial" w:hAnsi="Arial" w:cs="Arial"/>
          <w:sz w:val="22"/>
          <w:szCs w:val="22"/>
        </w:rPr>
        <w:t xml:space="preserve"> </w:t>
      </w:r>
      <w:r w:rsidR="005A0049" w:rsidRPr="009268DE">
        <w:rPr>
          <w:rFonts w:ascii="Arial" w:hAnsi="Arial" w:cs="Arial"/>
          <w:sz w:val="22"/>
          <w:szCs w:val="22"/>
        </w:rPr>
        <w:t>rapid</w:t>
      </w:r>
      <w:r w:rsidRPr="009268DE">
        <w:rPr>
          <w:rFonts w:ascii="Arial" w:hAnsi="Arial" w:cs="Arial"/>
          <w:sz w:val="22"/>
          <w:szCs w:val="22"/>
        </w:rPr>
        <w:t xml:space="preserve"> assessment, treatment, </w:t>
      </w:r>
      <w:proofErr w:type="spellStart"/>
      <w:r w:rsidRPr="009268DE">
        <w:rPr>
          <w:rFonts w:ascii="Arial" w:hAnsi="Arial" w:cs="Arial"/>
          <w:sz w:val="22"/>
          <w:szCs w:val="22"/>
        </w:rPr>
        <w:t>stabilisation</w:t>
      </w:r>
      <w:proofErr w:type="spellEnd"/>
      <w:r w:rsidRPr="009268DE">
        <w:rPr>
          <w:rFonts w:ascii="Arial" w:hAnsi="Arial" w:cs="Arial"/>
          <w:sz w:val="22"/>
          <w:szCs w:val="22"/>
        </w:rPr>
        <w:t xml:space="preserve"> and, if required, a referral or transport service for individuals who have an urgent healthcare requirement. But today they serve more than just transporting patients to hospital. Political reform, military service, the growth of emergency medicine and </w:t>
      </w:r>
      <w:proofErr w:type="spellStart"/>
      <w:r w:rsidRPr="009268DE">
        <w:rPr>
          <w:rFonts w:ascii="Arial" w:hAnsi="Arial" w:cs="Arial"/>
          <w:sz w:val="22"/>
          <w:szCs w:val="22"/>
        </w:rPr>
        <w:t>professionalisation</w:t>
      </w:r>
      <w:proofErr w:type="spellEnd"/>
      <w:r w:rsidRPr="009268DE">
        <w:rPr>
          <w:rFonts w:ascii="Arial" w:hAnsi="Arial" w:cs="Arial"/>
          <w:sz w:val="22"/>
          <w:szCs w:val="22"/>
        </w:rPr>
        <w:t xml:space="preserve"> of paramedics have all had an impact on the evolution of ambulance services. All of these have gradually evolved into what is now a wider service of ambulance provision mobile healthcare. Modern Paramedics </w:t>
      </w:r>
      <w:r w:rsidR="008C12F8" w:rsidRPr="009268DE">
        <w:rPr>
          <w:rFonts w:ascii="Arial" w:hAnsi="Arial" w:cs="Arial"/>
          <w:sz w:val="22"/>
          <w:szCs w:val="22"/>
        </w:rPr>
        <w:t>can</w:t>
      </w:r>
      <w:r w:rsidRPr="009268DE">
        <w:rPr>
          <w:rFonts w:ascii="Arial" w:hAnsi="Arial" w:cs="Arial"/>
          <w:sz w:val="22"/>
          <w:szCs w:val="22"/>
        </w:rPr>
        <w:t xml:space="preserve"> evaluate and treat patients at the scene and can adopt alternative methods if there is no need to transport to hospital (Eaton, 2023). This essay looks at the origins of ambulance services, their purpose and to the person being served, its meaning; and critically appraises their strengths and weaknesses and their impact on quality of life</w:t>
      </w:r>
      <w:r w:rsidR="00087278" w:rsidRPr="000E29F5">
        <w:rPr>
          <w:rFonts w:ascii="Arial" w:hAnsi="Arial" w:cs="Arial"/>
          <w:sz w:val="22"/>
          <w:szCs w:val="22"/>
        </w:rPr>
        <w:t>.</w:t>
      </w:r>
    </w:p>
    <w:p w14:paraId="57C5E9EB" w14:textId="77777777" w:rsidR="00087278" w:rsidRPr="001D1509" w:rsidRDefault="00087278" w:rsidP="00B81227">
      <w:pPr>
        <w:pStyle w:val="Heading2"/>
        <w:spacing w:line="360" w:lineRule="auto"/>
        <w:jc w:val="both"/>
        <w:rPr>
          <w:rFonts w:ascii="Arial" w:hAnsi="Arial" w:cs="Arial"/>
          <w:b/>
          <w:bCs/>
          <w:color w:val="auto"/>
          <w:sz w:val="28"/>
          <w:szCs w:val="28"/>
        </w:rPr>
      </w:pPr>
      <w:bookmarkStart w:id="7" w:name="_Toc242319607"/>
      <w:r w:rsidRPr="001D1509">
        <w:rPr>
          <w:rFonts w:ascii="Arial" w:hAnsi="Arial" w:cs="Arial"/>
          <w:b/>
          <w:bCs/>
          <w:color w:val="auto"/>
          <w:sz w:val="28"/>
          <w:szCs w:val="28"/>
        </w:rPr>
        <w:t>Historical Development and Current Function</w:t>
      </w:r>
      <w:bookmarkEnd w:id="7"/>
    </w:p>
    <w:p w14:paraId="5EABBD1A" w14:textId="6C1403B7" w:rsidR="00087278" w:rsidRPr="000E29F5" w:rsidRDefault="004E1064" w:rsidP="00B81227">
      <w:pPr>
        <w:spacing w:line="360" w:lineRule="auto"/>
        <w:jc w:val="both"/>
        <w:rPr>
          <w:rFonts w:ascii="Arial" w:hAnsi="Arial" w:cs="Arial"/>
          <w:sz w:val="22"/>
          <w:szCs w:val="22"/>
        </w:rPr>
      </w:pPr>
      <w:r w:rsidRPr="000E29F5">
        <w:rPr>
          <w:rFonts w:ascii="Arial" w:hAnsi="Arial" w:cs="Arial"/>
          <w:sz w:val="22"/>
          <w:szCs w:val="22"/>
        </w:rPr>
        <w:t xml:space="preserve">First </w:t>
      </w:r>
      <w:proofErr w:type="spellStart"/>
      <w:r w:rsidRPr="000E29F5">
        <w:rPr>
          <w:rFonts w:ascii="Arial" w:hAnsi="Arial" w:cs="Arial"/>
          <w:sz w:val="22"/>
          <w:szCs w:val="22"/>
        </w:rPr>
        <w:t>organisation</w:t>
      </w:r>
      <w:proofErr w:type="spellEnd"/>
      <w:r w:rsidRPr="000E29F5">
        <w:rPr>
          <w:rFonts w:ascii="Arial" w:hAnsi="Arial" w:cs="Arial"/>
          <w:sz w:val="22"/>
          <w:szCs w:val="22"/>
        </w:rPr>
        <w:t xml:space="preserve"> of civil ambulance provision in Britain </w:t>
      </w:r>
      <w:r w:rsidR="00A54653" w:rsidRPr="000E29F5">
        <w:rPr>
          <w:rFonts w:ascii="Arial" w:hAnsi="Arial" w:cs="Arial"/>
          <w:sz w:val="22"/>
          <w:szCs w:val="22"/>
        </w:rPr>
        <w:t>dates to</w:t>
      </w:r>
      <w:r w:rsidRPr="000E29F5">
        <w:rPr>
          <w:rFonts w:ascii="Arial" w:hAnsi="Arial" w:cs="Arial"/>
          <w:sz w:val="22"/>
          <w:szCs w:val="22"/>
        </w:rPr>
        <w:t xml:space="preserve"> the nineteenth </w:t>
      </w:r>
      <w:r w:rsidR="00EF477D" w:rsidRPr="000E29F5">
        <w:rPr>
          <w:rFonts w:ascii="Arial" w:hAnsi="Arial" w:cs="Arial"/>
          <w:sz w:val="22"/>
          <w:szCs w:val="22"/>
        </w:rPr>
        <w:t>century but</w:t>
      </w:r>
      <w:r w:rsidRPr="000E29F5">
        <w:rPr>
          <w:rFonts w:ascii="Arial" w:hAnsi="Arial" w:cs="Arial"/>
          <w:sz w:val="22"/>
          <w:szCs w:val="22"/>
        </w:rPr>
        <w:t xml:space="preserve"> was not straightforward. The lack of progress was initially driven by </w:t>
      </w:r>
      <w:r w:rsidR="00EF477D" w:rsidRPr="000E29F5">
        <w:rPr>
          <w:rFonts w:ascii="Arial" w:hAnsi="Arial" w:cs="Arial"/>
          <w:sz w:val="22"/>
          <w:szCs w:val="22"/>
        </w:rPr>
        <w:t>political</w:t>
      </w:r>
      <w:r w:rsidRPr="000E29F5">
        <w:rPr>
          <w:rFonts w:ascii="Arial" w:hAnsi="Arial" w:cs="Arial"/>
          <w:sz w:val="22"/>
          <w:szCs w:val="22"/>
        </w:rPr>
        <w:t xml:space="preserve"> reluctance, and the two World Wars were important stimuli for the development of the provision of ambulances as a necessary function of public service, as shown by Pollock (2013). The historic importance is the gradual extension of the role of an ambulance service from mere transportation to an accepted part of public health</w:t>
      </w:r>
      <w:r w:rsidR="00087278" w:rsidRPr="000E29F5">
        <w:rPr>
          <w:rFonts w:ascii="Arial" w:hAnsi="Arial" w:cs="Arial"/>
          <w:sz w:val="22"/>
          <w:szCs w:val="22"/>
        </w:rPr>
        <w:t>.</w:t>
      </w:r>
    </w:p>
    <w:p w14:paraId="7D827B63" w14:textId="49D1ED6F" w:rsidR="00087278" w:rsidRPr="000E29F5" w:rsidRDefault="007B659B" w:rsidP="00B81227">
      <w:pPr>
        <w:spacing w:line="360" w:lineRule="auto"/>
        <w:jc w:val="both"/>
        <w:rPr>
          <w:rFonts w:ascii="Arial" w:hAnsi="Arial" w:cs="Arial"/>
          <w:sz w:val="22"/>
          <w:szCs w:val="22"/>
        </w:rPr>
      </w:pPr>
      <w:r w:rsidRPr="000E29F5">
        <w:rPr>
          <w:rFonts w:ascii="Arial" w:hAnsi="Arial" w:cs="Arial"/>
          <w:sz w:val="22"/>
          <w:szCs w:val="22"/>
        </w:rPr>
        <w:t xml:space="preserve">One of the significant changes was the </w:t>
      </w:r>
      <w:proofErr w:type="spellStart"/>
      <w:r w:rsidRPr="000E29F5">
        <w:rPr>
          <w:rFonts w:ascii="Arial" w:hAnsi="Arial" w:cs="Arial"/>
          <w:sz w:val="22"/>
          <w:szCs w:val="22"/>
        </w:rPr>
        <w:t>professionalisation</w:t>
      </w:r>
      <w:proofErr w:type="spellEnd"/>
      <w:r w:rsidRPr="000E29F5">
        <w:rPr>
          <w:rFonts w:ascii="Arial" w:hAnsi="Arial" w:cs="Arial"/>
          <w:sz w:val="22"/>
          <w:szCs w:val="22"/>
        </w:rPr>
        <w:t xml:space="preserve"> of pre-hospital care. Brooks et al. (2016) recognize four phases of paramedic education from the year 1966 to 2014. The role and education of paramedics gradually evolved over time </w:t>
      </w:r>
      <w:r w:rsidR="00B53692" w:rsidRPr="000E29F5">
        <w:rPr>
          <w:rFonts w:ascii="Arial" w:hAnsi="Arial" w:cs="Arial"/>
          <w:sz w:val="22"/>
          <w:szCs w:val="22"/>
        </w:rPr>
        <w:t>because of</w:t>
      </w:r>
      <w:r w:rsidRPr="000E29F5">
        <w:rPr>
          <w:rFonts w:ascii="Arial" w:hAnsi="Arial" w:cs="Arial"/>
          <w:sz w:val="22"/>
          <w:szCs w:val="22"/>
        </w:rPr>
        <w:t xml:space="preserve"> government policy, political reform and the introduction of new and improved clinical medicine, but it took many years for a nationally coordinated education program to reach maturity. This is a testament to the fact that technology development is not the only reason for the creation of modern ambulance services, and they have developed along with altering expectations of what is expected to be achieved prior to a patient reaching the hospital</w:t>
      </w:r>
      <w:r w:rsidR="00087278" w:rsidRPr="000E29F5">
        <w:rPr>
          <w:rFonts w:ascii="Arial" w:hAnsi="Arial" w:cs="Arial"/>
          <w:sz w:val="22"/>
          <w:szCs w:val="22"/>
        </w:rPr>
        <w:t>.</w:t>
      </w:r>
    </w:p>
    <w:p w14:paraId="11C48937" w14:textId="5FA5B719" w:rsidR="00087278" w:rsidRPr="000E29F5" w:rsidRDefault="002076D0" w:rsidP="00B81227">
      <w:pPr>
        <w:spacing w:line="360" w:lineRule="auto"/>
        <w:jc w:val="both"/>
        <w:rPr>
          <w:rFonts w:ascii="Arial" w:hAnsi="Arial" w:cs="Arial"/>
          <w:sz w:val="22"/>
          <w:szCs w:val="22"/>
        </w:rPr>
      </w:pPr>
      <w:r w:rsidRPr="000E29F5">
        <w:rPr>
          <w:rFonts w:ascii="Arial" w:hAnsi="Arial" w:cs="Arial"/>
          <w:sz w:val="22"/>
          <w:szCs w:val="22"/>
        </w:rPr>
        <w:t xml:space="preserve">In today's world, ambulance services are </w:t>
      </w:r>
      <w:r w:rsidR="002A49A8" w:rsidRPr="000E29F5">
        <w:rPr>
          <w:rFonts w:ascii="Arial" w:hAnsi="Arial" w:cs="Arial"/>
          <w:sz w:val="22"/>
          <w:szCs w:val="22"/>
        </w:rPr>
        <w:t>increasingly</w:t>
      </w:r>
      <w:r w:rsidRPr="000E29F5">
        <w:rPr>
          <w:rFonts w:ascii="Arial" w:hAnsi="Arial" w:cs="Arial"/>
          <w:sz w:val="22"/>
          <w:szCs w:val="22"/>
        </w:rPr>
        <w:t xml:space="preserve"> becoming mobile healthcare providers. Eaton (2023) points out that, at the scene, paramedics can judge the patient, treat them and implement remote assessment or ‘hear-and-treat’ strategies instead of transporting all patients to an ED. But this growth has put </w:t>
      </w:r>
      <w:r w:rsidR="00EF477D" w:rsidRPr="000E29F5">
        <w:rPr>
          <w:rFonts w:ascii="Arial" w:hAnsi="Arial" w:cs="Arial"/>
          <w:sz w:val="22"/>
          <w:szCs w:val="22"/>
        </w:rPr>
        <w:t>pressure on us</w:t>
      </w:r>
      <w:r w:rsidRPr="000E29F5">
        <w:rPr>
          <w:rFonts w:ascii="Arial" w:hAnsi="Arial" w:cs="Arial"/>
          <w:sz w:val="22"/>
          <w:szCs w:val="22"/>
        </w:rPr>
        <w:t>, as ambulance staff are now being called out on a growing number of occasions to attend to people with chronic illnesses, mental-health crises and social-care requirements, due to the lack of other NHS services</w:t>
      </w:r>
      <w:r w:rsidR="00087278" w:rsidRPr="000E29F5">
        <w:rPr>
          <w:rFonts w:ascii="Arial" w:hAnsi="Arial" w:cs="Arial"/>
          <w:sz w:val="22"/>
          <w:szCs w:val="22"/>
        </w:rPr>
        <w:t>.</w:t>
      </w:r>
    </w:p>
    <w:p w14:paraId="3BD0CD63" w14:textId="77777777" w:rsidR="00087278" w:rsidRPr="001D1509" w:rsidRDefault="00087278" w:rsidP="00B81227">
      <w:pPr>
        <w:pStyle w:val="Heading2"/>
        <w:spacing w:line="360" w:lineRule="auto"/>
        <w:jc w:val="both"/>
        <w:rPr>
          <w:rFonts w:ascii="Arial" w:hAnsi="Arial" w:cs="Arial"/>
          <w:b/>
          <w:bCs/>
          <w:color w:val="auto"/>
          <w:sz w:val="28"/>
          <w:szCs w:val="28"/>
        </w:rPr>
      </w:pPr>
      <w:bookmarkStart w:id="8" w:name="_Toc242319608"/>
      <w:r w:rsidRPr="001D1509">
        <w:rPr>
          <w:rFonts w:ascii="Arial" w:hAnsi="Arial" w:cs="Arial"/>
          <w:b/>
          <w:bCs/>
          <w:color w:val="auto"/>
          <w:sz w:val="28"/>
          <w:szCs w:val="28"/>
        </w:rPr>
        <w:t>Critical Evaluation and Significance for Service Users</w:t>
      </w:r>
      <w:bookmarkEnd w:id="8"/>
    </w:p>
    <w:p w14:paraId="5477C6AD" w14:textId="085BADE3" w:rsidR="001371C8" w:rsidRDefault="009C69F8" w:rsidP="00595C38">
      <w:pPr>
        <w:spacing w:line="360" w:lineRule="auto"/>
        <w:jc w:val="both"/>
        <w:rPr>
          <w:rFonts w:ascii="Arial" w:hAnsi="Arial" w:cs="Arial"/>
          <w:sz w:val="22"/>
          <w:szCs w:val="22"/>
        </w:rPr>
      </w:pPr>
      <w:r w:rsidRPr="009C69F8">
        <w:rPr>
          <w:rFonts w:ascii="Arial" w:hAnsi="Arial" w:cs="Arial"/>
          <w:sz w:val="22"/>
          <w:szCs w:val="22"/>
        </w:rPr>
        <w:t xml:space="preserve">The modern ambulance model has </w:t>
      </w:r>
      <w:r w:rsidR="00310F3B" w:rsidRPr="009C69F8">
        <w:rPr>
          <w:rFonts w:ascii="Arial" w:hAnsi="Arial" w:cs="Arial"/>
          <w:sz w:val="22"/>
          <w:szCs w:val="22"/>
        </w:rPr>
        <w:t>several</w:t>
      </w:r>
      <w:r w:rsidRPr="009C69F8">
        <w:rPr>
          <w:rFonts w:ascii="Arial" w:hAnsi="Arial" w:cs="Arial"/>
          <w:sz w:val="22"/>
          <w:szCs w:val="22"/>
        </w:rPr>
        <w:t xml:space="preserve"> strengths in that when treatment is provided at the scene, or the appropriate community services are arranged, unnecessary attendance at the ED can be avoided. Blodgett et al. (2021) discovered that alternate routes could enhance operational efficiency and patient-centered care. The risks </w:t>
      </w:r>
      <w:r w:rsidR="00310F3B" w:rsidRPr="009C69F8">
        <w:rPr>
          <w:rFonts w:ascii="Arial" w:hAnsi="Arial" w:cs="Arial"/>
          <w:sz w:val="22"/>
          <w:szCs w:val="22"/>
        </w:rPr>
        <w:t>are,</w:t>
      </w:r>
      <w:r w:rsidRPr="009C69F8">
        <w:rPr>
          <w:rFonts w:ascii="Arial" w:hAnsi="Arial" w:cs="Arial"/>
          <w:sz w:val="22"/>
          <w:szCs w:val="22"/>
        </w:rPr>
        <w:t xml:space="preserve"> however, incorrect triage and lack of training and collaboration with other services. Thus, increased clinical decision making will serve to enhance efficiency only if there are adequate protections in place</w:t>
      </w:r>
      <w:r w:rsidR="00595C38" w:rsidRPr="00595C38">
        <w:rPr>
          <w:rFonts w:ascii="Arial" w:hAnsi="Arial" w:cs="Arial"/>
          <w:sz w:val="22"/>
          <w:szCs w:val="22"/>
        </w:rPr>
        <w:t>.</w:t>
      </w:r>
    </w:p>
    <w:p w14:paraId="5A33CCBD" w14:textId="3C5DBA6A" w:rsidR="00595C38" w:rsidRPr="00595C38" w:rsidRDefault="001371C8" w:rsidP="00595C38">
      <w:pPr>
        <w:spacing w:line="360" w:lineRule="auto"/>
        <w:jc w:val="both"/>
        <w:rPr>
          <w:rFonts w:ascii="Arial" w:hAnsi="Arial" w:cs="Arial"/>
          <w:sz w:val="22"/>
          <w:szCs w:val="22"/>
        </w:rPr>
      </w:pPr>
      <w:r>
        <w:rPr>
          <w:rFonts w:ascii="Arial" w:hAnsi="Arial" w:cs="Arial"/>
          <w:sz w:val="22"/>
          <w:szCs w:val="22"/>
        </w:rPr>
        <w:t>I</w:t>
      </w:r>
      <w:r w:rsidRPr="001371C8">
        <w:rPr>
          <w:rFonts w:ascii="Arial" w:hAnsi="Arial" w:cs="Arial"/>
          <w:sz w:val="22"/>
          <w:szCs w:val="22"/>
        </w:rPr>
        <w:t>n emergencies which require speed of response, rapid response is still vital. A time savings of just one minute was correlated with an estimated 24% higher chance of survival from OOHCARD in the study by O'Keeffe et al. (2011). However, limiting response times to all calls was assessed to be around £54m, raising doubts about the best use of resources in terms of response time. The quality of the ambulance service should, therefore, be measured in terms of clinical outcome, care given and effectiveness of resources, and patient experience</w:t>
      </w:r>
      <w:r w:rsidR="00595C38" w:rsidRPr="00595C38">
        <w:rPr>
          <w:rFonts w:ascii="Arial" w:hAnsi="Arial" w:cs="Arial"/>
          <w:sz w:val="22"/>
          <w:szCs w:val="22"/>
        </w:rPr>
        <w:t>.</w:t>
      </w:r>
    </w:p>
    <w:p w14:paraId="5F7311EE" w14:textId="2A5D6356" w:rsidR="00087278" w:rsidRPr="000E29F5" w:rsidRDefault="001371C8" w:rsidP="00B81227">
      <w:pPr>
        <w:spacing w:line="360" w:lineRule="auto"/>
        <w:jc w:val="both"/>
        <w:rPr>
          <w:rFonts w:ascii="Arial" w:hAnsi="Arial" w:cs="Arial"/>
          <w:sz w:val="22"/>
          <w:szCs w:val="22"/>
        </w:rPr>
      </w:pPr>
      <w:r w:rsidRPr="001371C8">
        <w:rPr>
          <w:rFonts w:ascii="Arial" w:hAnsi="Arial" w:cs="Arial"/>
          <w:sz w:val="22"/>
          <w:szCs w:val="22"/>
        </w:rPr>
        <w:t xml:space="preserve">The service also has ramifications </w:t>
      </w:r>
      <w:r w:rsidR="00E7277A" w:rsidRPr="001371C8">
        <w:rPr>
          <w:rFonts w:ascii="Arial" w:hAnsi="Arial" w:cs="Arial"/>
          <w:sz w:val="22"/>
          <w:szCs w:val="22"/>
        </w:rPr>
        <w:t>in</w:t>
      </w:r>
      <w:r w:rsidRPr="001371C8">
        <w:rPr>
          <w:rFonts w:ascii="Arial" w:hAnsi="Arial" w:cs="Arial"/>
          <w:sz w:val="22"/>
          <w:szCs w:val="22"/>
        </w:rPr>
        <w:t xml:space="preserve"> quality of life. Evans et al. (2023) identified that frequent callers tended to see ambulances as their last resort if their other care pathway had fallen through. This highlights the fact that there may be underlying health and social needs that may not be addressed through immediate intervention. Another consideration is the sustainability of their workforce, with Cook et al. (2025) correlating staff turnover with operational factors and </w:t>
      </w:r>
      <w:proofErr w:type="spellStart"/>
      <w:r w:rsidRPr="001371C8">
        <w:rPr>
          <w:rFonts w:ascii="Arial" w:hAnsi="Arial" w:cs="Arial"/>
          <w:sz w:val="22"/>
          <w:szCs w:val="22"/>
        </w:rPr>
        <w:t>emphasising</w:t>
      </w:r>
      <w:proofErr w:type="spellEnd"/>
      <w:r w:rsidRPr="001371C8">
        <w:rPr>
          <w:rFonts w:ascii="Arial" w:hAnsi="Arial" w:cs="Arial"/>
          <w:sz w:val="22"/>
          <w:szCs w:val="22"/>
        </w:rPr>
        <w:t xml:space="preserve"> the importance of a stable staff to ensure uninterrupted high-quality care</w:t>
      </w:r>
      <w:r w:rsidR="00595C38" w:rsidRPr="00595C38">
        <w:rPr>
          <w:rFonts w:ascii="Arial" w:hAnsi="Arial" w:cs="Arial"/>
          <w:sz w:val="22"/>
          <w:szCs w:val="22"/>
        </w:rPr>
        <w:t>.</w:t>
      </w:r>
    </w:p>
    <w:p w14:paraId="5C83C621" w14:textId="77777777" w:rsidR="00087278" w:rsidRPr="001D1509" w:rsidRDefault="00087278" w:rsidP="00B81227">
      <w:pPr>
        <w:pStyle w:val="Heading2"/>
        <w:spacing w:line="360" w:lineRule="auto"/>
        <w:jc w:val="both"/>
        <w:rPr>
          <w:rFonts w:ascii="Arial" w:hAnsi="Arial" w:cs="Arial"/>
          <w:b/>
          <w:bCs/>
          <w:color w:val="auto"/>
          <w:sz w:val="28"/>
          <w:szCs w:val="28"/>
        </w:rPr>
      </w:pPr>
      <w:bookmarkStart w:id="9" w:name="_Toc242319609"/>
      <w:r w:rsidRPr="001D1509">
        <w:rPr>
          <w:rFonts w:ascii="Arial" w:hAnsi="Arial" w:cs="Arial"/>
          <w:b/>
          <w:bCs/>
          <w:color w:val="auto"/>
          <w:sz w:val="28"/>
          <w:szCs w:val="28"/>
        </w:rPr>
        <w:t>Conclusion</w:t>
      </w:r>
      <w:bookmarkEnd w:id="9"/>
    </w:p>
    <w:p w14:paraId="00440A91" w14:textId="0132C6E3" w:rsidR="00D00140" w:rsidRPr="000E29F5" w:rsidRDefault="00EF477D" w:rsidP="00B81227">
      <w:pPr>
        <w:spacing w:line="360" w:lineRule="auto"/>
        <w:jc w:val="both"/>
        <w:rPr>
          <w:rFonts w:ascii="Arial" w:hAnsi="Arial" w:cs="Arial"/>
          <w:sz w:val="22"/>
          <w:szCs w:val="22"/>
        </w:rPr>
      </w:pPr>
      <w:r w:rsidRPr="000E29F5">
        <w:rPr>
          <w:rFonts w:ascii="Arial" w:hAnsi="Arial" w:cs="Arial"/>
          <w:sz w:val="22"/>
          <w:szCs w:val="22"/>
        </w:rPr>
        <w:t xml:space="preserve">Ambulance services have developed from primarily transport-oriented service to complex mobile health care services. This change has been influenced by historical factors, political reform, and medical and paramedic </w:t>
      </w:r>
      <w:proofErr w:type="spellStart"/>
      <w:r w:rsidRPr="000E29F5">
        <w:rPr>
          <w:rFonts w:ascii="Arial" w:hAnsi="Arial" w:cs="Arial"/>
          <w:sz w:val="22"/>
          <w:szCs w:val="22"/>
        </w:rPr>
        <w:t>professionalisation</w:t>
      </w:r>
      <w:proofErr w:type="spellEnd"/>
      <w:r w:rsidRPr="000E29F5">
        <w:rPr>
          <w:rFonts w:ascii="Arial" w:hAnsi="Arial" w:cs="Arial"/>
          <w:sz w:val="22"/>
          <w:szCs w:val="22"/>
        </w:rPr>
        <w:t>. While modern ambulance services provide many advantages such as quick intervention in emergencies, clinical evaluation and alternative care pathways, inappropriate triage and overstretched health services and staff produce weaknesses. The service has its greatest impact on quality of life where emergency services are swift with appropriate onward support, when the service is continuous and is patient centred</w:t>
      </w:r>
      <w:r w:rsidR="00087278" w:rsidRPr="000E29F5">
        <w:rPr>
          <w:rFonts w:ascii="Arial" w:hAnsi="Arial" w:cs="Arial"/>
          <w:sz w:val="22"/>
          <w:szCs w:val="22"/>
        </w:rPr>
        <w:t>.</w:t>
      </w:r>
      <w:r w:rsidR="00915EF1" w:rsidRPr="00915EF1">
        <w:t xml:space="preserve"> </w:t>
      </w:r>
      <w:r w:rsidR="00915EF1" w:rsidRPr="00915EF1">
        <w:rPr>
          <w:rFonts w:ascii="Arial" w:hAnsi="Arial" w:cs="Arial"/>
          <w:sz w:val="22"/>
          <w:szCs w:val="22"/>
        </w:rPr>
        <w:t>Therefore, improving ambulance services requires balancing rapid emergency response with safe clinical decision-making, effective onward support and sustainable workforce capacity.</w:t>
      </w:r>
    </w:p>
    <w:p w14:paraId="1B4AC62F" w14:textId="77777777" w:rsidR="00DA68C5" w:rsidRPr="001D1509" w:rsidRDefault="00DA68C5" w:rsidP="00B81227">
      <w:pPr>
        <w:pStyle w:val="Heading2"/>
        <w:spacing w:line="360" w:lineRule="auto"/>
        <w:jc w:val="both"/>
        <w:rPr>
          <w:rFonts w:ascii="Arial" w:hAnsi="Arial" w:cs="Arial"/>
          <w:b/>
          <w:bCs/>
          <w:color w:val="auto"/>
          <w:sz w:val="28"/>
          <w:szCs w:val="28"/>
        </w:rPr>
      </w:pPr>
      <w:bookmarkStart w:id="10" w:name="_Toc242319610"/>
      <w:r w:rsidRPr="001D1509">
        <w:rPr>
          <w:rFonts w:ascii="Arial" w:hAnsi="Arial" w:cs="Arial"/>
          <w:b/>
          <w:bCs/>
          <w:color w:val="auto"/>
          <w:sz w:val="28"/>
          <w:szCs w:val="28"/>
        </w:rPr>
        <w:t>References</w:t>
      </w:r>
      <w:bookmarkEnd w:id="10"/>
    </w:p>
    <w:p w14:paraId="5114D494" w14:textId="4257EFC0"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Averill, P., Bowness, B., Henderson, C. and </w:t>
      </w:r>
      <w:proofErr w:type="spellStart"/>
      <w:r w:rsidRPr="00B97882">
        <w:rPr>
          <w:rFonts w:ascii="Arial" w:hAnsi="Arial" w:cs="Arial"/>
          <w:sz w:val="22"/>
          <w:szCs w:val="22"/>
        </w:rPr>
        <w:t>Sevdalis</w:t>
      </w:r>
      <w:proofErr w:type="spellEnd"/>
      <w:r w:rsidRPr="00B97882">
        <w:rPr>
          <w:rFonts w:ascii="Arial" w:hAnsi="Arial" w:cs="Arial"/>
          <w:sz w:val="22"/>
          <w:szCs w:val="22"/>
        </w:rPr>
        <w:t xml:space="preserve">, N. (2024) ‘What does ‘safe care’ mean in the context of community-based mental health services? A qualitative exploration of the perspectives of service users, carers, and healthcare providers in England’, </w:t>
      </w:r>
      <w:r w:rsidRPr="00B97882">
        <w:rPr>
          <w:rFonts w:ascii="Arial" w:hAnsi="Arial" w:cs="Arial"/>
          <w:i/>
          <w:iCs/>
          <w:sz w:val="22"/>
          <w:szCs w:val="22"/>
        </w:rPr>
        <w:t>BMC Health Services Research</w:t>
      </w:r>
      <w:r w:rsidRPr="00B97882">
        <w:rPr>
          <w:rFonts w:ascii="Arial" w:hAnsi="Arial" w:cs="Arial"/>
          <w:sz w:val="22"/>
          <w:szCs w:val="22"/>
        </w:rPr>
        <w:t xml:space="preserve">, 24(1), 1053. </w:t>
      </w:r>
      <w:hyperlink r:id="rId9" w:history="1">
        <w:r w:rsidRPr="00B97882">
          <w:rPr>
            <w:rStyle w:val="Hyperlink"/>
            <w:rFonts w:ascii="Arial" w:hAnsi="Arial" w:cs="Arial"/>
            <w:sz w:val="22"/>
            <w:szCs w:val="22"/>
          </w:rPr>
          <w:t>https://doi.org/10.1186/s12913-024-11473-3</w:t>
        </w:r>
      </w:hyperlink>
    </w:p>
    <w:p w14:paraId="272C16B2" w14:textId="0F48C5A4"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Blodgett, J. M., Robertson, D. J., Pennington, E., Ratcliffe, D. and Rockwood, K. (2021) ‘Alternatives to direct emergency department conveyance of ambulance patients: a scoping review of the evidence’, </w:t>
      </w:r>
      <w:r w:rsidRPr="00B97882">
        <w:rPr>
          <w:rFonts w:ascii="Arial" w:hAnsi="Arial" w:cs="Arial"/>
          <w:i/>
          <w:iCs/>
          <w:sz w:val="22"/>
          <w:szCs w:val="22"/>
        </w:rPr>
        <w:t>Scandinavian Journal of Trauma Resuscitation and Emergency Medicine</w:t>
      </w:r>
      <w:r w:rsidRPr="00B97882">
        <w:rPr>
          <w:rFonts w:ascii="Arial" w:hAnsi="Arial" w:cs="Arial"/>
          <w:sz w:val="22"/>
          <w:szCs w:val="22"/>
        </w:rPr>
        <w:t xml:space="preserve">, 29(1), 4. </w:t>
      </w:r>
      <w:hyperlink r:id="rId10" w:history="1">
        <w:r w:rsidRPr="00B97882">
          <w:rPr>
            <w:rStyle w:val="Hyperlink"/>
            <w:rFonts w:ascii="Arial" w:hAnsi="Arial" w:cs="Arial"/>
            <w:sz w:val="22"/>
            <w:szCs w:val="22"/>
          </w:rPr>
          <w:t>https://doi.org/10.1186/s13049-020-00821-x</w:t>
        </w:r>
      </w:hyperlink>
    </w:p>
    <w:p w14:paraId="616F77D7" w14:textId="0C2D3916"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Brimblecombe, N. (2023) ‘Analysis of changes in the national mental health nursing workforce in England, 2011–2021’, </w:t>
      </w:r>
      <w:r w:rsidRPr="00B97882">
        <w:rPr>
          <w:rFonts w:ascii="Arial" w:hAnsi="Arial" w:cs="Arial"/>
          <w:i/>
          <w:iCs/>
          <w:sz w:val="22"/>
          <w:szCs w:val="22"/>
        </w:rPr>
        <w:t>Journal of Psychiatric and Mental Health Nursing</w:t>
      </w:r>
      <w:r w:rsidRPr="00B97882">
        <w:rPr>
          <w:rFonts w:ascii="Arial" w:hAnsi="Arial" w:cs="Arial"/>
          <w:sz w:val="22"/>
          <w:szCs w:val="22"/>
        </w:rPr>
        <w:t xml:space="preserve">, 30(5), pp. 994–1004. </w:t>
      </w:r>
      <w:hyperlink r:id="rId11" w:history="1">
        <w:r w:rsidRPr="00B97882">
          <w:rPr>
            <w:rStyle w:val="Hyperlink"/>
            <w:rFonts w:ascii="Arial" w:hAnsi="Arial" w:cs="Arial"/>
            <w:sz w:val="22"/>
            <w:szCs w:val="22"/>
          </w:rPr>
          <w:t>https://doi.org/10.1111/jpm.12922</w:t>
        </w:r>
      </w:hyperlink>
    </w:p>
    <w:p w14:paraId="0C555065" w14:textId="055F0225"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Brooks, I. A., Cooke, M., Spencer, C. and Archer, F. (2016) ‘A review of key national reports to describe the development of paramedic education in England (1966–2014)’, </w:t>
      </w:r>
      <w:r w:rsidRPr="00B97882">
        <w:rPr>
          <w:rFonts w:ascii="Arial" w:hAnsi="Arial" w:cs="Arial"/>
          <w:i/>
          <w:iCs/>
          <w:sz w:val="22"/>
          <w:szCs w:val="22"/>
        </w:rPr>
        <w:t>Emergency Medicine Journal</w:t>
      </w:r>
      <w:r w:rsidRPr="00B97882">
        <w:rPr>
          <w:rFonts w:ascii="Arial" w:hAnsi="Arial" w:cs="Arial"/>
          <w:sz w:val="22"/>
          <w:szCs w:val="22"/>
        </w:rPr>
        <w:t xml:space="preserve">, 33(12), pp. 876–881. </w:t>
      </w:r>
      <w:hyperlink r:id="rId12" w:history="1">
        <w:r w:rsidRPr="00B97882">
          <w:rPr>
            <w:rStyle w:val="Hyperlink"/>
            <w:rFonts w:ascii="Arial" w:hAnsi="Arial" w:cs="Arial"/>
            <w:sz w:val="22"/>
            <w:szCs w:val="22"/>
          </w:rPr>
          <w:t>https://doi.org/10.1136/emermed-2015-205062</w:t>
        </w:r>
      </w:hyperlink>
    </w:p>
    <w:p w14:paraId="3FF9EBA3" w14:textId="74DB3692"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Care Act 2014, c.23. (2014) </w:t>
      </w:r>
      <w:r w:rsidRPr="00B97882">
        <w:rPr>
          <w:rFonts w:ascii="Arial" w:hAnsi="Arial" w:cs="Arial"/>
          <w:i/>
          <w:iCs/>
          <w:sz w:val="22"/>
          <w:szCs w:val="22"/>
        </w:rPr>
        <w:t>Part 1: Care and Support</w:t>
      </w:r>
      <w:r w:rsidRPr="00B97882">
        <w:rPr>
          <w:rFonts w:ascii="Arial" w:hAnsi="Arial" w:cs="Arial"/>
          <w:sz w:val="22"/>
          <w:szCs w:val="22"/>
        </w:rPr>
        <w:t xml:space="preserve">. Available at: </w:t>
      </w:r>
      <w:hyperlink r:id="rId13" w:history="1">
        <w:r w:rsidRPr="00B97882">
          <w:rPr>
            <w:rStyle w:val="Hyperlink"/>
            <w:rFonts w:ascii="Arial" w:hAnsi="Arial" w:cs="Arial"/>
            <w:sz w:val="22"/>
            <w:szCs w:val="22"/>
          </w:rPr>
          <w:t>https://www.legislation.gov.uk/ukpga/2014/23/part/1</w:t>
        </w:r>
      </w:hyperlink>
      <w:r w:rsidRPr="00B97882">
        <w:rPr>
          <w:rFonts w:ascii="Arial" w:hAnsi="Arial" w:cs="Arial"/>
          <w:sz w:val="22"/>
          <w:szCs w:val="22"/>
        </w:rPr>
        <w:t xml:space="preserve"> (Accessed: 7 October 2026).</w:t>
      </w:r>
    </w:p>
    <w:p w14:paraId="71D1A7D9" w14:textId="4A620A32"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Cook, R. M., </w:t>
      </w:r>
      <w:proofErr w:type="spellStart"/>
      <w:r w:rsidRPr="00B97882">
        <w:rPr>
          <w:rFonts w:ascii="Arial" w:hAnsi="Arial" w:cs="Arial"/>
          <w:sz w:val="22"/>
          <w:szCs w:val="22"/>
        </w:rPr>
        <w:t>Shabuz</w:t>
      </w:r>
      <w:proofErr w:type="spellEnd"/>
      <w:r w:rsidRPr="00B97882">
        <w:rPr>
          <w:rFonts w:ascii="Arial" w:hAnsi="Arial" w:cs="Arial"/>
          <w:sz w:val="22"/>
          <w:szCs w:val="22"/>
        </w:rPr>
        <w:t xml:space="preserve">, Z. R., Bennett, M., Miller, J., East, A., Dube, A., </w:t>
      </w:r>
      <w:proofErr w:type="spellStart"/>
      <w:r w:rsidRPr="00B97882">
        <w:rPr>
          <w:rFonts w:ascii="Arial" w:hAnsi="Arial" w:cs="Arial"/>
          <w:sz w:val="22"/>
          <w:szCs w:val="22"/>
        </w:rPr>
        <w:t>Varnals</w:t>
      </w:r>
      <w:proofErr w:type="spellEnd"/>
      <w:r w:rsidRPr="00B97882">
        <w:rPr>
          <w:rFonts w:ascii="Arial" w:hAnsi="Arial" w:cs="Arial"/>
          <w:sz w:val="22"/>
          <w:szCs w:val="22"/>
        </w:rPr>
        <w:t xml:space="preserve">, G., </w:t>
      </w:r>
      <w:proofErr w:type="spellStart"/>
      <w:r w:rsidRPr="00B97882">
        <w:rPr>
          <w:rFonts w:ascii="Arial" w:hAnsi="Arial" w:cs="Arial"/>
          <w:sz w:val="22"/>
          <w:szCs w:val="22"/>
        </w:rPr>
        <w:t>Asaduzzaman</w:t>
      </w:r>
      <w:proofErr w:type="spellEnd"/>
      <w:r w:rsidRPr="00B97882">
        <w:rPr>
          <w:rFonts w:ascii="Arial" w:hAnsi="Arial" w:cs="Arial"/>
          <w:sz w:val="22"/>
          <w:szCs w:val="22"/>
        </w:rPr>
        <w:t>, M., Radford, M., Leary, A. and Jones, S. (2025) ‘</w:t>
      </w:r>
      <w:proofErr w:type="spellStart"/>
      <w:r w:rsidRPr="00B97882">
        <w:rPr>
          <w:rFonts w:ascii="Arial" w:hAnsi="Arial" w:cs="Arial"/>
          <w:sz w:val="22"/>
          <w:szCs w:val="22"/>
        </w:rPr>
        <w:t>AmReS</w:t>
      </w:r>
      <w:proofErr w:type="spellEnd"/>
      <w:r w:rsidRPr="00B97882">
        <w:rPr>
          <w:rFonts w:ascii="Arial" w:hAnsi="Arial" w:cs="Arial"/>
          <w:sz w:val="22"/>
          <w:szCs w:val="22"/>
        </w:rPr>
        <w:t xml:space="preserve">: an observational retrospective time-to-event analysis of staff voluntary turnover in an English ambulance trust’, </w:t>
      </w:r>
      <w:r w:rsidRPr="00B97882">
        <w:rPr>
          <w:rFonts w:ascii="Arial" w:hAnsi="Arial" w:cs="Arial"/>
          <w:i/>
          <w:iCs/>
          <w:sz w:val="22"/>
          <w:szCs w:val="22"/>
        </w:rPr>
        <w:t>BMJ Open</w:t>
      </w:r>
      <w:r w:rsidRPr="00B97882">
        <w:rPr>
          <w:rFonts w:ascii="Arial" w:hAnsi="Arial" w:cs="Arial"/>
          <w:sz w:val="22"/>
          <w:szCs w:val="22"/>
        </w:rPr>
        <w:t xml:space="preserve">, 15(4), e098174. </w:t>
      </w:r>
      <w:hyperlink r:id="rId14" w:history="1">
        <w:r w:rsidRPr="00B97882">
          <w:rPr>
            <w:rStyle w:val="Hyperlink"/>
            <w:rFonts w:ascii="Arial" w:hAnsi="Arial" w:cs="Arial"/>
            <w:sz w:val="22"/>
            <w:szCs w:val="22"/>
          </w:rPr>
          <w:t>https://doi.org/10.1136/bmjopen-2024-098174</w:t>
        </w:r>
      </w:hyperlink>
    </w:p>
    <w:p w14:paraId="132135A8" w14:textId="381936D5"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Eaton, G. (2023) ‘Addressing the challenges facing the paramedic profession in the United Kingdom’, </w:t>
      </w:r>
      <w:r w:rsidRPr="00B97882">
        <w:rPr>
          <w:rFonts w:ascii="Arial" w:hAnsi="Arial" w:cs="Arial"/>
          <w:i/>
          <w:iCs/>
          <w:sz w:val="22"/>
          <w:szCs w:val="22"/>
        </w:rPr>
        <w:t>British Medical Bulletin</w:t>
      </w:r>
      <w:r w:rsidRPr="00B97882">
        <w:rPr>
          <w:rFonts w:ascii="Arial" w:hAnsi="Arial" w:cs="Arial"/>
          <w:sz w:val="22"/>
          <w:szCs w:val="22"/>
        </w:rPr>
        <w:t xml:space="preserve">, 148(1), pp. 70–78. </w:t>
      </w:r>
      <w:hyperlink r:id="rId15" w:history="1">
        <w:r w:rsidRPr="00B97882">
          <w:rPr>
            <w:rStyle w:val="Hyperlink"/>
            <w:rFonts w:ascii="Arial" w:hAnsi="Arial" w:cs="Arial"/>
            <w:sz w:val="22"/>
            <w:szCs w:val="22"/>
          </w:rPr>
          <w:t>https://doi.org/10.1093/bmb/ldad024</w:t>
        </w:r>
      </w:hyperlink>
    </w:p>
    <w:p w14:paraId="7C143163" w14:textId="58740CF9"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Evans, B. A., Khanom, A., Edwards, A., Edwards, B., Farr, A., Foster, T., Fothergill, R., Gripper, P., Gunson, I., Porter, A., Rees, N., Scott, J., Snooks, H. and Watkins, A. (2023) ‘Experiences and views of people who frequently call emergency ambulance services: A qualitative study of UK service users’, </w:t>
      </w:r>
      <w:r w:rsidRPr="00B97882">
        <w:rPr>
          <w:rFonts w:ascii="Arial" w:hAnsi="Arial" w:cs="Arial"/>
          <w:i/>
          <w:iCs/>
          <w:sz w:val="22"/>
          <w:szCs w:val="22"/>
        </w:rPr>
        <w:t>Health Expectations</w:t>
      </w:r>
      <w:r w:rsidRPr="00B97882">
        <w:rPr>
          <w:rFonts w:ascii="Arial" w:hAnsi="Arial" w:cs="Arial"/>
          <w:sz w:val="22"/>
          <w:szCs w:val="22"/>
        </w:rPr>
        <w:t xml:space="preserve">, 27(1), e13856. </w:t>
      </w:r>
      <w:hyperlink r:id="rId16" w:history="1">
        <w:r w:rsidRPr="00B97882">
          <w:rPr>
            <w:rStyle w:val="Hyperlink"/>
            <w:rFonts w:ascii="Arial" w:hAnsi="Arial" w:cs="Arial"/>
            <w:sz w:val="22"/>
            <w:szCs w:val="22"/>
          </w:rPr>
          <w:t>https://doi.org/10.1111/hex.13856</w:t>
        </w:r>
      </w:hyperlink>
    </w:p>
    <w:p w14:paraId="2DB7AE7C" w14:textId="255D7B34"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Hobson-Merrett, C., Hardwick, R., </w:t>
      </w:r>
      <w:proofErr w:type="spellStart"/>
      <w:r w:rsidRPr="00B97882">
        <w:rPr>
          <w:rFonts w:ascii="Arial" w:hAnsi="Arial" w:cs="Arial"/>
          <w:sz w:val="22"/>
          <w:szCs w:val="22"/>
        </w:rPr>
        <w:t>Yeandle</w:t>
      </w:r>
      <w:proofErr w:type="spellEnd"/>
      <w:r w:rsidRPr="00B97882">
        <w:rPr>
          <w:rFonts w:ascii="Arial" w:hAnsi="Arial" w:cs="Arial"/>
          <w:sz w:val="22"/>
          <w:szCs w:val="22"/>
        </w:rPr>
        <w:t xml:space="preserve">, J., Wardle, B., Connor, C., Gibson, J., Pinfold, V., Stirzaker, A. and Byng, R. (2025) ‘What works, for whom, in what circumstances and why, when integrating voluntary and statutory community mental health services: A Realist Evaluation case study’, </w:t>
      </w:r>
      <w:r w:rsidRPr="00B97882">
        <w:rPr>
          <w:rFonts w:ascii="Arial" w:hAnsi="Arial" w:cs="Arial"/>
          <w:i/>
          <w:iCs/>
          <w:sz w:val="22"/>
          <w:szCs w:val="22"/>
        </w:rPr>
        <w:t>International Journal of Integrated Care</w:t>
      </w:r>
      <w:r w:rsidRPr="00B97882">
        <w:rPr>
          <w:rFonts w:ascii="Arial" w:hAnsi="Arial" w:cs="Arial"/>
          <w:sz w:val="22"/>
          <w:szCs w:val="22"/>
        </w:rPr>
        <w:t xml:space="preserve">, 25(3), 31. </w:t>
      </w:r>
      <w:hyperlink r:id="rId17" w:history="1">
        <w:r w:rsidRPr="00B97882">
          <w:rPr>
            <w:rStyle w:val="Hyperlink"/>
            <w:rFonts w:ascii="Arial" w:hAnsi="Arial" w:cs="Arial"/>
            <w:sz w:val="22"/>
            <w:szCs w:val="22"/>
          </w:rPr>
          <w:t>https://doi.org/10.5334/ijic.9060</w:t>
        </w:r>
      </w:hyperlink>
    </w:p>
    <w:p w14:paraId="7AAD86E9" w14:textId="4A8A47A6"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Kenwright, M., Fairclough, P., McDonald, J. and Pickford, L. (2024) ‘Effectiveness of community mental health nurses in an integrated primary care service: An observational cohort study’, </w:t>
      </w:r>
      <w:r w:rsidRPr="00B97882">
        <w:rPr>
          <w:rFonts w:ascii="Arial" w:hAnsi="Arial" w:cs="Arial"/>
          <w:i/>
          <w:iCs/>
          <w:sz w:val="22"/>
          <w:szCs w:val="22"/>
        </w:rPr>
        <w:t>International Journal of Nursing Studies Advances</w:t>
      </w:r>
      <w:r w:rsidRPr="00B97882">
        <w:rPr>
          <w:rFonts w:ascii="Arial" w:hAnsi="Arial" w:cs="Arial"/>
          <w:sz w:val="22"/>
          <w:szCs w:val="22"/>
        </w:rPr>
        <w:t xml:space="preserve">, 6, 100182. </w:t>
      </w:r>
      <w:hyperlink r:id="rId18" w:history="1">
        <w:r w:rsidRPr="00B97882">
          <w:rPr>
            <w:rStyle w:val="Hyperlink"/>
            <w:rFonts w:ascii="Arial" w:hAnsi="Arial" w:cs="Arial"/>
            <w:sz w:val="22"/>
            <w:szCs w:val="22"/>
          </w:rPr>
          <w:t>https://doi.org/10.1016/j.ijnsa.2024.100182</w:t>
        </w:r>
      </w:hyperlink>
    </w:p>
    <w:p w14:paraId="6E1D9DDD" w14:textId="0B2C0C08"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NHS England (2024) </w:t>
      </w:r>
      <w:r w:rsidRPr="00B97882">
        <w:rPr>
          <w:rFonts w:ascii="Arial" w:hAnsi="Arial" w:cs="Arial"/>
          <w:i/>
          <w:iCs/>
          <w:sz w:val="22"/>
          <w:szCs w:val="22"/>
        </w:rPr>
        <w:t>Community Mental Health Survey 2024: National qualitative report</w:t>
      </w:r>
      <w:r w:rsidRPr="00B97882">
        <w:rPr>
          <w:rFonts w:ascii="Arial" w:hAnsi="Arial" w:cs="Arial"/>
          <w:sz w:val="22"/>
          <w:szCs w:val="22"/>
        </w:rPr>
        <w:t xml:space="preserve">. Available at: </w:t>
      </w:r>
      <w:hyperlink r:id="rId19" w:history="1">
        <w:r w:rsidRPr="00B97882">
          <w:rPr>
            <w:rStyle w:val="Hyperlink"/>
            <w:rFonts w:ascii="Arial" w:hAnsi="Arial" w:cs="Arial"/>
            <w:sz w:val="22"/>
            <w:szCs w:val="22"/>
          </w:rPr>
          <w:t>https://www.england.nhs.uk/publication/community-mental-health-survey-2024-national-qualitative-report/</w:t>
        </w:r>
      </w:hyperlink>
      <w:r w:rsidRPr="00B97882">
        <w:rPr>
          <w:rFonts w:ascii="Arial" w:hAnsi="Arial" w:cs="Arial"/>
          <w:sz w:val="22"/>
          <w:szCs w:val="22"/>
        </w:rPr>
        <w:t xml:space="preserve"> (Accessed: 7 October 2026).</w:t>
      </w:r>
    </w:p>
    <w:p w14:paraId="013E25FE" w14:textId="26CBAD54"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O’Keeffe, C., Nicholl, J., Turner, J. and Goodacre, S. (2011) ‘Role of ambulance response times in the survival of patients with out-of-hospital cardiac arrest’, </w:t>
      </w:r>
      <w:r w:rsidRPr="00B97882">
        <w:rPr>
          <w:rFonts w:ascii="Arial" w:hAnsi="Arial" w:cs="Arial"/>
          <w:i/>
          <w:iCs/>
          <w:sz w:val="22"/>
          <w:szCs w:val="22"/>
        </w:rPr>
        <w:t>Emergency Medicine Journal</w:t>
      </w:r>
      <w:r w:rsidRPr="00B97882">
        <w:rPr>
          <w:rFonts w:ascii="Arial" w:hAnsi="Arial" w:cs="Arial"/>
          <w:sz w:val="22"/>
          <w:szCs w:val="22"/>
        </w:rPr>
        <w:t xml:space="preserve">, 28(8), pp. 703–706. </w:t>
      </w:r>
      <w:hyperlink r:id="rId20" w:history="1">
        <w:r w:rsidRPr="00B97882">
          <w:rPr>
            <w:rStyle w:val="Hyperlink"/>
            <w:rFonts w:ascii="Arial" w:hAnsi="Arial" w:cs="Arial"/>
            <w:sz w:val="22"/>
            <w:szCs w:val="22"/>
          </w:rPr>
          <w:t>https://doi.org/10.1136/emj.2009.086363</w:t>
        </w:r>
      </w:hyperlink>
    </w:p>
    <w:p w14:paraId="48443ABE" w14:textId="0D8DECDA" w:rsidR="00B97882" w:rsidRPr="00B97882" w:rsidRDefault="00B97882" w:rsidP="00B97882">
      <w:pPr>
        <w:pStyle w:val="ListParagraph"/>
        <w:numPr>
          <w:ilvl w:val="0"/>
          <w:numId w:val="1"/>
        </w:numPr>
        <w:spacing w:line="360" w:lineRule="auto"/>
        <w:jc w:val="both"/>
        <w:rPr>
          <w:rFonts w:ascii="Arial" w:hAnsi="Arial" w:cs="Arial"/>
          <w:sz w:val="22"/>
          <w:szCs w:val="22"/>
        </w:rPr>
      </w:pPr>
      <w:r w:rsidRPr="00B97882">
        <w:rPr>
          <w:rFonts w:ascii="Arial" w:hAnsi="Arial" w:cs="Arial"/>
          <w:sz w:val="22"/>
          <w:szCs w:val="22"/>
        </w:rPr>
        <w:t xml:space="preserve">Pollock, A. (2013) ‘Ambulance services in London and Great Britain from 1860 until today: a glimpse of history gleaned mainly from the pages of contemporary journals’, </w:t>
      </w:r>
      <w:r w:rsidRPr="00B97882">
        <w:rPr>
          <w:rFonts w:ascii="Arial" w:hAnsi="Arial" w:cs="Arial"/>
          <w:i/>
          <w:iCs/>
          <w:sz w:val="22"/>
          <w:szCs w:val="22"/>
        </w:rPr>
        <w:t>Emergency Medicine Journal</w:t>
      </w:r>
      <w:r w:rsidRPr="00B97882">
        <w:rPr>
          <w:rFonts w:ascii="Arial" w:hAnsi="Arial" w:cs="Arial"/>
          <w:sz w:val="22"/>
          <w:szCs w:val="22"/>
        </w:rPr>
        <w:t xml:space="preserve">, 30(3), pp. 218–222. </w:t>
      </w:r>
      <w:hyperlink r:id="rId21" w:history="1">
        <w:r w:rsidRPr="00B97882">
          <w:rPr>
            <w:rStyle w:val="Hyperlink"/>
            <w:rFonts w:ascii="Arial" w:hAnsi="Arial" w:cs="Arial"/>
            <w:sz w:val="22"/>
            <w:szCs w:val="22"/>
          </w:rPr>
          <w:t>https://doi.org/10.1136/emermed-2011-200086</w:t>
        </w:r>
      </w:hyperlink>
    </w:p>
    <w:p w14:paraId="7C8E7113" w14:textId="167496FA" w:rsidR="00B97882" w:rsidRPr="00B97882" w:rsidRDefault="00B97882" w:rsidP="00B97882">
      <w:pPr>
        <w:pStyle w:val="ListParagraph"/>
        <w:numPr>
          <w:ilvl w:val="0"/>
          <w:numId w:val="1"/>
        </w:numPr>
        <w:spacing w:line="360" w:lineRule="auto"/>
        <w:jc w:val="both"/>
        <w:rPr>
          <w:rFonts w:ascii="Arial" w:hAnsi="Arial" w:cs="Arial"/>
          <w:sz w:val="22"/>
          <w:szCs w:val="22"/>
        </w:rPr>
      </w:pPr>
      <w:proofErr w:type="spellStart"/>
      <w:r w:rsidRPr="00B97882">
        <w:rPr>
          <w:rFonts w:ascii="Arial" w:hAnsi="Arial" w:cs="Arial"/>
          <w:sz w:val="22"/>
          <w:szCs w:val="22"/>
        </w:rPr>
        <w:t>Silvonen</w:t>
      </w:r>
      <w:proofErr w:type="spellEnd"/>
      <w:r w:rsidRPr="00B97882">
        <w:rPr>
          <w:rFonts w:ascii="Arial" w:hAnsi="Arial" w:cs="Arial"/>
          <w:sz w:val="22"/>
          <w:szCs w:val="22"/>
        </w:rPr>
        <w:t xml:space="preserve">, T. (2024) ‘Service providers’ perspectives of an Integrated community mental health service in the UK’, </w:t>
      </w:r>
      <w:r w:rsidRPr="00B97882">
        <w:rPr>
          <w:rFonts w:ascii="Arial" w:hAnsi="Arial" w:cs="Arial"/>
          <w:i/>
          <w:iCs/>
          <w:sz w:val="22"/>
          <w:szCs w:val="22"/>
        </w:rPr>
        <w:t>Community Mental Health Journal</w:t>
      </w:r>
      <w:r w:rsidRPr="00B97882">
        <w:rPr>
          <w:rFonts w:ascii="Arial" w:hAnsi="Arial" w:cs="Arial"/>
          <w:sz w:val="22"/>
          <w:szCs w:val="22"/>
        </w:rPr>
        <w:t xml:space="preserve">, 61(2), pp. 329–336. </w:t>
      </w:r>
      <w:hyperlink r:id="rId22" w:history="1">
        <w:r w:rsidRPr="00B97882">
          <w:rPr>
            <w:rStyle w:val="Hyperlink"/>
            <w:rFonts w:ascii="Arial" w:hAnsi="Arial" w:cs="Arial"/>
            <w:sz w:val="22"/>
            <w:szCs w:val="22"/>
          </w:rPr>
          <w:t>https://doi.org/10.1007/s10597-024-01352-w</w:t>
        </w:r>
      </w:hyperlink>
    </w:p>
    <w:p w14:paraId="6352D817" w14:textId="77777777" w:rsidR="00C2563F" w:rsidRPr="00B97882" w:rsidRDefault="00C2563F" w:rsidP="00B97882">
      <w:pPr>
        <w:spacing w:line="360" w:lineRule="auto"/>
        <w:ind w:left="360"/>
        <w:jc w:val="both"/>
        <w:rPr>
          <w:rFonts w:ascii="Arial" w:hAnsi="Arial" w:cs="Arial"/>
          <w:sz w:val="22"/>
          <w:szCs w:val="22"/>
        </w:rPr>
      </w:pPr>
    </w:p>
    <w:sectPr w:rsidR="00C2563F" w:rsidRPr="00B9788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A3F18" w14:textId="77777777" w:rsidR="00C17EEC" w:rsidRDefault="00C17EEC" w:rsidP="008E4899">
      <w:pPr>
        <w:spacing w:after="0" w:line="240" w:lineRule="auto"/>
      </w:pPr>
      <w:r>
        <w:separator/>
      </w:r>
    </w:p>
  </w:endnote>
  <w:endnote w:type="continuationSeparator" w:id="0">
    <w:p w14:paraId="0766C443" w14:textId="77777777" w:rsidR="00C17EEC" w:rsidRDefault="00C17EEC" w:rsidP="008E4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822400"/>
      <w:docPartObj>
        <w:docPartGallery w:val="Page Numbers (Bottom of Page)"/>
        <w:docPartUnique/>
      </w:docPartObj>
    </w:sdtPr>
    <w:sdtEndPr>
      <w:rPr>
        <w:noProof/>
      </w:rPr>
    </w:sdtEndPr>
    <w:sdtContent>
      <w:p w14:paraId="2E4D513E" w14:textId="12DD8C2C" w:rsidR="008E4899" w:rsidRDefault="008E48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BBEF5D" w14:textId="77777777" w:rsidR="008E4899" w:rsidRDefault="008E4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CD6CC" w14:textId="77777777" w:rsidR="00C17EEC" w:rsidRDefault="00C17EEC" w:rsidP="008E4899">
      <w:pPr>
        <w:spacing w:after="0" w:line="240" w:lineRule="auto"/>
      </w:pPr>
      <w:r>
        <w:separator/>
      </w:r>
    </w:p>
  </w:footnote>
  <w:footnote w:type="continuationSeparator" w:id="0">
    <w:p w14:paraId="49F18281" w14:textId="77777777" w:rsidR="00C17EEC" w:rsidRDefault="00C17EEC" w:rsidP="008E4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C1E69"/>
    <w:multiLevelType w:val="hybridMultilevel"/>
    <w:tmpl w:val="A0C08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4480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AAE"/>
    <w:rsid w:val="000322AA"/>
    <w:rsid w:val="0004658C"/>
    <w:rsid w:val="000732A1"/>
    <w:rsid w:val="00087278"/>
    <w:rsid w:val="000E29F5"/>
    <w:rsid w:val="00115FDD"/>
    <w:rsid w:val="001371C8"/>
    <w:rsid w:val="00192500"/>
    <w:rsid w:val="001B4570"/>
    <w:rsid w:val="001B6EB9"/>
    <w:rsid w:val="001D1509"/>
    <w:rsid w:val="001E6976"/>
    <w:rsid w:val="00203B04"/>
    <w:rsid w:val="002076D0"/>
    <w:rsid w:val="00247F3B"/>
    <w:rsid w:val="00252C1F"/>
    <w:rsid w:val="00257829"/>
    <w:rsid w:val="002A49A8"/>
    <w:rsid w:val="002D5D23"/>
    <w:rsid w:val="00310F3B"/>
    <w:rsid w:val="00393101"/>
    <w:rsid w:val="003A44AD"/>
    <w:rsid w:val="003B402B"/>
    <w:rsid w:val="003D101A"/>
    <w:rsid w:val="00421DE6"/>
    <w:rsid w:val="0046640F"/>
    <w:rsid w:val="00497B8E"/>
    <w:rsid w:val="004B6D28"/>
    <w:rsid w:val="004C78E2"/>
    <w:rsid w:val="004D56A0"/>
    <w:rsid w:val="004E1064"/>
    <w:rsid w:val="004E6E58"/>
    <w:rsid w:val="00531927"/>
    <w:rsid w:val="00553CB5"/>
    <w:rsid w:val="00595C38"/>
    <w:rsid w:val="005A0049"/>
    <w:rsid w:val="005B6F38"/>
    <w:rsid w:val="005F3054"/>
    <w:rsid w:val="00606464"/>
    <w:rsid w:val="0063230D"/>
    <w:rsid w:val="006B2A0E"/>
    <w:rsid w:val="00723F98"/>
    <w:rsid w:val="00726576"/>
    <w:rsid w:val="007760DD"/>
    <w:rsid w:val="00787090"/>
    <w:rsid w:val="007B659B"/>
    <w:rsid w:val="007F05CB"/>
    <w:rsid w:val="007F1D59"/>
    <w:rsid w:val="00876FD8"/>
    <w:rsid w:val="00877EC9"/>
    <w:rsid w:val="008C12F8"/>
    <w:rsid w:val="008E3F9E"/>
    <w:rsid w:val="008E4899"/>
    <w:rsid w:val="00911A05"/>
    <w:rsid w:val="00915EF1"/>
    <w:rsid w:val="00920E7A"/>
    <w:rsid w:val="009268DE"/>
    <w:rsid w:val="00957135"/>
    <w:rsid w:val="009C13B9"/>
    <w:rsid w:val="009C69F8"/>
    <w:rsid w:val="009D63CA"/>
    <w:rsid w:val="00A0079E"/>
    <w:rsid w:val="00A43FCF"/>
    <w:rsid w:val="00A54653"/>
    <w:rsid w:val="00A648A1"/>
    <w:rsid w:val="00A76A6D"/>
    <w:rsid w:val="00A84839"/>
    <w:rsid w:val="00A9635D"/>
    <w:rsid w:val="00AE049D"/>
    <w:rsid w:val="00B21613"/>
    <w:rsid w:val="00B22563"/>
    <w:rsid w:val="00B500C8"/>
    <w:rsid w:val="00B51DA7"/>
    <w:rsid w:val="00B53692"/>
    <w:rsid w:val="00B81227"/>
    <w:rsid w:val="00B97882"/>
    <w:rsid w:val="00BD25FF"/>
    <w:rsid w:val="00C17EEC"/>
    <w:rsid w:val="00C2563F"/>
    <w:rsid w:val="00C33F1E"/>
    <w:rsid w:val="00C455EE"/>
    <w:rsid w:val="00C85D9A"/>
    <w:rsid w:val="00C92599"/>
    <w:rsid w:val="00CB033A"/>
    <w:rsid w:val="00D00140"/>
    <w:rsid w:val="00D272BE"/>
    <w:rsid w:val="00D27961"/>
    <w:rsid w:val="00D758A7"/>
    <w:rsid w:val="00D863E3"/>
    <w:rsid w:val="00DA68C5"/>
    <w:rsid w:val="00E4613B"/>
    <w:rsid w:val="00E7277A"/>
    <w:rsid w:val="00EB77BC"/>
    <w:rsid w:val="00EF477D"/>
    <w:rsid w:val="00F40077"/>
    <w:rsid w:val="00F51390"/>
    <w:rsid w:val="00FA7F1C"/>
    <w:rsid w:val="00FD7E02"/>
    <w:rsid w:val="00FE5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0420"/>
  <w15:chartTrackingRefBased/>
  <w15:docId w15:val="{ECF8651C-C438-4F0B-A65D-B7FB028D1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A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5A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A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A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A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A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5A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A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A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A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AAE"/>
    <w:rPr>
      <w:rFonts w:eastAsiaTheme="majorEastAsia" w:cstheme="majorBidi"/>
      <w:color w:val="272727" w:themeColor="text1" w:themeTint="D8"/>
    </w:rPr>
  </w:style>
  <w:style w:type="paragraph" w:styleId="Title">
    <w:name w:val="Title"/>
    <w:basedOn w:val="Normal"/>
    <w:next w:val="Normal"/>
    <w:link w:val="TitleChar"/>
    <w:uiPriority w:val="10"/>
    <w:qFormat/>
    <w:rsid w:val="00FE5A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AAE"/>
    <w:pPr>
      <w:spacing w:before="160"/>
      <w:jc w:val="center"/>
    </w:pPr>
    <w:rPr>
      <w:i/>
      <w:iCs/>
      <w:color w:val="404040" w:themeColor="text1" w:themeTint="BF"/>
    </w:rPr>
  </w:style>
  <w:style w:type="character" w:customStyle="1" w:styleId="QuoteChar">
    <w:name w:val="Quote Char"/>
    <w:basedOn w:val="DefaultParagraphFont"/>
    <w:link w:val="Quote"/>
    <w:uiPriority w:val="29"/>
    <w:rsid w:val="00FE5AAE"/>
    <w:rPr>
      <w:i/>
      <w:iCs/>
      <w:color w:val="404040" w:themeColor="text1" w:themeTint="BF"/>
    </w:rPr>
  </w:style>
  <w:style w:type="paragraph" w:styleId="ListParagraph">
    <w:name w:val="List Paragraph"/>
    <w:basedOn w:val="Normal"/>
    <w:uiPriority w:val="34"/>
    <w:qFormat/>
    <w:rsid w:val="00FE5AAE"/>
    <w:pPr>
      <w:ind w:left="720"/>
      <w:contextualSpacing/>
    </w:pPr>
  </w:style>
  <w:style w:type="character" w:styleId="IntenseEmphasis">
    <w:name w:val="Intense Emphasis"/>
    <w:basedOn w:val="DefaultParagraphFont"/>
    <w:uiPriority w:val="21"/>
    <w:qFormat/>
    <w:rsid w:val="00FE5AAE"/>
    <w:rPr>
      <w:i/>
      <w:iCs/>
      <w:color w:val="0F4761" w:themeColor="accent1" w:themeShade="BF"/>
    </w:rPr>
  </w:style>
  <w:style w:type="paragraph" w:styleId="IntenseQuote">
    <w:name w:val="Intense Quote"/>
    <w:basedOn w:val="Normal"/>
    <w:next w:val="Normal"/>
    <w:link w:val="IntenseQuoteChar"/>
    <w:uiPriority w:val="30"/>
    <w:qFormat/>
    <w:rsid w:val="00FE5A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AAE"/>
    <w:rPr>
      <w:i/>
      <w:iCs/>
      <w:color w:val="0F4761" w:themeColor="accent1" w:themeShade="BF"/>
    </w:rPr>
  </w:style>
  <w:style w:type="character" w:styleId="IntenseReference">
    <w:name w:val="Intense Reference"/>
    <w:basedOn w:val="DefaultParagraphFont"/>
    <w:uiPriority w:val="32"/>
    <w:qFormat/>
    <w:rsid w:val="00FE5AAE"/>
    <w:rPr>
      <w:b/>
      <w:bCs/>
      <w:smallCaps/>
      <w:color w:val="0F4761" w:themeColor="accent1" w:themeShade="BF"/>
      <w:spacing w:val="5"/>
    </w:rPr>
  </w:style>
  <w:style w:type="character" w:styleId="Hyperlink">
    <w:name w:val="Hyperlink"/>
    <w:basedOn w:val="DefaultParagraphFont"/>
    <w:uiPriority w:val="99"/>
    <w:unhideWhenUsed/>
    <w:rsid w:val="00FE5AAE"/>
    <w:rPr>
      <w:color w:val="467886" w:themeColor="hyperlink"/>
      <w:u w:val="single"/>
    </w:rPr>
  </w:style>
  <w:style w:type="character" w:styleId="UnresolvedMention">
    <w:name w:val="Unresolved Mention"/>
    <w:basedOn w:val="DefaultParagraphFont"/>
    <w:uiPriority w:val="99"/>
    <w:semiHidden/>
    <w:unhideWhenUsed/>
    <w:rsid w:val="00FE5AAE"/>
    <w:rPr>
      <w:color w:val="605E5C"/>
      <w:shd w:val="clear" w:color="auto" w:fill="E1DFDD"/>
    </w:rPr>
  </w:style>
  <w:style w:type="paragraph" w:styleId="TOCHeading">
    <w:name w:val="TOC Heading"/>
    <w:basedOn w:val="Heading1"/>
    <w:next w:val="Normal"/>
    <w:uiPriority w:val="39"/>
    <w:unhideWhenUsed/>
    <w:qFormat/>
    <w:rsid w:val="0004658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4658C"/>
    <w:pPr>
      <w:spacing w:after="100"/>
    </w:pPr>
  </w:style>
  <w:style w:type="paragraph" w:styleId="TOC2">
    <w:name w:val="toc 2"/>
    <w:basedOn w:val="Normal"/>
    <w:next w:val="Normal"/>
    <w:autoRedefine/>
    <w:uiPriority w:val="39"/>
    <w:unhideWhenUsed/>
    <w:rsid w:val="0004658C"/>
    <w:pPr>
      <w:spacing w:after="100"/>
      <w:ind w:left="240"/>
    </w:pPr>
  </w:style>
  <w:style w:type="paragraph" w:styleId="Header">
    <w:name w:val="header"/>
    <w:basedOn w:val="Normal"/>
    <w:link w:val="HeaderChar"/>
    <w:uiPriority w:val="99"/>
    <w:unhideWhenUsed/>
    <w:rsid w:val="008E48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899"/>
  </w:style>
  <w:style w:type="paragraph" w:styleId="Footer">
    <w:name w:val="footer"/>
    <w:basedOn w:val="Normal"/>
    <w:link w:val="FooterChar"/>
    <w:uiPriority w:val="99"/>
    <w:unhideWhenUsed/>
    <w:rsid w:val="008E4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legislation.gov.uk/ukpga/2014/23/part/1?utm_source=chatgpt.com" TargetMode="External" /><Relationship Id="rId18" Type="http://schemas.openxmlformats.org/officeDocument/2006/relationships/hyperlink" Target="https://doi.org/10.1016/j.ijnsa.2024.100182" TargetMode="External" /><Relationship Id="rId3" Type="http://schemas.openxmlformats.org/officeDocument/2006/relationships/styles" Target="styles.xml" /><Relationship Id="rId21" Type="http://schemas.openxmlformats.org/officeDocument/2006/relationships/hyperlink" Target="https://doi.org/10.1136/emermed-2011-200086" TargetMode="External" /><Relationship Id="rId7" Type="http://schemas.openxmlformats.org/officeDocument/2006/relationships/endnotes" Target="endnotes.xml" /><Relationship Id="rId12" Type="http://schemas.openxmlformats.org/officeDocument/2006/relationships/hyperlink" Target="https://doi.org/10.1136/emermed-2015-205062" TargetMode="External" /><Relationship Id="rId17" Type="http://schemas.openxmlformats.org/officeDocument/2006/relationships/hyperlink" Target="https://doi.org/10.5334/ijic.9060"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doi.org/10.1111/hex.13856" TargetMode="External" /><Relationship Id="rId20" Type="http://schemas.openxmlformats.org/officeDocument/2006/relationships/hyperlink" Target="https://doi.org/10.1136/emj.2009.08636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111/jpm.12922"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doi.org/10.1093/bmb/ldad024" TargetMode="External" /><Relationship Id="rId23" Type="http://schemas.openxmlformats.org/officeDocument/2006/relationships/footer" Target="footer1.xml" /><Relationship Id="rId10" Type="http://schemas.openxmlformats.org/officeDocument/2006/relationships/hyperlink" Target="https://doi.org/10.1186/s13049-020-00821-x" TargetMode="External" /><Relationship Id="rId19" Type="http://schemas.openxmlformats.org/officeDocument/2006/relationships/hyperlink" Target="https://www.england.nhs.uk/publication/community-mental-health-survey-2024-national-qualitative-report/?utm_source=chatgpt.com" TargetMode="External" /><Relationship Id="rId4" Type="http://schemas.openxmlformats.org/officeDocument/2006/relationships/settings" Target="settings.xml" /><Relationship Id="rId9" Type="http://schemas.openxmlformats.org/officeDocument/2006/relationships/hyperlink" Target="https://doi.org/10.1186/s12913-024-11473-3" TargetMode="External" /><Relationship Id="rId14" Type="http://schemas.openxmlformats.org/officeDocument/2006/relationships/hyperlink" Target="https://doi.org/10.1136/bmjopen-2024-098174?utm_source=chatgpt.com" TargetMode="External" /><Relationship Id="rId22" Type="http://schemas.openxmlformats.org/officeDocument/2006/relationships/hyperlink" Target="https://doi.org/10.1007/s10597-024-01352-w"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84D3C-9B1C-453D-B62A-5F92C355F0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NIZAM UD DIN</dc:creator>
  <cp:keywords/>
  <dc:description/>
  <cp:lastModifiedBy>Rizwana Zahiem (2542634)</cp:lastModifiedBy>
  <cp:revision>2</cp:revision>
  <dcterms:created xsi:type="dcterms:W3CDTF">2026-10-10T17:10:00Z</dcterms:created>
  <dcterms:modified xsi:type="dcterms:W3CDTF">2026-10-10T17:10:00Z</dcterms:modified>
</cp:coreProperties>
</file>