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6511769"/>
        <w:docPartObj>
          <w:docPartGallery w:val="Cover Pages"/>
          <w:docPartUnique/>
        </w:docPartObj>
      </w:sdtPr>
      <w:sdtEndPr>
        <w:rPr>
          <w:b/>
          <w:bCs/>
          <w:sz w:val="32"/>
          <w:szCs w:val="32"/>
        </w:rPr>
      </w:sdtEndPr>
      <w:sdtContent>
        <w:p w14:paraId="35553622" w14:textId="34C076BB" w:rsidR="007E5F5C" w:rsidRDefault="007E5F5C"/>
        <w:p w14:paraId="72BAA86D" w14:textId="5697A139" w:rsidR="007E5F5C" w:rsidRDefault="001B1CF2">
          <w:pPr>
            <w:rPr>
              <w:b/>
              <w:bCs/>
              <w:sz w:val="32"/>
              <w:szCs w:val="32"/>
            </w:rPr>
          </w:pPr>
          <w:r>
            <w:rPr>
              <w:b/>
              <w:bCs/>
              <w:noProof/>
              <w:sz w:val="32"/>
              <w:szCs w:val="32"/>
            </w:rPr>
            <mc:AlternateContent>
              <mc:Choice Requires="wps">
                <w:drawing>
                  <wp:anchor distT="0" distB="0" distL="114300" distR="114300" simplePos="0" relativeHeight="251659264" behindDoc="1" locked="0" layoutInCell="1" allowOverlap="1" wp14:anchorId="25164BD4" wp14:editId="1210F7E1">
                    <wp:simplePos x="0" y="0"/>
                    <wp:positionH relativeFrom="margin">
                      <wp:align>center</wp:align>
                    </wp:positionH>
                    <wp:positionV relativeFrom="paragraph">
                      <wp:posOffset>1215390</wp:posOffset>
                    </wp:positionV>
                    <wp:extent cx="6857365" cy="2722245"/>
                    <wp:effectExtent l="0" t="0" r="635" b="1905"/>
                    <wp:wrapNone/>
                    <wp:docPr id="196" name="Text Box 1"/>
                    <wp:cNvGraphicFramePr/>
                    <a:graphic xmlns:a="http://schemas.openxmlformats.org/drawingml/2006/main">
                      <a:graphicData uri="http://schemas.microsoft.com/office/word/2010/wordprocessingShape">
                        <wps:wsp>
                          <wps:cNvSpPr txBox="1"/>
                          <wps:spPr>
                            <a:xfrm>
                              <a:off x="0" y="0"/>
                              <a:ext cx="6857365" cy="272224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CC6FD"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Assessment 1</w:t>
                                </w:r>
                              </w:p>
                              <w:p w14:paraId="003AA40B" w14:textId="0CD860A6"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Module: LCB</w:t>
                                </w:r>
                                <w:r>
                                  <w:rPr>
                                    <w:rFonts w:ascii="Arial" w:hAnsi="Arial" w:cs="Arial"/>
                                    <w:b/>
                                    <w:bCs/>
                                    <w:sz w:val="28"/>
                                    <w:szCs w:val="28"/>
                                    <w:u w:val="single"/>
                                  </w:rPr>
                                  <w:t>B6002 International Financial Management</w:t>
                                </w:r>
                              </w:p>
                              <w:p w14:paraId="64B3DC16" w14:textId="0F9638B5"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Lecturer: Dr</w:t>
                                </w:r>
                                <w:r>
                                  <w:rPr>
                                    <w:rFonts w:ascii="Arial" w:hAnsi="Arial" w:cs="Arial"/>
                                    <w:b/>
                                    <w:bCs/>
                                    <w:sz w:val="28"/>
                                    <w:szCs w:val="28"/>
                                    <w:u w:val="single"/>
                                  </w:rPr>
                                  <w:t xml:space="preserve"> Thomas Adeyemi</w:t>
                                </w:r>
                              </w:p>
                              <w:p w14:paraId="630F2AA2"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Danica Kanchevska</w:t>
                                </w:r>
                              </w:p>
                              <w:p w14:paraId="57E36DA1"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15FDD50D" w14:textId="6D85C135" w:rsidR="007E5F5C" w:rsidRPr="00174CA7" w:rsidRDefault="007E5F5C" w:rsidP="00174CA7">
                                <w:pPr>
                                  <w:pStyle w:val="NoSpacing"/>
                                  <w:rPr>
                                    <w:rFonts w:asciiTheme="majorHAnsi" w:eastAsiaTheme="majorEastAsia" w:hAnsiTheme="majorHAnsi" w:cstheme="majorBidi"/>
                                    <w:caps/>
                                    <w:color w:val="156082"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w14:anchorId="25164BD4" id="_x0000_t202" coordsize="21600,21600" o:spt="202" path="m,l,21600r21600,l21600,xe">
                    <v:stroke joinstyle="miter"/>
                    <v:path gradientshapeok="t" o:connecttype="rect"/>
                  </v:shapetype>
                  <v:shape id="Text Box 1" o:spid="_x0000_s1026" type="#_x0000_t202" style="position:absolute;margin-left:0;margin-top:95.7pt;width:539.95pt;height:214.35pt;z-index:-25165721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" fillcolor="white [3212]" stroked="f" strokeweight=".5pt">
                    <v:textbox inset="36pt,7.2pt,36pt,7.2pt">
                      <w:txbxContent>
                        <w:p w14:paraId="370CC6FD"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Assessment 1</w:t>
                          </w:r>
                        </w:p>
                        <w:p w14:paraId="003AA40B" w14:textId="0CD860A6"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Module: LCB</w:t>
                          </w:r>
                          <w:r>
                            <w:rPr>
                              <w:rFonts w:ascii="Arial" w:hAnsi="Arial" w:cs="Arial"/>
                              <w:b/>
                              <w:bCs/>
                              <w:sz w:val="28"/>
                              <w:szCs w:val="28"/>
                              <w:u w:val="single"/>
                            </w:rPr>
                            <w:t>B6002 International Financial Management</w:t>
                          </w:r>
                        </w:p>
                        <w:p w14:paraId="64B3DC16" w14:textId="0F9638B5"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Lecturer: Dr</w:t>
                          </w:r>
                          <w:r>
                            <w:rPr>
                              <w:rFonts w:ascii="Arial" w:hAnsi="Arial" w:cs="Arial"/>
                              <w:b/>
                              <w:bCs/>
                              <w:sz w:val="28"/>
                              <w:szCs w:val="28"/>
                              <w:u w:val="single"/>
                            </w:rPr>
                            <w:t xml:space="preserve"> Thomas Adeyemi</w:t>
                          </w:r>
                        </w:p>
                        <w:p w14:paraId="630F2AA2"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Danica Kanchevska</w:t>
                          </w:r>
                        </w:p>
                        <w:p w14:paraId="57E36DA1" w14:textId="77777777" w:rsidR="00174CA7" w:rsidRPr="00A1423C" w:rsidRDefault="00174CA7" w:rsidP="00174CA7">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15FDD50D" w14:textId="6D85C135" w:rsidR="007E5F5C" w:rsidRPr="00174CA7" w:rsidRDefault="007E5F5C" w:rsidP="00174CA7">
                          <w:pPr>
                            <w:pStyle w:val="NoSpacing"/>
                            <w:rPr>
                              <w:rFonts w:asciiTheme="majorHAnsi" w:eastAsiaTheme="majorEastAsia" w:hAnsiTheme="majorHAnsi" w:cstheme="majorBidi"/>
                              <w:caps/>
                              <w:color w:val="156082" w:themeColor="accent1"/>
                              <w:sz w:val="72"/>
                              <w:szCs w:val="72"/>
                              <w:lang w:val="en-GB"/>
                            </w:rPr>
                          </w:pPr>
                        </w:p>
                      </w:txbxContent>
                    </v:textbox>
                    <w10:wrap anchorx="margin"/>
                  </v:shape>
                </w:pict>
              </mc:Fallback>
            </mc:AlternateContent>
          </w:r>
          <w:r w:rsidR="007E5F5C">
            <w:rPr>
              <w:b/>
              <w:bCs/>
              <w:sz w:val="32"/>
              <w:szCs w:val="32"/>
            </w:rPr>
            <w:br w:type="page"/>
          </w:r>
        </w:p>
      </w:sdtContent>
    </w:sdt>
    <w:p w14:paraId="26FCBA31" w14:textId="543FC787" w:rsidR="00E664D2" w:rsidRPr="001B1CF2" w:rsidRDefault="00BD2E64" w:rsidP="001B1CF2">
      <w:pPr>
        <w:jc w:val="center"/>
        <w:rPr>
          <w:b/>
          <w:bCs/>
          <w:sz w:val="32"/>
          <w:szCs w:val="32"/>
        </w:rPr>
      </w:pPr>
      <w:r w:rsidRPr="00AF2C00">
        <w:rPr>
          <w:b/>
          <w:bCs/>
          <w:sz w:val="32"/>
          <w:szCs w:val="32"/>
        </w:rPr>
        <w:lastRenderedPageBreak/>
        <w:t>Table Of Contents:</w:t>
      </w:r>
    </w:p>
    <w:p w14:paraId="6ECD538C" w14:textId="1C453B32" w:rsidR="00BD2E64" w:rsidRDefault="00BD2E64" w:rsidP="00BD2E64">
      <w:pPr>
        <w:pStyle w:val="ListParagraph"/>
        <w:numPr>
          <w:ilvl w:val="0"/>
          <w:numId w:val="1"/>
        </w:numPr>
      </w:pPr>
      <w:r>
        <w:t>Introduction…………...</w:t>
      </w:r>
      <w:r w:rsidR="00A30832">
        <w:t>................................................................................................</w:t>
      </w:r>
      <w:r w:rsidR="002229C9">
        <w:t>2</w:t>
      </w:r>
    </w:p>
    <w:p w14:paraId="43DCE048" w14:textId="187379A5" w:rsidR="00A30832" w:rsidRDefault="00A30832" w:rsidP="00BD2E64">
      <w:pPr>
        <w:pStyle w:val="ListParagraph"/>
        <w:numPr>
          <w:ilvl w:val="0"/>
          <w:numId w:val="1"/>
        </w:numPr>
      </w:pPr>
      <w:r>
        <w:t>Foreign Exchange Risks………………………………………………………………………………………</w:t>
      </w:r>
      <w:r w:rsidR="008613D5">
        <w:t>3</w:t>
      </w:r>
    </w:p>
    <w:p w14:paraId="59486056" w14:textId="08069FAE" w:rsidR="00A30832" w:rsidRDefault="00A30832" w:rsidP="00BD2E64">
      <w:pPr>
        <w:pStyle w:val="ListParagraph"/>
        <w:numPr>
          <w:ilvl w:val="0"/>
          <w:numId w:val="1"/>
        </w:numPr>
      </w:pPr>
      <w:r>
        <w:t>Why MNCs consider long-term investing in foreign currency………………………….………...</w:t>
      </w:r>
      <w:r w:rsidR="008613D5">
        <w:t>4</w:t>
      </w:r>
      <w:r w:rsidR="00FC007A">
        <w:br/>
      </w:r>
      <w:r w:rsidR="001B1CF2">
        <w:t>3</w:t>
      </w:r>
      <w:r w:rsidR="00FC007A">
        <w:t>.1 Strategic Expansion………………………………………………..…………………………………….4</w:t>
      </w:r>
      <w:r w:rsidR="00FC007A">
        <w:br/>
      </w:r>
      <w:r w:rsidR="001B1CF2">
        <w:t>3</w:t>
      </w:r>
      <w:r w:rsidR="00FC007A">
        <w:t>.2 Currency Expectations………………………………………………….………………….…………..4</w:t>
      </w:r>
      <w:r w:rsidR="00FC007A">
        <w:br/>
      </w:r>
      <w:r w:rsidR="001B1CF2">
        <w:t>3</w:t>
      </w:r>
      <w:r w:rsidR="00FC007A">
        <w:t>.3 Diversification of Funding Sources…………………………..……………………………………..4</w:t>
      </w:r>
    </w:p>
    <w:p w14:paraId="344987E8" w14:textId="2B405736" w:rsidR="008613D5" w:rsidRDefault="008613D5" w:rsidP="008613D5">
      <w:pPr>
        <w:pStyle w:val="ListParagraph"/>
        <w:numPr>
          <w:ilvl w:val="0"/>
          <w:numId w:val="1"/>
        </w:numPr>
      </w:pPr>
      <w:r>
        <w:t>Main Types of Foreign Exchange Risks…………………………………………………………………..5</w:t>
      </w:r>
      <w:r>
        <w:br/>
        <w:t>4.1 Translation</w:t>
      </w:r>
      <w:r w:rsidRPr="008613D5">
        <w:t xml:space="preserve"> </w:t>
      </w:r>
      <w:r>
        <w:t>Risk Exchange Exposure</w:t>
      </w:r>
      <w:r w:rsidR="00FC007A">
        <w:t>.……………………………………………………………….5</w:t>
      </w:r>
      <w:r>
        <w:br/>
        <w:t>4.2</w:t>
      </w:r>
      <w:r w:rsidRPr="008613D5">
        <w:t xml:space="preserve"> </w:t>
      </w:r>
      <w:r>
        <w:t>Transaction</w:t>
      </w:r>
      <w:r w:rsidRPr="008613D5">
        <w:t xml:space="preserve"> </w:t>
      </w:r>
      <w:r>
        <w:t>Risk Exchange Exposure</w:t>
      </w:r>
      <w:r w:rsidR="00FC007A">
        <w:t>……………………………………………………………….5</w:t>
      </w:r>
      <w:r>
        <w:br/>
        <w:t>4.3</w:t>
      </w:r>
      <w:r w:rsidR="00FC007A">
        <w:t xml:space="preserve"> Economic Risks……………………………………………………………………………………………5</w:t>
      </w:r>
    </w:p>
    <w:p w14:paraId="6A568C29" w14:textId="17860B8F" w:rsidR="00FC007A" w:rsidRDefault="00AF2C00" w:rsidP="008613D5">
      <w:pPr>
        <w:pStyle w:val="ListParagraph"/>
        <w:numPr>
          <w:ilvl w:val="0"/>
          <w:numId w:val="1"/>
        </w:numPr>
      </w:pPr>
      <w:r>
        <w:t>Analysing Apple’s Financial Statements……………………………………………………………</w:t>
      </w:r>
      <w:proofErr w:type="gramStart"/>
      <w:r>
        <w:t>…..</w:t>
      </w:r>
      <w:proofErr w:type="gramEnd"/>
      <w:r>
        <w:t>6</w:t>
      </w:r>
    </w:p>
    <w:p w14:paraId="2AE385FA" w14:textId="6480D223" w:rsidR="00AF2C00" w:rsidRDefault="00AF2C00" w:rsidP="008613D5">
      <w:pPr>
        <w:pStyle w:val="ListParagraph"/>
        <w:numPr>
          <w:ilvl w:val="0"/>
          <w:numId w:val="1"/>
        </w:numPr>
      </w:pPr>
      <w:r>
        <w:t>Strategies for Managing Foreign Exchange Risks…………………………………………………</w:t>
      </w:r>
      <w:proofErr w:type="gramStart"/>
      <w:r>
        <w:t>…..</w:t>
      </w:r>
      <w:proofErr w:type="gramEnd"/>
      <w:r>
        <w:t>7</w:t>
      </w:r>
      <w:r>
        <w:br/>
      </w:r>
      <w:r w:rsidR="00AD2909">
        <w:t>7</w:t>
      </w:r>
      <w:r>
        <w:t>.1</w:t>
      </w:r>
      <w:r w:rsidR="00F0286E">
        <w:t xml:space="preserve"> Internal Strategies</w:t>
      </w:r>
      <w:r w:rsidR="009C06EB">
        <w:t>…………………….………….…………….…………….………..…………..……7</w:t>
      </w:r>
      <w:r w:rsidR="00F0286E">
        <w:br/>
      </w:r>
      <w:r w:rsidR="00AD2909">
        <w:t>7</w:t>
      </w:r>
      <w:r w:rsidR="00F0286E">
        <w:t>.2 External Strategies</w:t>
      </w:r>
      <w:r w:rsidR="009C06EB">
        <w:t>…………………….…………………….……………………..…………………….7</w:t>
      </w:r>
    </w:p>
    <w:p w14:paraId="37E2CFBD" w14:textId="1B822141" w:rsidR="00AF2C00" w:rsidRDefault="00AF2C00" w:rsidP="008613D5">
      <w:pPr>
        <w:pStyle w:val="ListParagraph"/>
        <w:numPr>
          <w:ilvl w:val="0"/>
          <w:numId w:val="1"/>
        </w:numPr>
      </w:pPr>
      <w:r>
        <w:t>References</w:t>
      </w:r>
      <w:r w:rsidR="009C06EB">
        <w:t>……………………………………………………………………………………………………….8</w:t>
      </w:r>
    </w:p>
    <w:p w14:paraId="21BE209F" w14:textId="77777777" w:rsidR="008B674D" w:rsidRDefault="008B674D"/>
    <w:p w14:paraId="7FB6ED53" w14:textId="77777777" w:rsidR="002169BF" w:rsidRDefault="002169BF"/>
    <w:p w14:paraId="6096F98C" w14:textId="77777777" w:rsidR="002169BF" w:rsidRDefault="002169BF"/>
    <w:p w14:paraId="0F060CAD" w14:textId="77777777" w:rsidR="002169BF" w:rsidRDefault="002169BF"/>
    <w:p w14:paraId="6D204F6E" w14:textId="77777777" w:rsidR="002169BF" w:rsidRDefault="002169BF"/>
    <w:p w14:paraId="4D6C80D1" w14:textId="77777777" w:rsidR="002169BF" w:rsidRDefault="002169BF"/>
    <w:p w14:paraId="6E0EA6F3" w14:textId="77777777" w:rsidR="002169BF" w:rsidRDefault="002169BF"/>
    <w:p w14:paraId="636D5491" w14:textId="77777777" w:rsidR="002169BF" w:rsidRDefault="002169BF"/>
    <w:p w14:paraId="1051C5C9" w14:textId="77777777" w:rsidR="002169BF" w:rsidRDefault="002169BF"/>
    <w:p w14:paraId="01CBEACA" w14:textId="77777777" w:rsidR="002169BF" w:rsidRDefault="002169BF"/>
    <w:p w14:paraId="67CC80B2" w14:textId="77777777" w:rsidR="002169BF" w:rsidRDefault="002169BF"/>
    <w:p w14:paraId="51D7485B" w14:textId="77777777" w:rsidR="002169BF" w:rsidRDefault="002169BF"/>
    <w:p w14:paraId="4F4E5BBB" w14:textId="77777777" w:rsidR="002169BF" w:rsidRDefault="002169BF"/>
    <w:p w14:paraId="0DC6489D" w14:textId="77777777" w:rsidR="002169BF" w:rsidRDefault="002169BF"/>
    <w:p w14:paraId="42EA36B4" w14:textId="77777777" w:rsidR="002169BF" w:rsidRDefault="002169BF"/>
    <w:p w14:paraId="1EA7A15C" w14:textId="77777777" w:rsidR="002169BF" w:rsidRDefault="002169BF"/>
    <w:p w14:paraId="569C481C" w14:textId="77777777" w:rsidR="002169BF" w:rsidRDefault="002169BF"/>
    <w:p w14:paraId="15725FC5" w14:textId="77777777" w:rsidR="002169BF" w:rsidRDefault="002169BF"/>
    <w:p w14:paraId="49380F84" w14:textId="77777777" w:rsidR="004B301A" w:rsidRDefault="004B301A"/>
    <w:p w14:paraId="6124A8D8" w14:textId="77777777" w:rsidR="004B301A" w:rsidRDefault="004B301A"/>
    <w:p w14:paraId="48B25174" w14:textId="06B82308" w:rsidR="008B674D" w:rsidRDefault="008B674D">
      <w:pPr>
        <w:rPr>
          <w:b/>
          <w:bCs/>
          <w:sz w:val="28"/>
          <w:szCs w:val="28"/>
        </w:rPr>
      </w:pPr>
      <w:r w:rsidRPr="00971635">
        <w:rPr>
          <w:b/>
          <w:bCs/>
          <w:sz w:val="28"/>
          <w:szCs w:val="28"/>
        </w:rPr>
        <w:lastRenderedPageBreak/>
        <w:t>Introduction</w:t>
      </w:r>
    </w:p>
    <w:p w14:paraId="3D048BF9" w14:textId="77777777" w:rsidR="001B1CF2" w:rsidRDefault="001B1CF2">
      <w:pPr>
        <w:rPr>
          <w:b/>
          <w:bCs/>
          <w:sz w:val="28"/>
          <w:szCs w:val="28"/>
        </w:rPr>
      </w:pPr>
    </w:p>
    <w:p w14:paraId="6389D63A" w14:textId="65C12064" w:rsidR="00B30BAF" w:rsidRDefault="008B674D">
      <w:r>
        <w:t xml:space="preserve">In today’s majorly globalised economy, multinational corporations face a barrage of challenges, with one of the most prominent ones being exposure to foreign exchange risks. In a world where fluctuations are common, exchange rates can significantly impact the financial performance and stability of the aforementioned MNCs. </w:t>
      </w:r>
      <w:r>
        <w:br/>
        <w:t xml:space="preserve">In this report </w:t>
      </w:r>
      <w:r w:rsidR="001B1CF2">
        <w:t>we wi</w:t>
      </w:r>
      <w:r>
        <w:t>ll delve into the evaluation of particular strategies commonly used in order to tackle and mitigate the exposure to foreign exchange risks.</w:t>
      </w:r>
    </w:p>
    <w:p w14:paraId="1C6223FA" w14:textId="03A262B4" w:rsidR="008B674D" w:rsidRDefault="008B674D">
      <w:r>
        <w:t xml:space="preserve">We will begin by firstly providing a comprehensive explanation of foreign exchange risks, elucidating its impact on companies. Moreover, by defining the exchange risk and elaborating on why it represents a major problem, we will </w:t>
      </w:r>
      <w:r w:rsidR="00E40C0E">
        <w:t>identify the importance of being proactive in such scenario. Furthermore, we will analyse why companies consider long term planning in foreign currencies, as well as explore methodologies and techniques used by multinational corporations to help manage their own exposure to foreign exchange risk, as well as their efficiency.</w:t>
      </w:r>
    </w:p>
    <w:p w14:paraId="3421450A" w14:textId="1770B6BE" w:rsidR="00E40C0E" w:rsidRDefault="00E40C0E">
      <w:r>
        <w:t>Importantly, we have chosen Apple inc. as a case study to provide a practical illustration of these strategies being implemented and in action. By operating across diverse global markets and currencies, Apple is one of the leading MNCs and represent an ideal example to analyse the complexities of managing foreign exchange risks.</w:t>
      </w:r>
    </w:p>
    <w:p w14:paraId="209AC97A" w14:textId="77777777" w:rsidR="002169BF" w:rsidRDefault="002169BF"/>
    <w:p w14:paraId="0F54BA45" w14:textId="77777777" w:rsidR="002B2FC8" w:rsidRDefault="002B2FC8"/>
    <w:p w14:paraId="3972CFBB" w14:textId="77777777" w:rsidR="002B2FC8" w:rsidRDefault="002B2FC8"/>
    <w:p w14:paraId="596583FB" w14:textId="77777777" w:rsidR="002B2FC8" w:rsidRDefault="002B2FC8"/>
    <w:p w14:paraId="595B0F25" w14:textId="77777777" w:rsidR="002B2FC8" w:rsidRDefault="002B2FC8"/>
    <w:p w14:paraId="3FB20FB1" w14:textId="77777777" w:rsidR="002B2FC8" w:rsidRDefault="002B2FC8"/>
    <w:p w14:paraId="76EBBB7E" w14:textId="77777777" w:rsidR="002B2FC8" w:rsidRDefault="002B2FC8"/>
    <w:p w14:paraId="1C916CBF" w14:textId="77777777" w:rsidR="002B2FC8" w:rsidRDefault="002B2FC8"/>
    <w:p w14:paraId="2838E52F" w14:textId="77777777" w:rsidR="001B1CF2" w:rsidRDefault="001B1CF2"/>
    <w:p w14:paraId="79DC2ABD" w14:textId="77777777" w:rsidR="002B2FC8" w:rsidRDefault="002B2FC8"/>
    <w:p w14:paraId="64B271D1" w14:textId="77777777" w:rsidR="001B1CF2" w:rsidRDefault="001B1CF2"/>
    <w:p w14:paraId="61D9D810" w14:textId="77777777" w:rsidR="002B2FC8" w:rsidRDefault="002B2FC8"/>
    <w:p w14:paraId="25E55FC2" w14:textId="77777777" w:rsidR="002B2FC8" w:rsidRDefault="002B2FC8"/>
    <w:p w14:paraId="28CD682C" w14:textId="77777777" w:rsidR="002B2FC8" w:rsidRDefault="002B2FC8"/>
    <w:p w14:paraId="18F4BDA4" w14:textId="77777777" w:rsidR="002B2FC8" w:rsidRDefault="002B2FC8"/>
    <w:p w14:paraId="0F73C621" w14:textId="77777777" w:rsidR="004B301A" w:rsidRDefault="004B301A">
      <w:pPr>
        <w:rPr>
          <w:b/>
          <w:bCs/>
          <w:sz w:val="28"/>
          <w:szCs w:val="28"/>
        </w:rPr>
      </w:pPr>
    </w:p>
    <w:p w14:paraId="7A237432" w14:textId="5DE0ADAE" w:rsidR="002169BF" w:rsidRPr="00971635" w:rsidRDefault="00456607">
      <w:pPr>
        <w:rPr>
          <w:b/>
          <w:bCs/>
          <w:sz w:val="28"/>
          <w:szCs w:val="28"/>
        </w:rPr>
      </w:pPr>
      <w:r w:rsidRPr="00971635">
        <w:rPr>
          <w:b/>
          <w:bCs/>
          <w:sz w:val="28"/>
          <w:szCs w:val="28"/>
        </w:rPr>
        <w:lastRenderedPageBreak/>
        <w:t>Foreign Exchange Risk</w:t>
      </w:r>
    </w:p>
    <w:p w14:paraId="5912387A" w14:textId="5385F406" w:rsidR="00456607" w:rsidRDefault="00456607">
      <w:r>
        <w:t>The term “Exchange Risk” is used to refer to a scenario where there are potential losses arising from fluctuations and instability in exchange rates between different currencies. For multinational corporations such as Apple inc., this risk is particularly significant due to their global operations, exposure to multiple currencies and international trade activities.</w:t>
      </w:r>
      <w:r>
        <w:br/>
        <w:t>Various aspects of a company’s financial performance such as revenue, cashflow, expenses and profits can be influenced by movements in exchange rates.</w:t>
      </w:r>
      <w:r w:rsidR="001B1CF2">
        <w:t xml:space="preserve"> </w:t>
      </w:r>
    </w:p>
    <w:p w14:paraId="3230E4FF" w14:textId="43C7A82A" w:rsidR="00456607" w:rsidRDefault="00990131">
      <w:r>
        <w:t>One of the reasons why exchange rate is a problem for companies and should not be underestimated is its potential to allow things such as uncertainty and volatility to arise in the financial outcomes. Instability and fluctuations in exchange rates most likely will lead to unpredictable changes in the value of assets, revenues, liabilities and expenses in foreign currencies. This form of volatility will complicate long term financial planning, budgeting and forecasting efforts, meaning companies will find it challenging to manage their operations effectively.</w:t>
      </w:r>
      <w:r w:rsidR="006C3563">
        <w:t xml:space="preserve"> (</w:t>
      </w:r>
      <w:r w:rsidR="009D7567">
        <w:t>Picardo, E 2023)</w:t>
      </w:r>
    </w:p>
    <w:p w14:paraId="304D9956" w14:textId="77777777" w:rsidR="002169BF" w:rsidRDefault="00990131">
      <w:r>
        <w:t>By managing foreign exchange risk, companies can help protect their own profitability</w:t>
      </w:r>
      <w:r w:rsidR="00A74BBC">
        <w:t xml:space="preserve"> and financial stability by minimising the impact of unfavourable currency movements at the bottom line. By implementing strategies focusing on effective risk management, companies can also mitigate potential losses and therefore preserve shareholder value. Furthermore, managing exchange risk is crucial for maintaining competitiveness in the global marketplace. For companies that don’t succeed at effectively addressing exchange risk, usually means that they end up finding themselves at a disadvantage compared to their competitors who have implemented effective and robust strategies to tackle exchange risk.</w:t>
      </w:r>
    </w:p>
    <w:p w14:paraId="0983BC77" w14:textId="4DE038A5" w:rsidR="002169BF" w:rsidRDefault="006F1098">
      <w:r>
        <w:t xml:space="preserve">There are several theories that provide insights into how exchange rate movements impact companies and the wider </w:t>
      </w:r>
      <w:r w:rsidR="001B1CF2">
        <w:t>economic</w:t>
      </w:r>
      <w:r>
        <w:t xml:space="preserve"> landscape. </w:t>
      </w:r>
    </w:p>
    <w:p w14:paraId="5FE4B020" w14:textId="3313612D" w:rsidR="006F1098" w:rsidRDefault="006F1098">
      <w:r>
        <w:t>For example, the PPP (Purchasing Power Parity) theory states that exchange rates should be adjusted in order to match the prices of goods and services across different countries. According to the PPP theory, the differences in inflation rates between counties should be represented and reflected in exchange rates.</w:t>
      </w:r>
      <w:r>
        <w:br/>
        <w:t>On the other hand, the IRP (Interest Rate Parity) theory suggests that exchange rates should be adjusted to equalise returns on investments denominated in different currencies, therefore accounting for differences in exchange rates.</w:t>
      </w:r>
      <w:r>
        <w:br/>
        <w:t>By exploring and outlining the importance of understanding and relation of factors such as inflation, interest rates, exchange rates and economic fundamentals, these theories prove themselves very important when it comes to implementing measures managing foreign exchange risk.</w:t>
      </w:r>
    </w:p>
    <w:p w14:paraId="6DE23E9E" w14:textId="66CF7136" w:rsidR="002B2FC8" w:rsidRDefault="006F1098" w:rsidP="008B674D">
      <w:r>
        <w:t>Overall, foreign exchange risk represents a crucial challenge for companies operating in the global marketplace, impacting their financial performance</w:t>
      </w:r>
      <w:r w:rsidR="00B30BAF">
        <w:t>, decision making and competitiveness. As aforementioned, effective and efficient management of such exchange risks is significant for mitigating potential losses, maintaining edge in an ever-increasing volatile global economy and ensuing profitability.</w:t>
      </w:r>
      <w:r w:rsidR="00497D88">
        <w:t xml:space="preserve"> (</w:t>
      </w:r>
      <w:proofErr w:type="spellStart"/>
      <w:r w:rsidR="00497D88">
        <w:t>Kallianiotis</w:t>
      </w:r>
      <w:proofErr w:type="spellEnd"/>
      <w:r w:rsidR="00497D88">
        <w:t>, J. 2013)</w:t>
      </w:r>
    </w:p>
    <w:p w14:paraId="76ACF6BB" w14:textId="77777777" w:rsidR="00FC007A" w:rsidRPr="00FC007A" w:rsidRDefault="00FC007A" w:rsidP="008B674D"/>
    <w:p w14:paraId="0E3186F1" w14:textId="77777777" w:rsidR="00AD2909" w:rsidRDefault="00AD2909" w:rsidP="008B674D">
      <w:pPr>
        <w:rPr>
          <w:b/>
          <w:bCs/>
          <w:sz w:val="28"/>
          <w:szCs w:val="28"/>
        </w:rPr>
      </w:pPr>
    </w:p>
    <w:p w14:paraId="1FCD731B" w14:textId="4BC2E0A9" w:rsidR="008B674D" w:rsidRDefault="008B674D" w:rsidP="008B674D">
      <w:pPr>
        <w:rPr>
          <w:b/>
          <w:bCs/>
          <w:sz w:val="28"/>
          <w:szCs w:val="28"/>
        </w:rPr>
      </w:pPr>
      <w:r w:rsidRPr="00971635">
        <w:rPr>
          <w:b/>
          <w:bCs/>
          <w:sz w:val="28"/>
          <w:szCs w:val="28"/>
        </w:rPr>
        <w:lastRenderedPageBreak/>
        <w:t>Why multinational corporations consider long term financing in foreign currencies</w:t>
      </w:r>
    </w:p>
    <w:p w14:paraId="27C5871C" w14:textId="53B7E344" w:rsidR="008B674D" w:rsidRDefault="00497D88" w:rsidP="008B674D">
      <w:r>
        <w:t>According to Jacque, L (1987) M</w:t>
      </w:r>
      <w:r w:rsidR="008B674D">
        <w:t>ultinational corporations (MNCs) usually consider long term financing in foreign currencies for the following reasons:</w:t>
      </w:r>
    </w:p>
    <w:p w14:paraId="594911AE" w14:textId="77777777" w:rsidR="004B301A" w:rsidRDefault="004B301A" w:rsidP="008B674D"/>
    <w:p w14:paraId="2C645542" w14:textId="27B5FE4E" w:rsidR="008B674D" w:rsidRDefault="008B674D" w:rsidP="008B674D">
      <w:r w:rsidRPr="00A8096E">
        <w:rPr>
          <w:b/>
          <w:bCs/>
          <w:sz w:val="24"/>
          <w:szCs w:val="24"/>
        </w:rPr>
        <w:t>Strategic Expansion:</w:t>
      </w:r>
      <w:r>
        <w:br/>
        <w:t>Another reason why multinational corporations consider long term financing in foreign currencies is because it supports strategic expansion initiatives in foreign markets. Companies can facilitate investment in new projects, acquisitions and capital expenditures easier if they are accessing finance denominated in the currency of the target market. This would also allow MNCs to capitalise on growth opportunities and strengthen their position in the global market.</w:t>
      </w:r>
    </w:p>
    <w:p w14:paraId="41040DE6" w14:textId="77777777" w:rsidR="004B301A" w:rsidRDefault="004B301A" w:rsidP="008B674D"/>
    <w:p w14:paraId="5B7E04E7" w14:textId="4FBC0518" w:rsidR="00ED3905" w:rsidRDefault="008B674D">
      <w:r w:rsidRPr="00A8096E">
        <w:rPr>
          <w:b/>
          <w:bCs/>
          <w:sz w:val="24"/>
          <w:szCs w:val="24"/>
        </w:rPr>
        <w:t>Diversifications of funding sources:</w:t>
      </w:r>
      <w:r>
        <w:br/>
        <w:t>By conveying long term financing in foreign currency, companies can also diversify their funding sources and therefore reduce their dependence on domestic markets. This sort of diversification can help mitigate risks associated with changes domestically such as regulatory environment changes or interest rates fluctuations, therefore companies that do this will have greater stability and flexibility.</w:t>
      </w:r>
      <w:r w:rsidR="00D74FCC">
        <w:t xml:space="preserve"> </w:t>
      </w:r>
    </w:p>
    <w:p w14:paraId="3F4D2887" w14:textId="77777777" w:rsidR="004B301A" w:rsidRDefault="004B301A"/>
    <w:p w14:paraId="0A4582C2" w14:textId="22B08DDC" w:rsidR="00A8096E" w:rsidRDefault="008B674D">
      <w:r w:rsidRPr="00A8096E">
        <w:rPr>
          <w:b/>
          <w:bCs/>
          <w:sz w:val="24"/>
          <w:szCs w:val="24"/>
        </w:rPr>
        <w:t>Currency Expectations:</w:t>
      </w:r>
      <w:r>
        <w:br/>
        <w:t>Moreover, another reason why multinational corporations may consider long term financing in foreign currency is to avert future exchange rate movements that they have foreseen. If a company is anticipating a more favourable fluctuation in a currency that is not their own, they may act upon that and borrow in that currency and therefore make the most of it.</w:t>
      </w:r>
    </w:p>
    <w:p w14:paraId="66EF77FF" w14:textId="77777777" w:rsidR="002B2FC8" w:rsidRDefault="002B2FC8">
      <w:pPr>
        <w:rPr>
          <w:b/>
          <w:bCs/>
          <w:sz w:val="28"/>
          <w:szCs w:val="28"/>
        </w:rPr>
      </w:pPr>
    </w:p>
    <w:p w14:paraId="79F935D0" w14:textId="77777777" w:rsidR="002B2FC8" w:rsidRDefault="002B2FC8">
      <w:pPr>
        <w:rPr>
          <w:b/>
          <w:bCs/>
          <w:sz w:val="28"/>
          <w:szCs w:val="28"/>
        </w:rPr>
      </w:pPr>
    </w:p>
    <w:p w14:paraId="53103C36" w14:textId="77777777" w:rsidR="002B2FC8" w:rsidRDefault="002B2FC8">
      <w:pPr>
        <w:rPr>
          <w:b/>
          <w:bCs/>
          <w:sz w:val="28"/>
          <w:szCs w:val="28"/>
        </w:rPr>
      </w:pPr>
    </w:p>
    <w:p w14:paraId="04A7ED65" w14:textId="77777777" w:rsidR="002B2FC8" w:rsidRDefault="002B2FC8">
      <w:pPr>
        <w:rPr>
          <w:b/>
          <w:bCs/>
          <w:sz w:val="28"/>
          <w:szCs w:val="28"/>
        </w:rPr>
      </w:pPr>
    </w:p>
    <w:p w14:paraId="0D8096DF" w14:textId="77777777" w:rsidR="002B2FC8" w:rsidRDefault="002B2FC8">
      <w:pPr>
        <w:rPr>
          <w:b/>
          <w:bCs/>
          <w:sz w:val="28"/>
          <w:szCs w:val="28"/>
        </w:rPr>
      </w:pPr>
    </w:p>
    <w:p w14:paraId="455EA0B6" w14:textId="77777777" w:rsidR="002B2FC8" w:rsidRDefault="002B2FC8">
      <w:pPr>
        <w:rPr>
          <w:b/>
          <w:bCs/>
          <w:sz w:val="28"/>
          <w:szCs w:val="28"/>
        </w:rPr>
      </w:pPr>
    </w:p>
    <w:p w14:paraId="22AA7615" w14:textId="77777777" w:rsidR="002B2FC8" w:rsidRDefault="002B2FC8">
      <w:pPr>
        <w:rPr>
          <w:b/>
          <w:bCs/>
          <w:sz w:val="28"/>
          <w:szCs w:val="28"/>
        </w:rPr>
      </w:pPr>
    </w:p>
    <w:p w14:paraId="6545353F" w14:textId="77777777" w:rsidR="002B2FC8" w:rsidRDefault="002B2FC8">
      <w:pPr>
        <w:rPr>
          <w:b/>
          <w:bCs/>
          <w:sz w:val="28"/>
          <w:szCs w:val="28"/>
        </w:rPr>
      </w:pPr>
    </w:p>
    <w:p w14:paraId="5F5515AF" w14:textId="77777777" w:rsidR="00AD2909" w:rsidRDefault="00AD2909">
      <w:pPr>
        <w:rPr>
          <w:b/>
          <w:bCs/>
          <w:sz w:val="28"/>
          <w:szCs w:val="28"/>
        </w:rPr>
      </w:pPr>
    </w:p>
    <w:p w14:paraId="678582CD" w14:textId="77777777" w:rsidR="004B301A" w:rsidRDefault="004B301A">
      <w:pPr>
        <w:rPr>
          <w:b/>
          <w:bCs/>
          <w:sz w:val="28"/>
          <w:szCs w:val="28"/>
        </w:rPr>
      </w:pPr>
    </w:p>
    <w:p w14:paraId="669801F7" w14:textId="76E58CBD" w:rsidR="00ED3905" w:rsidRDefault="00ED3905">
      <w:pPr>
        <w:rPr>
          <w:b/>
          <w:bCs/>
          <w:sz w:val="28"/>
          <w:szCs w:val="28"/>
        </w:rPr>
      </w:pPr>
      <w:r w:rsidRPr="00A8096E">
        <w:rPr>
          <w:b/>
          <w:bCs/>
          <w:sz w:val="28"/>
          <w:szCs w:val="28"/>
        </w:rPr>
        <w:lastRenderedPageBreak/>
        <w:t>The main types of foreign exchange risks</w:t>
      </w:r>
    </w:p>
    <w:p w14:paraId="1ECA6601" w14:textId="77777777" w:rsidR="00AD2909" w:rsidRPr="00A8096E" w:rsidRDefault="00AD2909">
      <w:pPr>
        <w:rPr>
          <w:b/>
          <w:bCs/>
          <w:sz w:val="28"/>
          <w:szCs w:val="28"/>
        </w:rPr>
      </w:pPr>
    </w:p>
    <w:p w14:paraId="1FEB507D" w14:textId="32B9BD43" w:rsidR="00592026" w:rsidRDefault="00592026">
      <w:r w:rsidRPr="00A8096E">
        <w:rPr>
          <w:b/>
          <w:bCs/>
          <w:sz w:val="24"/>
          <w:szCs w:val="24"/>
        </w:rPr>
        <w:t>Translation Risk Exchange Exposure</w:t>
      </w:r>
      <w:r>
        <w:br/>
        <w:t>Also knows as accounting risk, Translation risk stems from the translation of financial statements of foreign subsidiary companies or branches into the reporting currency. Because exchange rates tend to fluctuate, revenues, value of assets, liabilities and expenses denominated in foreign currency will also fluctuate, and therefore impact Apple’s reported financial results.</w:t>
      </w:r>
      <w:r>
        <w:br/>
        <w:t>In order to address this issue, Apple have opted out to employ numerous accounting techniques and financial instruments in order to hedge against unfavourable and adverse currency movements and thus minimise the impact on its financial performance.</w:t>
      </w:r>
    </w:p>
    <w:p w14:paraId="0D0C2059" w14:textId="77777777" w:rsidR="00AD2909" w:rsidRDefault="00AD2909"/>
    <w:p w14:paraId="079B3A10" w14:textId="4F8E66FB" w:rsidR="00ED3905" w:rsidRDefault="00ED3905">
      <w:r w:rsidRPr="00A8096E">
        <w:rPr>
          <w:b/>
          <w:bCs/>
          <w:sz w:val="24"/>
          <w:szCs w:val="24"/>
        </w:rPr>
        <w:t>Transaction Risk Exchange Exposure</w:t>
      </w:r>
      <w:r w:rsidR="00592026">
        <w:br/>
        <w:t xml:space="preserve">Transaction risk arises from fluctuations in exchange rates between the time a transaction is settled from the time it is initiated. When it comes to companies which conduct business in multiple currencies as is the case with Apple, fluctuations in exchange rates can have effect on cost of raw materials, operating expenses and sales revenue. In order to tackle this problem Apple utilises hedging instruments such as forward contracts and options to hedge future cash flows denominated in foreign currencies. By doing so Apple are able to </w:t>
      </w:r>
      <w:r w:rsidR="009B2135">
        <w:t>protect their profitability and ensure predictability.</w:t>
      </w:r>
    </w:p>
    <w:p w14:paraId="63333AD6" w14:textId="77777777" w:rsidR="00AD2909" w:rsidRDefault="00AD2909"/>
    <w:p w14:paraId="412D55B2" w14:textId="744D4A3F" w:rsidR="00ED3905" w:rsidRDefault="00ED3905">
      <w:r w:rsidRPr="00A8096E">
        <w:rPr>
          <w:b/>
          <w:bCs/>
          <w:sz w:val="24"/>
          <w:szCs w:val="24"/>
        </w:rPr>
        <w:t>Economic Risks</w:t>
      </w:r>
      <w:r w:rsidR="009B2135">
        <w:br/>
        <w:t>The term “economic risks” is used to refer to the impact of exchange rate instabilities on a company’s future cash flows and competitive position. Apple’s market share and profitability can be influenced by changes in exchange rates as it would affect consumer demand, input costs and potentially pricing dynamics. To manage this issue, Apple conducts multiple comprehensive risk assessments, scenario analysis and strategic planning in order to anticipate and hopefully mitigate the potential impacts of exchange rate fluctuations on its very own business operations.</w:t>
      </w:r>
      <w:r w:rsidR="008C46F4">
        <w:t xml:space="preserve"> (</w:t>
      </w:r>
      <w:proofErr w:type="spellStart"/>
      <w:r w:rsidR="002E2499">
        <w:t>Kallianiotis</w:t>
      </w:r>
      <w:proofErr w:type="spellEnd"/>
      <w:r w:rsidR="002E2499">
        <w:t>, John</w:t>
      </w:r>
      <w:r w:rsidR="00B256B1">
        <w:t xml:space="preserve"> 2013)</w:t>
      </w:r>
    </w:p>
    <w:p w14:paraId="04814437" w14:textId="77777777" w:rsidR="009B2135" w:rsidRDefault="009B2135"/>
    <w:p w14:paraId="276EE4B5" w14:textId="77777777" w:rsidR="002B2FC8" w:rsidRDefault="002B2FC8">
      <w:pPr>
        <w:rPr>
          <w:b/>
          <w:bCs/>
          <w:sz w:val="24"/>
          <w:szCs w:val="24"/>
        </w:rPr>
      </w:pPr>
    </w:p>
    <w:p w14:paraId="52EB0C9B" w14:textId="77777777" w:rsidR="002B2FC8" w:rsidRDefault="002B2FC8">
      <w:pPr>
        <w:rPr>
          <w:b/>
          <w:bCs/>
          <w:sz w:val="24"/>
          <w:szCs w:val="24"/>
        </w:rPr>
      </w:pPr>
    </w:p>
    <w:p w14:paraId="6729C383" w14:textId="77777777" w:rsidR="002B2FC8" w:rsidRDefault="002B2FC8">
      <w:pPr>
        <w:rPr>
          <w:b/>
          <w:bCs/>
          <w:sz w:val="24"/>
          <w:szCs w:val="24"/>
        </w:rPr>
      </w:pPr>
    </w:p>
    <w:p w14:paraId="1BB34334" w14:textId="77777777" w:rsidR="002B2FC8" w:rsidRDefault="002B2FC8">
      <w:pPr>
        <w:rPr>
          <w:b/>
          <w:bCs/>
          <w:sz w:val="24"/>
          <w:szCs w:val="24"/>
        </w:rPr>
      </w:pPr>
    </w:p>
    <w:p w14:paraId="118E47CA" w14:textId="77777777" w:rsidR="002B2FC8" w:rsidRDefault="002B2FC8">
      <w:pPr>
        <w:rPr>
          <w:b/>
          <w:bCs/>
          <w:sz w:val="24"/>
          <w:szCs w:val="24"/>
        </w:rPr>
      </w:pPr>
    </w:p>
    <w:p w14:paraId="2778580F" w14:textId="77777777" w:rsidR="002B2FC8" w:rsidRDefault="002B2FC8">
      <w:pPr>
        <w:rPr>
          <w:b/>
          <w:bCs/>
          <w:sz w:val="24"/>
          <w:szCs w:val="24"/>
        </w:rPr>
      </w:pPr>
    </w:p>
    <w:p w14:paraId="2B299C48" w14:textId="77777777" w:rsidR="002B2FC8" w:rsidRDefault="002B2FC8">
      <w:pPr>
        <w:rPr>
          <w:b/>
          <w:bCs/>
          <w:sz w:val="24"/>
          <w:szCs w:val="24"/>
        </w:rPr>
      </w:pPr>
    </w:p>
    <w:p w14:paraId="19D055CF" w14:textId="77777777" w:rsidR="00AD2909" w:rsidRDefault="00AD2909">
      <w:pPr>
        <w:rPr>
          <w:b/>
          <w:bCs/>
          <w:sz w:val="24"/>
          <w:szCs w:val="24"/>
        </w:rPr>
      </w:pPr>
    </w:p>
    <w:p w14:paraId="6B3652AB" w14:textId="7E4435C9" w:rsidR="00A80272" w:rsidRPr="00A8096E" w:rsidRDefault="00ED3905">
      <w:pPr>
        <w:rPr>
          <w:b/>
          <w:bCs/>
          <w:sz w:val="24"/>
          <w:szCs w:val="24"/>
        </w:rPr>
      </w:pPr>
      <w:r w:rsidRPr="00A8096E">
        <w:rPr>
          <w:b/>
          <w:bCs/>
          <w:sz w:val="24"/>
          <w:szCs w:val="24"/>
        </w:rPr>
        <w:lastRenderedPageBreak/>
        <w:t>Analysing Apple’s Financial Statements</w:t>
      </w:r>
    </w:p>
    <w:p w14:paraId="78AC6A68" w14:textId="2C8CB388" w:rsidR="00ED3905" w:rsidRDefault="00ED3905">
      <w:r>
        <w:t>Analysing Apple’s public consolidated financial statements from its annual report provides us with insights into how the company manages to tackle foreign exchange risk. Apple utilises cash flow hedges and derivative instruments in order to mitigate the impact of instability in the exchange rate on its financial performance. By hedging future cash flows and minimising exposure to currency risk, Apple aims to stabilise their earnings as well as protect their shareholder value against the aforementioned currency instability.</w:t>
      </w:r>
    </w:p>
    <w:p w14:paraId="447F246A" w14:textId="102BF072" w:rsidR="00265F40" w:rsidRDefault="00265F40">
      <w:r w:rsidRPr="00265F40">
        <w:rPr>
          <w:noProof/>
        </w:rPr>
        <w:drawing>
          <wp:inline distT="0" distB="0" distL="0" distR="0" wp14:anchorId="00B3EEA1" wp14:editId="008C377A">
            <wp:extent cx="5731510" cy="4233545"/>
            <wp:effectExtent l="0" t="0" r="2540" b="0"/>
            <wp:docPr id="1606030909"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30909" name="Picture 1" descr="A document with text and numbers&#10;&#10;Description automatically generated"/>
                    <pic:cNvPicPr/>
                  </pic:nvPicPr>
                  <pic:blipFill>
                    <a:blip r:embed="rId9"/>
                    <a:stretch>
                      <a:fillRect/>
                    </a:stretch>
                  </pic:blipFill>
                  <pic:spPr>
                    <a:xfrm>
                      <a:off x="0" y="0"/>
                      <a:ext cx="5731510" cy="4233545"/>
                    </a:xfrm>
                    <a:prstGeom prst="rect">
                      <a:avLst/>
                    </a:prstGeom>
                  </pic:spPr>
                </pic:pic>
              </a:graphicData>
            </a:graphic>
          </wp:inline>
        </w:drawing>
      </w:r>
    </w:p>
    <w:p w14:paraId="095E0D6D" w14:textId="3C07530B" w:rsidR="00265F40" w:rsidRDefault="00265F40">
      <w:r>
        <w:t>(Figure 1. A</w:t>
      </w:r>
      <w:r w:rsidR="002B2FC8">
        <w:t>pple’s Official Annual Report including Foreign Exchange Risk)</w:t>
      </w:r>
    </w:p>
    <w:p w14:paraId="4254C9A0" w14:textId="77777777" w:rsidR="009B2135" w:rsidRDefault="009B2135"/>
    <w:p w14:paraId="7416FB40" w14:textId="77777777" w:rsidR="002B2FC8" w:rsidRDefault="002B2FC8">
      <w:pPr>
        <w:rPr>
          <w:b/>
          <w:bCs/>
          <w:sz w:val="24"/>
          <w:szCs w:val="24"/>
        </w:rPr>
      </w:pPr>
    </w:p>
    <w:p w14:paraId="099C2018" w14:textId="77777777" w:rsidR="00F0286E" w:rsidRDefault="00F0286E">
      <w:pPr>
        <w:rPr>
          <w:b/>
          <w:bCs/>
          <w:sz w:val="24"/>
          <w:szCs w:val="24"/>
        </w:rPr>
      </w:pPr>
    </w:p>
    <w:p w14:paraId="78C5AFD3" w14:textId="77777777" w:rsidR="00AD2909" w:rsidRDefault="00AD2909">
      <w:pPr>
        <w:rPr>
          <w:b/>
          <w:bCs/>
          <w:sz w:val="28"/>
          <w:szCs w:val="28"/>
        </w:rPr>
      </w:pPr>
    </w:p>
    <w:p w14:paraId="6C74DC04" w14:textId="77777777" w:rsidR="00AD2909" w:rsidRDefault="00AD2909">
      <w:pPr>
        <w:rPr>
          <w:b/>
          <w:bCs/>
          <w:sz w:val="28"/>
          <w:szCs w:val="28"/>
        </w:rPr>
      </w:pPr>
    </w:p>
    <w:p w14:paraId="02F9D23D" w14:textId="77777777" w:rsidR="00AD2909" w:rsidRDefault="00AD2909">
      <w:pPr>
        <w:rPr>
          <w:b/>
          <w:bCs/>
          <w:sz w:val="28"/>
          <w:szCs w:val="28"/>
        </w:rPr>
      </w:pPr>
    </w:p>
    <w:p w14:paraId="224871BF" w14:textId="77777777" w:rsidR="00AD2909" w:rsidRDefault="00AD2909">
      <w:pPr>
        <w:rPr>
          <w:b/>
          <w:bCs/>
          <w:sz w:val="28"/>
          <w:szCs w:val="28"/>
        </w:rPr>
      </w:pPr>
    </w:p>
    <w:p w14:paraId="54EEC1D0" w14:textId="77777777" w:rsidR="00AD2909" w:rsidRDefault="00AD2909">
      <w:pPr>
        <w:rPr>
          <w:b/>
          <w:bCs/>
          <w:sz w:val="28"/>
          <w:szCs w:val="28"/>
        </w:rPr>
      </w:pPr>
    </w:p>
    <w:p w14:paraId="716F9BF1" w14:textId="1DB9F7B6" w:rsidR="009B2135" w:rsidRDefault="009B2135">
      <w:r w:rsidRPr="00F0286E">
        <w:rPr>
          <w:b/>
          <w:bCs/>
          <w:sz w:val="28"/>
          <w:szCs w:val="28"/>
        </w:rPr>
        <w:lastRenderedPageBreak/>
        <w:t>Strategies for managing foreign exchange risks</w:t>
      </w:r>
      <w:r w:rsidR="00A8096E">
        <w:rPr>
          <w:b/>
          <w:bCs/>
          <w:sz w:val="24"/>
          <w:szCs w:val="24"/>
        </w:rPr>
        <w:br/>
      </w:r>
      <w:r w:rsidR="004E1197">
        <w:t xml:space="preserve">According to Chandra, J. </w:t>
      </w:r>
      <w:r>
        <w:t>In order to mitigate foreign exchange risks, Apple employs both internal and external strategies.</w:t>
      </w:r>
    </w:p>
    <w:p w14:paraId="2AD1547F" w14:textId="77777777" w:rsidR="00AD2909" w:rsidRDefault="00AD2909">
      <w:pPr>
        <w:rPr>
          <w:b/>
          <w:bCs/>
          <w:sz w:val="24"/>
          <w:szCs w:val="24"/>
        </w:rPr>
      </w:pPr>
    </w:p>
    <w:p w14:paraId="4E3B8B19" w14:textId="1C7AB729" w:rsidR="009B2135" w:rsidRPr="00A8096E" w:rsidRDefault="009B2135">
      <w:pPr>
        <w:rPr>
          <w:b/>
          <w:bCs/>
          <w:sz w:val="24"/>
          <w:szCs w:val="24"/>
        </w:rPr>
      </w:pPr>
      <w:r w:rsidRPr="00A8096E">
        <w:rPr>
          <w:b/>
          <w:bCs/>
          <w:sz w:val="24"/>
          <w:szCs w:val="24"/>
        </w:rPr>
        <w:t>Internal Strategies:</w:t>
      </w:r>
    </w:p>
    <w:p w14:paraId="17376FAF" w14:textId="77777777" w:rsidR="00933D42" w:rsidRDefault="009B2135">
      <w:r w:rsidRPr="00A8096E">
        <w:rPr>
          <w:b/>
          <w:bCs/>
        </w:rPr>
        <w:t>Centralised Treasury Management:</w:t>
      </w:r>
      <w:r>
        <w:br/>
        <w:t>This function oversees currency risk management activities, including hedging strategies, cash flow forecasting and risk monitoring.</w:t>
      </w:r>
      <w:r w:rsidR="00B8439E">
        <w:t xml:space="preserve"> By centralising treasury operations Apple can gain better visibility and control over its cash flow and currency risks. Furthermore, this strategy allows Apple to leverage its scale and expertise in finance in order to negotiate more favourable terms for hedging instruments such as forward contracts. Overall centralised treasury management servers as key internal strategy for Apple to proactively manage its exposure to foreign exchange risks, ensuring stability and resilience towards everchanging exchange rates. </w:t>
      </w:r>
    </w:p>
    <w:p w14:paraId="2C5C5120" w14:textId="77777777" w:rsidR="00AD2909" w:rsidRDefault="00AD2909"/>
    <w:p w14:paraId="123C6097" w14:textId="030CA58B" w:rsidR="009B2135" w:rsidRDefault="00A7694D">
      <w:r w:rsidRPr="00A8096E">
        <w:rPr>
          <w:b/>
          <w:bCs/>
        </w:rPr>
        <w:t>Natural Hedging</w:t>
      </w:r>
      <w:r w:rsidR="00B8439E">
        <w:br/>
        <w:t>This strategy allows companies to align timing and currency denominations of a company’s revenue and expenses to counter the impact of exchange rate fluctuations. In terms of Apple specifically, natural hedging can be achieved by matching foreign currency revenues with foreign currency expenses. This is important for Apple as it operates globally and generates revenues in numerous currencies.</w:t>
      </w:r>
      <w:r w:rsidR="000D5FE0">
        <w:t xml:space="preserve"> Furthermore, Apple can use this strategy to negate currency risks choosing to retain a portion of its revenues in the foreign currency rather than converting it into its reporting currency ($). The portion retained in the foreign currency can be used for further investment or expenses that can be done in the same currency, thus removing the need to convert it and mitigating exchange rate risks</w:t>
      </w:r>
    </w:p>
    <w:p w14:paraId="66D38F3F" w14:textId="77777777" w:rsidR="00AD2909" w:rsidRDefault="00AD2909"/>
    <w:p w14:paraId="11C259AB" w14:textId="77777777" w:rsidR="00933D42" w:rsidRDefault="009B2135">
      <w:pPr>
        <w:rPr>
          <w:b/>
          <w:bCs/>
          <w:sz w:val="24"/>
          <w:szCs w:val="24"/>
        </w:rPr>
      </w:pPr>
      <w:r w:rsidRPr="00933D42">
        <w:rPr>
          <w:b/>
          <w:bCs/>
          <w:sz w:val="24"/>
          <w:szCs w:val="24"/>
        </w:rPr>
        <w:t>External Strategies</w:t>
      </w:r>
      <w:r w:rsidR="00933D42" w:rsidRPr="00933D42">
        <w:rPr>
          <w:b/>
          <w:bCs/>
          <w:sz w:val="24"/>
          <w:szCs w:val="24"/>
        </w:rPr>
        <w:t>:</w:t>
      </w:r>
    </w:p>
    <w:p w14:paraId="24F49849" w14:textId="7BB90EE7" w:rsidR="00933D42" w:rsidRDefault="00A7694D">
      <w:r w:rsidRPr="00933D42">
        <w:rPr>
          <w:b/>
          <w:bCs/>
        </w:rPr>
        <w:t>Forward Contracts and Options</w:t>
      </w:r>
      <w:r w:rsidR="000D5FE0">
        <w:br/>
        <w:t>“Forward Contracts” is a term used to refer to an agreement between two parties to sell or buy a specific amount of foreign currency at a predetermined exchange rate on an upcoming future date. When it comes to implementation of this, Apple can use forward contracts to hedge future cash flows denominated in foreign currency. These contracts provide Apple with certainty and predictability as well as protection against exchange rate fluctuations.</w:t>
      </w:r>
    </w:p>
    <w:p w14:paraId="109E978F" w14:textId="77777777" w:rsidR="00AD2909" w:rsidRDefault="00AD2909">
      <w:pPr>
        <w:rPr>
          <w:b/>
          <w:bCs/>
        </w:rPr>
      </w:pPr>
    </w:p>
    <w:p w14:paraId="289C14B7" w14:textId="1D6ACAD9" w:rsidR="00A80272" w:rsidRPr="00933D42" w:rsidRDefault="00A7694D">
      <w:pPr>
        <w:rPr>
          <w:b/>
          <w:bCs/>
        </w:rPr>
      </w:pPr>
      <w:r w:rsidRPr="00A8096E">
        <w:rPr>
          <w:b/>
          <w:bCs/>
        </w:rPr>
        <w:t>Dynamic Hedging</w:t>
      </w:r>
      <w:r w:rsidR="000D5FE0">
        <w:br/>
        <w:t>This particular strategy allows Apple and other MNCs to adapt their hedging strategies dynamically and therefore negate the impact of exchange rate fluctuations on their financial performance by continuously adjusting hedging positions in response to changes in the market conditions and risk exposures.</w:t>
      </w:r>
      <w:r w:rsidR="00086AAF">
        <w:t xml:space="preserve"> Apple implements this strategy by constantly monitoring economic indicators, currency markets and identifying risks. By using this strategy Apple is able to further minimise losses from currency instability and therefore capture opportunities. </w:t>
      </w:r>
      <w:r w:rsidR="00A8096E">
        <w:t>Moreover,</w:t>
      </w:r>
      <w:r w:rsidR="00086AAF">
        <w:t xml:space="preserve"> this also allows apple to enhance its risk management efficiency and effectiveness.</w:t>
      </w:r>
    </w:p>
    <w:p w14:paraId="349136CB" w14:textId="77777777" w:rsidR="00AD2909" w:rsidRDefault="00AD2909">
      <w:pPr>
        <w:rPr>
          <w:b/>
          <w:bCs/>
          <w:sz w:val="28"/>
          <w:szCs w:val="28"/>
        </w:rPr>
      </w:pPr>
    </w:p>
    <w:p w14:paraId="47FBD2C5" w14:textId="122BC780" w:rsidR="00933D42" w:rsidRDefault="00A80272">
      <w:r w:rsidRPr="00933D42">
        <w:rPr>
          <w:b/>
          <w:bCs/>
          <w:sz w:val="28"/>
          <w:szCs w:val="28"/>
        </w:rPr>
        <w:t>References</w:t>
      </w:r>
    </w:p>
    <w:p w14:paraId="34695829" w14:textId="1EE16567" w:rsidR="00A80272" w:rsidRDefault="00A80272">
      <w:r>
        <w:br/>
      </w:r>
      <w:r w:rsidR="00A7694D">
        <w:rPr>
          <w:i/>
          <w:iCs/>
        </w:rPr>
        <w:t>2022 Annual Report and form 10K</w:t>
      </w:r>
      <w:r>
        <w:br/>
        <w:t>Available at:</w:t>
      </w:r>
      <w:r w:rsidR="00A7694D">
        <w:br/>
      </w:r>
      <w:hyperlink r:id="rId10" w:history="1">
        <w:r w:rsidR="00B8439E" w:rsidRPr="00D14C55">
          <w:rPr>
            <w:rStyle w:val="Hyperlink"/>
          </w:rPr>
          <w:t>https://www.annualreports.com/Company/apple-inc</w:t>
        </w:r>
      </w:hyperlink>
      <w:r w:rsidR="00B8439E">
        <w:br/>
      </w:r>
      <w:r>
        <w:t>[Accessed: 30/03/24]</w:t>
      </w:r>
    </w:p>
    <w:p w14:paraId="28E20D96" w14:textId="1E451F8D" w:rsidR="004E1197" w:rsidRDefault="004E1197">
      <w:r>
        <w:rPr>
          <w:i/>
          <w:iCs/>
        </w:rPr>
        <w:t>Apple Risk Analysis</w:t>
      </w:r>
      <w:r>
        <w:br/>
        <w:t>Available at:</w:t>
      </w:r>
      <w:r>
        <w:br/>
      </w:r>
      <w:hyperlink r:id="rId11" w:history="1">
        <w:r w:rsidRPr="008B3D5E">
          <w:rPr>
            <w:rStyle w:val="Hyperlink"/>
          </w:rPr>
          <w:t>https://www.scribd.com/presentation/426566749/Apple-Risk-Analysis</w:t>
        </w:r>
      </w:hyperlink>
      <w:r>
        <w:br/>
        <w:t>[Accessed: 30/03/24]</w:t>
      </w:r>
    </w:p>
    <w:p w14:paraId="38059437" w14:textId="5811A30E" w:rsidR="00F777D5" w:rsidRDefault="00F777D5" w:rsidP="00F777D5">
      <w:r>
        <w:rPr>
          <w:i/>
          <w:iCs/>
        </w:rPr>
        <w:t>Currency Denomination in Long-Term Debt Financing and Refinancing</w:t>
      </w:r>
      <w:r>
        <w:br/>
        <w:t>Available at:</w:t>
      </w:r>
      <w:r>
        <w:br/>
      </w:r>
      <w:hyperlink r:id="rId12" w:history="1">
        <w:r w:rsidR="008613D5" w:rsidRPr="002565DC">
          <w:rPr>
            <w:rStyle w:val="Hyperlink"/>
          </w:rPr>
          <w:t>https://www.jstor.org/stable/2582152</w:t>
        </w:r>
      </w:hyperlink>
      <w:r w:rsidR="008613D5">
        <w:br/>
      </w:r>
      <w:r>
        <w:t>[Accessed: 30/03/24]</w:t>
      </w:r>
    </w:p>
    <w:p w14:paraId="16505FAF" w14:textId="0C042D7A" w:rsidR="009D7567" w:rsidRDefault="009D7567" w:rsidP="009D7567">
      <w:r>
        <w:rPr>
          <w:i/>
          <w:iCs/>
        </w:rPr>
        <w:t>Exchange Rate Risk: Economic Exposure</w:t>
      </w:r>
      <w:r>
        <w:br/>
        <w:t>Available at:</w:t>
      </w:r>
      <w:r>
        <w:br/>
      </w:r>
      <w:hyperlink r:id="rId13" w:history="1">
        <w:r w:rsidRPr="002C7159">
          <w:rPr>
            <w:rStyle w:val="Hyperlink"/>
          </w:rPr>
          <w:t>https://www.</w:t>
        </w:r>
        <w:r w:rsidRPr="002C7159">
          <w:rPr>
            <w:rStyle w:val="Hyperlink"/>
          </w:rPr>
          <w:t>i</w:t>
        </w:r>
        <w:r w:rsidRPr="002C7159">
          <w:rPr>
            <w:rStyle w:val="Hyperlink"/>
          </w:rPr>
          <w:t>nvestopedia.com/articles/forex/021114/exchange-rate-risk-economic-exposure.asp</w:t>
        </w:r>
      </w:hyperlink>
      <w:r>
        <w:br/>
        <w:t>[Accessed: 30/03/24]</w:t>
      </w:r>
    </w:p>
    <w:p w14:paraId="64FA7058" w14:textId="6AEBD165" w:rsidR="004E1197" w:rsidRDefault="004E1197" w:rsidP="004E1197">
      <w:r>
        <w:rPr>
          <w:i/>
          <w:iCs/>
        </w:rPr>
        <w:t>Foreign Exchange Risk and its Management</w:t>
      </w:r>
      <w:r>
        <w:br/>
        <w:t>Available at:</w:t>
      </w:r>
      <w:r>
        <w:br/>
      </w:r>
      <w:hyperlink r:id="rId14" w:anchor=":~:text=Foreign%20exchange%20risk%20is%20also,changes%20in%20the%20exchange%20rates" w:history="1">
        <w:r w:rsidRPr="002565DC">
          <w:rPr>
            <w:rStyle w:val="Hyperlink"/>
          </w:rPr>
          <w:t>https://lin</w:t>
        </w:r>
        <w:r w:rsidRPr="002565DC">
          <w:rPr>
            <w:rStyle w:val="Hyperlink"/>
          </w:rPr>
          <w:t>k</w:t>
        </w:r>
        <w:r w:rsidRPr="002565DC">
          <w:rPr>
            <w:rStyle w:val="Hyperlink"/>
          </w:rPr>
          <w:t>.springer.com/chapter/10.1057/9781137318886_6#:~:text=Foreign%20exchange%20risk%20is%20also,changes%20in%20the%20exchange%20rates</w:t>
        </w:r>
      </w:hyperlink>
      <w:r w:rsidRPr="007B43B1">
        <w:t>.</w:t>
      </w:r>
      <w:r>
        <w:br/>
        <w:t>[Accessed: 30/03/24]</w:t>
      </w:r>
    </w:p>
    <w:p w14:paraId="35DC4466" w14:textId="77777777" w:rsidR="004E1197" w:rsidRDefault="004E1197" w:rsidP="004E1197">
      <w:r>
        <w:rPr>
          <w:i/>
          <w:iCs/>
        </w:rPr>
        <w:t>US Securities and Exchange Commission Washington Apple Inc. Form 10K</w:t>
      </w:r>
      <w:r>
        <w:rPr>
          <w:i/>
          <w:iCs/>
        </w:rPr>
        <w:br/>
        <w:t>For Fiscal Year Ended Sept 2022</w:t>
      </w:r>
      <w:r>
        <w:br/>
        <w:t>Available at:</w:t>
      </w:r>
      <w:r>
        <w:br/>
      </w:r>
      <w:hyperlink r:id="rId15" w:history="1">
        <w:r w:rsidRPr="00D14C55">
          <w:rPr>
            <w:rStyle w:val="Hyperlink"/>
          </w:rPr>
          <w:t>https://www.annu</w:t>
        </w:r>
        <w:r w:rsidRPr="00D14C55">
          <w:rPr>
            <w:rStyle w:val="Hyperlink"/>
          </w:rPr>
          <w:t>a</w:t>
        </w:r>
        <w:r w:rsidRPr="00D14C55">
          <w:rPr>
            <w:rStyle w:val="Hyperlink"/>
          </w:rPr>
          <w:t>lreports.com/HostedData/AnnualReports/PDF/NASDAQ_AAPL_2022.pdf</w:t>
        </w:r>
      </w:hyperlink>
      <w:r>
        <w:br/>
        <w:t>[Accessed: 30/03/24]</w:t>
      </w:r>
    </w:p>
    <w:p w14:paraId="2DFBF46A" w14:textId="77777777" w:rsidR="004E1197" w:rsidRDefault="004E1197" w:rsidP="004E1197"/>
    <w:p w14:paraId="7BBE777D" w14:textId="77777777" w:rsidR="004E1197" w:rsidRDefault="004E1197" w:rsidP="009D7567"/>
    <w:p w14:paraId="26DD63F4" w14:textId="77777777" w:rsidR="009D7567" w:rsidRDefault="009D7567" w:rsidP="00F777D5"/>
    <w:p w14:paraId="3E54030B" w14:textId="77777777" w:rsidR="00F777D5" w:rsidRDefault="00F777D5" w:rsidP="00B256B1"/>
    <w:p w14:paraId="1F0278DA" w14:textId="77777777" w:rsidR="00B256B1" w:rsidRDefault="00B256B1"/>
    <w:p w14:paraId="2AE2D397" w14:textId="525B99A8" w:rsidR="00A7694D" w:rsidRDefault="00A7694D"/>
    <w:sectPr w:rsidR="00A7694D" w:rsidSect="00E875C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34810" w14:textId="77777777" w:rsidR="00E875C2" w:rsidRDefault="00E875C2" w:rsidP="002229C9">
      <w:pPr>
        <w:spacing w:after="0" w:line="240" w:lineRule="auto"/>
      </w:pPr>
      <w:r>
        <w:separator/>
      </w:r>
    </w:p>
  </w:endnote>
  <w:endnote w:type="continuationSeparator" w:id="0">
    <w:p w14:paraId="3806C908" w14:textId="77777777" w:rsidR="00E875C2" w:rsidRDefault="00E875C2" w:rsidP="00222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513831"/>
      <w:docPartObj>
        <w:docPartGallery w:val="Page Numbers (Bottom of Page)"/>
        <w:docPartUnique/>
      </w:docPartObj>
    </w:sdtPr>
    <w:sdtEndPr>
      <w:rPr>
        <w:color w:val="7F7F7F" w:themeColor="background1" w:themeShade="7F"/>
        <w:spacing w:val="60"/>
      </w:rPr>
    </w:sdtEndPr>
    <w:sdtContent>
      <w:p w14:paraId="617FB65E" w14:textId="1627B5F8" w:rsidR="002229C9" w:rsidRDefault="002229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7408D7" w14:textId="77777777" w:rsidR="002229C9" w:rsidRDefault="00222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291A8" w14:textId="77777777" w:rsidR="00E875C2" w:rsidRDefault="00E875C2" w:rsidP="002229C9">
      <w:pPr>
        <w:spacing w:after="0" w:line="240" w:lineRule="auto"/>
      </w:pPr>
      <w:r>
        <w:separator/>
      </w:r>
    </w:p>
  </w:footnote>
  <w:footnote w:type="continuationSeparator" w:id="0">
    <w:p w14:paraId="4D710FF4" w14:textId="77777777" w:rsidR="00E875C2" w:rsidRDefault="00E875C2" w:rsidP="00222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109BF"/>
    <w:multiLevelType w:val="hybridMultilevel"/>
    <w:tmpl w:val="A574F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0010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08"/>
    <w:rsid w:val="00035B08"/>
    <w:rsid w:val="00086AAF"/>
    <w:rsid w:val="000D5FE0"/>
    <w:rsid w:val="00174CA7"/>
    <w:rsid w:val="001B1CF2"/>
    <w:rsid w:val="002169BF"/>
    <w:rsid w:val="002229C9"/>
    <w:rsid w:val="00265F40"/>
    <w:rsid w:val="002B2FC8"/>
    <w:rsid w:val="002E2499"/>
    <w:rsid w:val="003237E5"/>
    <w:rsid w:val="00355BE8"/>
    <w:rsid w:val="00456607"/>
    <w:rsid w:val="00496B83"/>
    <w:rsid w:val="00497D88"/>
    <w:rsid w:val="004B301A"/>
    <w:rsid w:val="004E1197"/>
    <w:rsid w:val="00537022"/>
    <w:rsid w:val="00592026"/>
    <w:rsid w:val="006C3563"/>
    <w:rsid w:val="006F1098"/>
    <w:rsid w:val="007556D2"/>
    <w:rsid w:val="007B43B1"/>
    <w:rsid w:val="007E5F5C"/>
    <w:rsid w:val="008613D5"/>
    <w:rsid w:val="008B674D"/>
    <w:rsid w:val="008C46F4"/>
    <w:rsid w:val="00933D42"/>
    <w:rsid w:val="00971635"/>
    <w:rsid w:val="00990131"/>
    <w:rsid w:val="009B2135"/>
    <w:rsid w:val="009C06EB"/>
    <w:rsid w:val="009D7567"/>
    <w:rsid w:val="00A30832"/>
    <w:rsid w:val="00A74BBC"/>
    <w:rsid w:val="00A7694D"/>
    <w:rsid w:val="00A80272"/>
    <w:rsid w:val="00A8096E"/>
    <w:rsid w:val="00AD2909"/>
    <w:rsid w:val="00AF2C00"/>
    <w:rsid w:val="00B256B1"/>
    <w:rsid w:val="00B30BAF"/>
    <w:rsid w:val="00B8439E"/>
    <w:rsid w:val="00B97829"/>
    <w:rsid w:val="00BD2E64"/>
    <w:rsid w:val="00C21EED"/>
    <w:rsid w:val="00D3346C"/>
    <w:rsid w:val="00D74FCC"/>
    <w:rsid w:val="00E40C0E"/>
    <w:rsid w:val="00E664D2"/>
    <w:rsid w:val="00E875C2"/>
    <w:rsid w:val="00EA7921"/>
    <w:rsid w:val="00EB4B3E"/>
    <w:rsid w:val="00ED3905"/>
    <w:rsid w:val="00F0286E"/>
    <w:rsid w:val="00F777D5"/>
    <w:rsid w:val="00FC007A"/>
    <w:rsid w:val="00FF4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B9C07"/>
  <w15:chartTrackingRefBased/>
  <w15:docId w15:val="{ECB80D49-61CC-49EF-A428-8D5F56D99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CA7"/>
  </w:style>
  <w:style w:type="paragraph" w:styleId="Heading1">
    <w:name w:val="heading 1"/>
    <w:basedOn w:val="Normal"/>
    <w:next w:val="Normal"/>
    <w:link w:val="Heading1Char"/>
    <w:uiPriority w:val="9"/>
    <w:qFormat/>
    <w:rsid w:val="00035B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B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B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B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B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B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B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B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B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B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B08"/>
    <w:rPr>
      <w:rFonts w:eastAsiaTheme="majorEastAsia" w:cstheme="majorBidi"/>
      <w:color w:val="272727" w:themeColor="text1" w:themeTint="D8"/>
    </w:rPr>
  </w:style>
  <w:style w:type="paragraph" w:styleId="Title">
    <w:name w:val="Title"/>
    <w:basedOn w:val="Normal"/>
    <w:next w:val="Normal"/>
    <w:link w:val="TitleChar"/>
    <w:uiPriority w:val="10"/>
    <w:qFormat/>
    <w:rsid w:val="00035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B08"/>
    <w:pPr>
      <w:spacing w:before="160"/>
      <w:jc w:val="center"/>
    </w:pPr>
    <w:rPr>
      <w:i/>
      <w:iCs/>
      <w:color w:val="404040" w:themeColor="text1" w:themeTint="BF"/>
    </w:rPr>
  </w:style>
  <w:style w:type="character" w:customStyle="1" w:styleId="QuoteChar">
    <w:name w:val="Quote Char"/>
    <w:basedOn w:val="DefaultParagraphFont"/>
    <w:link w:val="Quote"/>
    <w:uiPriority w:val="29"/>
    <w:rsid w:val="00035B08"/>
    <w:rPr>
      <w:i/>
      <w:iCs/>
      <w:color w:val="404040" w:themeColor="text1" w:themeTint="BF"/>
    </w:rPr>
  </w:style>
  <w:style w:type="paragraph" w:styleId="ListParagraph">
    <w:name w:val="List Paragraph"/>
    <w:basedOn w:val="Normal"/>
    <w:uiPriority w:val="34"/>
    <w:qFormat/>
    <w:rsid w:val="00035B08"/>
    <w:pPr>
      <w:ind w:left="720"/>
      <w:contextualSpacing/>
    </w:pPr>
  </w:style>
  <w:style w:type="character" w:styleId="IntenseEmphasis">
    <w:name w:val="Intense Emphasis"/>
    <w:basedOn w:val="DefaultParagraphFont"/>
    <w:uiPriority w:val="21"/>
    <w:qFormat/>
    <w:rsid w:val="00035B08"/>
    <w:rPr>
      <w:i/>
      <w:iCs/>
      <w:color w:val="0F4761" w:themeColor="accent1" w:themeShade="BF"/>
    </w:rPr>
  </w:style>
  <w:style w:type="paragraph" w:styleId="IntenseQuote">
    <w:name w:val="Intense Quote"/>
    <w:basedOn w:val="Normal"/>
    <w:next w:val="Normal"/>
    <w:link w:val="IntenseQuoteChar"/>
    <w:uiPriority w:val="30"/>
    <w:qFormat/>
    <w:rsid w:val="00035B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B08"/>
    <w:rPr>
      <w:i/>
      <w:iCs/>
      <w:color w:val="0F4761" w:themeColor="accent1" w:themeShade="BF"/>
    </w:rPr>
  </w:style>
  <w:style w:type="character" w:styleId="IntenseReference">
    <w:name w:val="Intense Reference"/>
    <w:basedOn w:val="DefaultParagraphFont"/>
    <w:uiPriority w:val="32"/>
    <w:qFormat/>
    <w:rsid w:val="00035B08"/>
    <w:rPr>
      <w:b/>
      <w:bCs/>
      <w:smallCaps/>
      <w:color w:val="0F4761" w:themeColor="accent1" w:themeShade="BF"/>
      <w:spacing w:val="5"/>
    </w:rPr>
  </w:style>
  <w:style w:type="character" w:styleId="Hyperlink">
    <w:name w:val="Hyperlink"/>
    <w:basedOn w:val="DefaultParagraphFont"/>
    <w:uiPriority w:val="99"/>
    <w:unhideWhenUsed/>
    <w:rsid w:val="00A7694D"/>
    <w:rPr>
      <w:color w:val="467886" w:themeColor="hyperlink"/>
      <w:u w:val="single"/>
    </w:rPr>
  </w:style>
  <w:style w:type="character" w:styleId="UnresolvedMention">
    <w:name w:val="Unresolved Mention"/>
    <w:basedOn w:val="DefaultParagraphFont"/>
    <w:uiPriority w:val="99"/>
    <w:semiHidden/>
    <w:unhideWhenUsed/>
    <w:rsid w:val="00A7694D"/>
    <w:rPr>
      <w:color w:val="605E5C"/>
      <w:shd w:val="clear" w:color="auto" w:fill="E1DFDD"/>
    </w:rPr>
  </w:style>
  <w:style w:type="paragraph" w:styleId="Header">
    <w:name w:val="header"/>
    <w:basedOn w:val="Normal"/>
    <w:link w:val="HeaderChar"/>
    <w:uiPriority w:val="99"/>
    <w:unhideWhenUsed/>
    <w:rsid w:val="00222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9C9"/>
  </w:style>
  <w:style w:type="paragraph" w:styleId="Footer">
    <w:name w:val="footer"/>
    <w:basedOn w:val="Normal"/>
    <w:link w:val="FooterChar"/>
    <w:uiPriority w:val="99"/>
    <w:unhideWhenUsed/>
    <w:rsid w:val="00222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9C9"/>
  </w:style>
  <w:style w:type="character" w:styleId="FollowedHyperlink">
    <w:name w:val="FollowedHyperlink"/>
    <w:basedOn w:val="DefaultParagraphFont"/>
    <w:uiPriority w:val="99"/>
    <w:semiHidden/>
    <w:unhideWhenUsed/>
    <w:rsid w:val="00265F40"/>
    <w:rPr>
      <w:color w:val="96607D" w:themeColor="followedHyperlink"/>
      <w:u w:val="single"/>
    </w:rPr>
  </w:style>
  <w:style w:type="paragraph" w:styleId="NoSpacing">
    <w:name w:val="No Spacing"/>
    <w:link w:val="NoSpacingChar"/>
    <w:uiPriority w:val="1"/>
    <w:qFormat/>
    <w:rsid w:val="007E5F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5F5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666630">
      <w:bodyDiv w:val="1"/>
      <w:marLeft w:val="0"/>
      <w:marRight w:val="0"/>
      <w:marTop w:val="0"/>
      <w:marBottom w:val="0"/>
      <w:divBdr>
        <w:top w:val="none" w:sz="0" w:space="0" w:color="auto"/>
        <w:left w:val="none" w:sz="0" w:space="0" w:color="auto"/>
        <w:bottom w:val="none" w:sz="0" w:space="0" w:color="auto"/>
        <w:right w:val="none" w:sz="0" w:space="0" w:color="auto"/>
      </w:divBdr>
    </w:div>
    <w:div w:id="777216359">
      <w:bodyDiv w:val="1"/>
      <w:marLeft w:val="0"/>
      <w:marRight w:val="0"/>
      <w:marTop w:val="0"/>
      <w:marBottom w:val="0"/>
      <w:divBdr>
        <w:top w:val="none" w:sz="0" w:space="0" w:color="auto"/>
        <w:left w:val="none" w:sz="0" w:space="0" w:color="auto"/>
        <w:bottom w:val="none" w:sz="0" w:space="0" w:color="auto"/>
        <w:right w:val="none" w:sz="0" w:space="0" w:color="auto"/>
      </w:divBdr>
    </w:div>
    <w:div w:id="1047796688">
      <w:bodyDiv w:val="1"/>
      <w:marLeft w:val="0"/>
      <w:marRight w:val="0"/>
      <w:marTop w:val="0"/>
      <w:marBottom w:val="0"/>
      <w:divBdr>
        <w:top w:val="none" w:sz="0" w:space="0" w:color="auto"/>
        <w:left w:val="none" w:sz="0" w:space="0" w:color="auto"/>
        <w:bottom w:val="none" w:sz="0" w:space="0" w:color="auto"/>
        <w:right w:val="none" w:sz="0" w:space="0" w:color="auto"/>
      </w:divBdr>
    </w:div>
    <w:div w:id="140633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articles/forex/021114/exchange-rate-risk-economic-exposure.asp"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jstor.org/stable/258215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ribd.com/presentation/426566749/Apple-Risk-Analysis" TargetMode="External"/><Relationship Id="rId5" Type="http://schemas.openxmlformats.org/officeDocument/2006/relationships/settings" Target="settings.xml"/><Relationship Id="rId15" Type="http://schemas.openxmlformats.org/officeDocument/2006/relationships/hyperlink" Target="https://www.annualreports.com/HostedData/AnnualReports/PDF/NASDAQ_AAPL_2022.pdf" TargetMode="External"/><Relationship Id="rId10" Type="http://schemas.openxmlformats.org/officeDocument/2006/relationships/hyperlink" Target="https://www.annualreports.com/Company/apple-in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nk.springer.com/chapter/10.1057/9781137318886_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Thomas Adeyemi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64EE16-1332-4EAC-8391-440156D0F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2123</Words>
  <Characters>12104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International Financial Management</vt:lpstr>
    </vt:vector>
  </TitlesOfParts>
  <Company>lcbb6002</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
  <dc:creator>Danica Kanchevska</dc:creator>
  <cp:keywords/>
  <dc:description/>
  <cp:lastModifiedBy>Mane kanchevski</cp:lastModifiedBy>
  <cp:revision>4</cp:revision>
  <dcterms:created xsi:type="dcterms:W3CDTF">2024-04-01T16:01:00Z</dcterms:created>
  <dcterms:modified xsi:type="dcterms:W3CDTF">2024-04-01T16:46:00Z</dcterms:modified>
</cp:coreProperties>
</file>