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C9767" w14:textId="77777777" w:rsidR="00C41D00" w:rsidRDefault="00C41D00" w:rsidP="00C41D00">
      <w:pPr>
        <w:spacing w:line="240" w:lineRule="auto"/>
      </w:pPr>
    </w:p>
    <w:p w14:paraId="53138E5F" w14:textId="736D6201" w:rsidR="00F122F2" w:rsidRDefault="006B6F3E" w:rsidP="00EF47DD">
      <w:pPr>
        <w:spacing w:line="240" w:lineRule="auto"/>
      </w:pPr>
      <w:r>
        <w:t xml:space="preserve">Childe’s criteria </w:t>
      </w:r>
      <w:r w:rsidR="00240E70">
        <w:t xml:space="preserve">for the emergence of towns/states </w:t>
      </w:r>
      <w:r w:rsidR="007B17B7">
        <w:t xml:space="preserve">in assessing social complexity </w:t>
      </w:r>
      <w:r w:rsidR="00240E70">
        <w:t xml:space="preserve">could be both </w:t>
      </w:r>
      <w:r w:rsidR="005A1A7E">
        <w:t>valuable and not</w:t>
      </w:r>
      <w:r w:rsidR="007B17B7">
        <w:t>, especially as one will not always find something that fits into each of his categories- rather, it could be argued that it is impossible to find evidence for every point. O</w:t>
      </w:r>
      <w:r w:rsidR="003B65F5">
        <w:t xml:space="preserve">n one hand, </w:t>
      </w:r>
      <w:r w:rsidR="007B17B7">
        <w:t>Childe’s arguments</w:t>
      </w:r>
      <w:r w:rsidR="003B65F5">
        <w:t xml:space="preserve"> can provide archaeologists and researchers with a guide on what to look for and how.</w:t>
      </w:r>
      <w:r w:rsidR="00B02858">
        <w:t xml:space="preserve"> </w:t>
      </w:r>
      <w:r w:rsidR="00E22DCF">
        <w:t xml:space="preserve">Some of which can be noted in </w:t>
      </w:r>
      <w:r w:rsidR="002606F5" w:rsidRPr="002606F5">
        <w:t>Maroni-</w:t>
      </w:r>
      <w:proofErr w:type="spellStart"/>
      <w:r w:rsidR="002606F5" w:rsidRPr="002606F5">
        <w:t>Tsaroukkas</w:t>
      </w:r>
      <w:proofErr w:type="spellEnd"/>
      <w:r w:rsidR="000A67DE">
        <w:t xml:space="preserve"> (mid-south coast)</w:t>
      </w:r>
      <w:r w:rsidR="002606F5">
        <w:t xml:space="preserve"> in </w:t>
      </w:r>
      <w:r w:rsidR="008F7699">
        <w:t>19</w:t>
      </w:r>
      <w:r w:rsidR="008F7699" w:rsidRPr="008F7699">
        <w:rPr>
          <w:vertAlign w:val="superscript"/>
        </w:rPr>
        <w:t>th</w:t>
      </w:r>
      <w:r w:rsidR="008F7699">
        <w:t xml:space="preserve"> century</w:t>
      </w:r>
      <w:r w:rsidR="002606F5">
        <w:t xml:space="preserve">. Although Childe’s Urban Revolution criteria comes after, in </w:t>
      </w:r>
      <w:r w:rsidR="00B02858">
        <w:t>1930</w:t>
      </w:r>
      <w:r w:rsidR="002606F5">
        <w:t>, it can still be</w:t>
      </w:r>
      <w:r w:rsidR="00524DD6">
        <w:t xml:space="preserve"> used</w:t>
      </w:r>
      <w:r w:rsidR="002606F5">
        <w:t xml:space="preserve"> </w:t>
      </w:r>
      <w:r w:rsidR="00524DD6">
        <w:t xml:space="preserve">to </w:t>
      </w:r>
      <w:r w:rsidR="002606F5">
        <w:t>compare</w:t>
      </w:r>
      <w:r w:rsidR="00524DD6">
        <w:t xml:space="preserve"> archaeological evidence from the past. </w:t>
      </w:r>
      <w:r w:rsidR="008F7699">
        <w:t xml:space="preserve">In 1897, a group from the British </w:t>
      </w:r>
      <w:r w:rsidR="002E539A">
        <w:t>M</w:t>
      </w:r>
      <w:r w:rsidR="008F7699">
        <w:t xml:space="preserve">useum </w:t>
      </w:r>
      <w:r w:rsidR="00C16608">
        <w:t xml:space="preserve">opened 26 tombs. Later, between 1990 and 1996, </w:t>
      </w:r>
      <w:r w:rsidR="0092776E">
        <w:t>an archaeological survey and excavation for the Maroni Valley Archaeological Survey Project (MVASP)</w:t>
      </w:r>
      <w:r w:rsidR="00D7230C">
        <w:t>, managed by Dr Manning from the UOR (University of Reading)</w:t>
      </w:r>
      <w:r w:rsidR="008A78D7">
        <w:t>, who discovered remains of LBA (Late Bronze Age) structure, either domestic or artisanal, that date back to 13</w:t>
      </w:r>
      <w:r w:rsidR="008A78D7" w:rsidRPr="008A78D7">
        <w:rPr>
          <w:vertAlign w:val="superscript"/>
        </w:rPr>
        <w:t>th</w:t>
      </w:r>
      <w:r w:rsidR="008A78D7">
        <w:t xml:space="preserve"> century BCE. He and his team also found 15 ransacked tombs, but it</w:t>
      </w:r>
      <w:r w:rsidR="009D2E16">
        <w:t xml:space="preserve"> is</w:t>
      </w:r>
      <w:r w:rsidR="008A78D7">
        <w:t xml:space="preserve"> thought that some of these might be </w:t>
      </w:r>
      <w:r w:rsidR="009D2E16">
        <w:t xml:space="preserve">a </w:t>
      </w:r>
      <w:r w:rsidR="00F77CC1">
        <w:t>handful</w:t>
      </w:r>
      <w:r w:rsidR="009D2E16">
        <w:t xml:space="preserve"> of those that were opened by the British Museum.</w:t>
      </w:r>
      <w:r w:rsidR="00A66C2C">
        <w:t xml:space="preserve"> </w:t>
      </w:r>
      <w:r w:rsidR="00A86370">
        <w:t xml:space="preserve">Despite </w:t>
      </w:r>
      <w:r w:rsidR="006B0B17">
        <w:t xml:space="preserve">the pillaging, the </w:t>
      </w:r>
      <w:r w:rsidR="001B1F6E">
        <w:t>remains discovered exposed a surprising amount of information</w:t>
      </w:r>
      <w:r w:rsidR="00EF5C1C">
        <w:t xml:space="preserve"> on what was there</w:t>
      </w:r>
      <w:r w:rsidR="00F77CC1">
        <w:t xml:space="preserve"> in the first place</w:t>
      </w:r>
      <w:r w:rsidR="00EF5C1C">
        <w:t xml:space="preserve"> and when; this included </w:t>
      </w:r>
      <w:r w:rsidR="00F77CC1">
        <w:t>Mycenaean</w:t>
      </w:r>
      <w:r w:rsidR="00EF5C1C">
        <w:t xml:space="preserve"> and Minoan ceramics and </w:t>
      </w:r>
      <w:r w:rsidR="00F77CC1">
        <w:t xml:space="preserve">a scarab dating back to the Levantine Middle Bronze Period/Second Intermediate Period in Egypt-presenting further indication of at least some of Cyprus’ external relations. </w:t>
      </w:r>
      <w:r w:rsidR="006E05A3">
        <w:t xml:space="preserve">This </w:t>
      </w:r>
      <w:r w:rsidR="009A4C60">
        <w:t>is in keeping</w:t>
      </w:r>
      <w:r w:rsidR="006E05A3">
        <w:t xml:space="preserve"> with Childe’s </w:t>
      </w:r>
      <w:r w:rsidR="00F15CCD">
        <w:t>suggestion</w:t>
      </w:r>
      <w:r w:rsidR="006E05A3">
        <w:t xml:space="preserve"> of </w:t>
      </w:r>
      <w:r w:rsidR="00E55CFF">
        <w:t>how long</w:t>
      </w:r>
      <w:r w:rsidR="00140724">
        <w:t>-</w:t>
      </w:r>
      <w:r w:rsidR="00E55CFF">
        <w:t>distance trade (particularly for</w:t>
      </w:r>
      <w:r w:rsidR="00140724">
        <w:t xml:space="preserve"> items of</w:t>
      </w:r>
      <w:r w:rsidR="00E55CFF">
        <w:t xml:space="preserve"> luxury)</w:t>
      </w:r>
      <w:r w:rsidR="00F15CCD">
        <w:t xml:space="preserve"> is needed for the growth of society. </w:t>
      </w:r>
      <w:r w:rsidR="00FA15BE">
        <w:t>Other archaeological</w:t>
      </w:r>
      <w:r w:rsidR="00610F0C">
        <w:t xml:space="preserve"> surveys </w:t>
      </w:r>
      <w:r w:rsidR="007A0D10">
        <w:t xml:space="preserve">have also been </w:t>
      </w:r>
      <w:r w:rsidR="00FA15BE">
        <w:t>organised around Maroni</w:t>
      </w:r>
      <w:r w:rsidR="007A0D10">
        <w:t xml:space="preserve"> in attempts to locate</w:t>
      </w:r>
      <w:r w:rsidR="00FA15BE">
        <w:t xml:space="preserve"> and record more historical establishments in order to gain knowledge of the relationships in the area. </w:t>
      </w:r>
      <w:r w:rsidR="00D24992">
        <w:t xml:space="preserve">In </w:t>
      </w:r>
      <w:proofErr w:type="spellStart"/>
      <w:r w:rsidR="00D24992">
        <w:t>Tsaroukkas</w:t>
      </w:r>
      <w:proofErr w:type="spellEnd"/>
      <w:r w:rsidR="00D24992">
        <w:t xml:space="preserve"> for example, a blend of archaeological and geographical approaches unveiled that </w:t>
      </w:r>
      <w:r w:rsidR="00DA6D05">
        <w:t>the area</w:t>
      </w:r>
      <w:r w:rsidR="00D24992">
        <w:t xml:space="preserve"> had extended across a minimum of 20 hectares, but did not </w:t>
      </w:r>
      <w:r w:rsidR="00DA6D05">
        <w:t xml:space="preserve">stretch </w:t>
      </w:r>
      <w:r w:rsidR="00D24992">
        <w:t xml:space="preserve">as far as </w:t>
      </w:r>
      <w:proofErr w:type="spellStart"/>
      <w:r w:rsidR="00D24992">
        <w:t>Vournes</w:t>
      </w:r>
      <w:proofErr w:type="spellEnd"/>
      <w:r w:rsidR="00D24992">
        <w:t>.</w:t>
      </w:r>
      <w:r w:rsidR="000A67DE">
        <w:t xml:space="preserve"> Smaller spreads of </w:t>
      </w:r>
      <w:r w:rsidR="00842B93">
        <w:t>historical matter o</w:t>
      </w:r>
      <w:r w:rsidR="006965C9">
        <w:t xml:space="preserve">ver </w:t>
      </w:r>
      <w:r w:rsidR="00842B93">
        <w:t xml:space="preserve">the larger area </w:t>
      </w:r>
      <w:r w:rsidR="006965C9">
        <w:t xml:space="preserve">indicate that residence in the area was rather considerable; the British Museum expects that as further discoveries are made, our comprehension of the area will grow too. </w:t>
      </w:r>
    </w:p>
    <w:p w14:paraId="00948BA7" w14:textId="279B4573" w:rsidR="006B6F3E" w:rsidRDefault="00553583" w:rsidP="00EF47DD">
      <w:pPr>
        <w:spacing w:line="240" w:lineRule="auto"/>
      </w:pPr>
      <w:r>
        <w:t>There were more exc</w:t>
      </w:r>
      <w:r w:rsidR="00EA217C">
        <w:t>avations done elsewhere in the same area</w:t>
      </w:r>
      <w:r w:rsidR="005C7709">
        <w:t xml:space="preserve"> and a number of remains and buildings were found. The British Museum have summarised and provided the two that they hold the most crucial, labelled simply as “Building 1” and “Building 2”. </w:t>
      </w:r>
      <w:r w:rsidR="001B1EAF">
        <w:t>Building 1, estimated to have been built in around 1300 BCE, was extensive</w:t>
      </w:r>
      <w:r w:rsidR="004B6079">
        <w:t xml:space="preserve">, with multiple rooms, with some stretching 20m x 20m, with a centralised yard and most likely had a </w:t>
      </w:r>
      <w:r w:rsidR="00E57D92">
        <w:t>first floor as well.</w:t>
      </w:r>
      <w:r w:rsidR="00752172">
        <w:t xml:space="preserve"> </w:t>
      </w:r>
      <w:r w:rsidR="00993533">
        <w:t>It was constructed over a previous burying yard, which apparently utilised some of the purposely vacated tombs as base trenches for at least a few of the walls</w:t>
      </w:r>
      <w:r w:rsidR="001D7C05">
        <w:t xml:space="preserve"> (similar things have been found at </w:t>
      </w:r>
      <w:proofErr w:type="spellStart"/>
      <w:r w:rsidR="001D7C05">
        <w:t>Vournes</w:t>
      </w:r>
      <w:proofErr w:type="spellEnd"/>
      <w:r w:rsidR="001D7C05">
        <w:t xml:space="preserve"> and is thought to be linked to</w:t>
      </w:r>
      <w:r w:rsidR="00E018E5">
        <w:t xml:space="preserve"> the economic reconstruction of the region</w:t>
      </w:r>
      <w:r w:rsidR="001D7C05">
        <w:t>)</w:t>
      </w:r>
      <w:r w:rsidR="00F076B9">
        <w:t>. It is hypothesised that these same tombs may have been the original resting places of the pieces of Mycenaean ceramics that were discovered during the excavations</w:t>
      </w:r>
      <w:r w:rsidR="00CE3162">
        <w:t>. The British Museum has detailed the building materials that were found</w:t>
      </w:r>
      <w:r w:rsidR="005039DB">
        <w:t xml:space="preserve"> (mainly rubble, slag and other metallurgical examples)</w:t>
      </w:r>
      <w:r w:rsidR="00CE3162">
        <w:t>, documented the style of stone cut used</w:t>
      </w:r>
      <w:r w:rsidR="005039DB">
        <w:t xml:space="preserve"> (semi-cut)</w:t>
      </w:r>
      <w:r w:rsidR="00CE3162">
        <w:t xml:space="preserve"> and where</w:t>
      </w:r>
      <w:r w:rsidR="005039DB">
        <w:t xml:space="preserve"> (for more noticeable details of the structure)</w:t>
      </w:r>
      <w:r w:rsidR="00CE3162">
        <w:t xml:space="preserve">, and noted that </w:t>
      </w:r>
      <w:proofErr w:type="spellStart"/>
      <w:r w:rsidR="00CE3162">
        <w:t>pithioi</w:t>
      </w:r>
      <w:proofErr w:type="spellEnd"/>
      <w:r w:rsidR="00CE3162">
        <w:t xml:space="preserve"> were installed into the flooring of </w:t>
      </w:r>
      <w:r w:rsidR="005039DB">
        <w:t>a few of the rooms, which is speculated to be connected to a storage or art depiction purposes</w:t>
      </w:r>
      <w:r w:rsidR="00224FC8">
        <w:t xml:space="preserve"> (</w:t>
      </w:r>
      <w:r w:rsidR="00C8234E">
        <w:t>arguably a</w:t>
      </w:r>
      <w:r w:rsidR="00625C60">
        <w:t xml:space="preserve"> </w:t>
      </w:r>
      <w:r w:rsidR="00C8234E">
        <w:t>sophisticated art style- one of Childe’s requirements</w:t>
      </w:r>
      <w:r w:rsidR="00441F39">
        <w:t xml:space="preserve"> for urban development</w:t>
      </w:r>
      <w:r w:rsidR="00224FC8">
        <w:t>)</w:t>
      </w:r>
      <w:r w:rsidR="00DC732F">
        <w:t>, while in Building 2</w:t>
      </w:r>
      <w:r w:rsidR="00E50450">
        <w:t>, they found a</w:t>
      </w:r>
      <w:r w:rsidR="00625C60">
        <w:t>n “</w:t>
      </w:r>
      <w:proofErr w:type="spellStart"/>
      <w:r w:rsidR="00625C60">
        <w:t>unsusual</w:t>
      </w:r>
      <w:proofErr w:type="spellEnd"/>
      <w:r w:rsidR="00625C60">
        <w:t>”</w:t>
      </w:r>
      <w:r w:rsidR="00E50450">
        <w:t xml:space="preserve"> pebble lined floor</w:t>
      </w:r>
      <w:r w:rsidR="00625C60">
        <w:t xml:space="preserve">, that demonstrated signs of </w:t>
      </w:r>
      <w:r w:rsidR="006F2FDB">
        <w:t xml:space="preserve">high temperatures being used, </w:t>
      </w:r>
      <w:r w:rsidR="00E50450">
        <w:t xml:space="preserve">next </w:t>
      </w:r>
      <w:r w:rsidR="004039C2">
        <w:t>to a plastered floor</w:t>
      </w:r>
      <w:r w:rsidR="006F2FDB">
        <w:t xml:space="preserve"> (it is thought that this was used for metalwork</w:t>
      </w:r>
      <w:r w:rsidR="00C80B74">
        <w:t>, if so, it probably would have been copper as Cyprian copper was in demand from all of Cyprus’ trading contacts</w:t>
      </w:r>
      <w:r w:rsidR="006F2FDB">
        <w:t>, though other objects found in the near vicinity suggest other possible usages as well)- hence in line with Childe’s requirement of craft specialisation</w:t>
      </w:r>
      <w:r w:rsidR="005039DB">
        <w:t>. They additionally found a large amount of loom weights,</w:t>
      </w:r>
      <w:r w:rsidR="00383365">
        <w:t xml:space="preserve"> and a considerable amount of rooms were covered in lime plaster, </w:t>
      </w:r>
      <w:r w:rsidR="00DB048C">
        <w:t>believed by the excavators to have been used for the processing of some form of liquids, thought to possibly be olive oil. That would</w:t>
      </w:r>
      <w:r w:rsidR="005039DB">
        <w:t xml:space="preserve"> sugges</w:t>
      </w:r>
      <w:r w:rsidR="00DB048C">
        <w:t>t</w:t>
      </w:r>
      <w:r w:rsidR="005039DB">
        <w:t xml:space="preserve"> that the building could potentially have been a manufacturing </w:t>
      </w:r>
      <w:r w:rsidR="00383365">
        <w:t xml:space="preserve">building, linking it to the nearby harbour and, </w:t>
      </w:r>
      <w:r w:rsidR="00383365">
        <w:lastRenderedPageBreak/>
        <w:t xml:space="preserve">consequently, the trade routes. </w:t>
      </w:r>
      <w:r w:rsidR="006F2FDB">
        <w:t xml:space="preserve">Aside from the issue that Childe’s urbanisation criteria came </w:t>
      </w:r>
      <w:r w:rsidR="00996C90">
        <w:t xml:space="preserve">after the excavation of Maroni, it is clear to see how his criteria would have assisted </w:t>
      </w:r>
      <w:r w:rsidR="002C4282">
        <w:t xml:space="preserve">the archaeologists in their research; perhaps with his principles they might have taken more notice of other potential findings in the area. </w:t>
      </w:r>
      <w:r w:rsidR="003B65F5">
        <w:t>On the other hand, it could</w:t>
      </w:r>
      <w:r w:rsidR="002C4282">
        <w:t xml:space="preserve"> unwittingly</w:t>
      </w:r>
      <w:r w:rsidR="003B65F5">
        <w:t xml:space="preserve"> restrict them </w:t>
      </w:r>
      <w:r w:rsidR="00F43F3C">
        <w:t xml:space="preserve">to following his </w:t>
      </w:r>
      <w:r w:rsidR="00F16968">
        <w:t xml:space="preserve">viewpoint, </w:t>
      </w:r>
      <w:r w:rsidR="00F43F3C">
        <w:t>which could cause them to miss or ignore a piece</w:t>
      </w:r>
      <w:r w:rsidR="00DF4318">
        <w:t>, or several</w:t>
      </w:r>
      <w:r w:rsidR="004122B7">
        <w:t xml:space="preserve"> pieces</w:t>
      </w:r>
      <w:r w:rsidR="00DF4318">
        <w:t xml:space="preserve">, </w:t>
      </w:r>
      <w:r w:rsidR="00F43F3C">
        <w:t>of crucial evidence.</w:t>
      </w:r>
      <w:r w:rsidR="004122B7">
        <w:t xml:space="preserve"> </w:t>
      </w:r>
    </w:p>
    <w:p w14:paraId="5DA79DD2" w14:textId="51610F1A" w:rsidR="00FD4136" w:rsidRDefault="00FD4136" w:rsidP="00EF47DD">
      <w:pPr>
        <w:spacing w:line="240" w:lineRule="auto"/>
      </w:pPr>
      <w:r>
        <w:t xml:space="preserve">Alongside that, </w:t>
      </w:r>
      <w:r w:rsidR="00F330BA">
        <w:t>an underwater survey was completed</w:t>
      </w:r>
      <w:r w:rsidR="006D43E8">
        <w:t xml:space="preserve"> that endorsed the importance of naval influence in the locality, as well as throughout Cyprus, through the detection of stone anchors found both in the sea and on land, some of which had been repurposed in buildings</w:t>
      </w:r>
      <w:r w:rsidR="003611F9">
        <w:t xml:space="preserve">, along with remnants of Canaanite jars ferried from the Levant and pottery deposits from approx. 1650-1550 BCE which are thought to have been intended to sail to Egypt and the Levant; both of which bear evidence of the keen association </w:t>
      </w:r>
      <w:r w:rsidR="00CF61B7">
        <w:t>that the locality had with trade in as early as the 17</w:t>
      </w:r>
      <w:r w:rsidR="00CF61B7" w:rsidRPr="00CF61B7">
        <w:rPr>
          <w:vertAlign w:val="superscript"/>
        </w:rPr>
        <w:t>th</w:t>
      </w:r>
      <w:r w:rsidR="00CF61B7">
        <w:t>/16</w:t>
      </w:r>
      <w:r w:rsidR="00CF61B7" w:rsidRPr="00CF61B7">
        <w:rPr>
          <w:vertAlign w:val="superscript"/>
        </w:rPr>
        <w:t>th</w:t>
      </w:r>
      <w:r w:rsidR="00CF61B7">
        <w:t xml:space="preserve"> century BCE. The survey also identified the temperament of the initial coastline, which appears to have had, unfortunately, receded immensely from its original position and has likely taken the scraps of whatever late Bronze age residence was there</w:t>
      </w:r>
      <w:r w:rsidR="009E7453">
        <w:t xml:space="preserve">. </w:t>
      </w:r>
    </w:p>
    <w:p w14:paraId="10E3E333" w14:textId="6CD30178" w:rsidR="007745D5" w:rsidRDefault="00A57DFF" w:rsidP="00EF47DD">
      <w:pPr>
        <w:spacing w:line="240" w:lineRule="auto"/>
      </w:pPr>
      <w:r>
        <w:t>Nothing yet has been found in the</w:t>
      </w:r>
      <w:r w:rsidR="003A48CE">
        <w:t xml:space="preserve"> Maroni</w:t>
      </w:r>
      <w:r>
        <w:t xml:space="preserve"> area that dates before 13</w:t>
      </w:r>
      <w:r w:rsidRPr="00A57DFF">
        <w:rPr>
          <w:vertAlign w:val="superscript"/>
        </w:rPr>
        <w:t>th</w:t>
      </w:r>
      <w:r>
        <w:t xml:space="preserve"> century BCE (meaning that we have </w:t>
      </w:r>
      <w:r w:rsidR="00C720FE">
        <w:t>little insight into what the region was like prior to that</w:t>
      </w:r>
      <w:r>
        <w:t xml:space="preserve">), but </w:t>
      </w:r>
      <w:r w:rsidR="00FA03FB">
        <w:t>it is</w:t>
      </w:r>
      <w:r>
        <w:t xml:space="preserve"> expect</w:t>
      </w:r>
      <w:r w:rsidR="00FA03FB">
        <w:t>ed</w:t>
      </w:r>
      <w:r>
        <w:t xml:space="preserve"> that s</w:t>
      </w:r>
      <w:r w:rsidR="007745D5">
        <w:t xml:space="preserve">upplementary excavations down the road may reveal an abundance of knowledge and material that </w:t>
      </w:r>
      <w:r>
        <w:t xml:space="preserve">might provide more certainty. </w:t>
      </w:r>
      <w:r w:rsidR="00596CFD">
        <w:t>The</w:t>
      </w:r>
      <w:r>
        <w:t>re</w:t>
      </w:r>
      <w:r w:rsidR="00596CFD">
        <w:t xml:space="preserve"> </w:t>
      </w:r>
      <w:r>
        <w:t>are</w:t>
      </w:r>
      <w:r w:rsidR="00596CFD">
        <w:t>, however, dilemma</w:t>
      </w:r>
      <w:r>
        <w:t>s</w:t>
      </w:r>
      <w:r w:rsidR="00596CFD">
        <w:t xml:space="preserve"> that face anyone that attempts to tackle research or an archaeological dig in Cyprus</w:t>
      </w:r>
      <w:r>
        <w:t xml:space="preserve">- firstly, </w:t>
      </w:r>
      <w:r w:rsidR="00596CFD">
        <w:t>Cyprian flash floods and storms can (and do) impair excavation sites, creating struggles and voids in archaeological finds.</w:t>
      </w:r>
      <w:r w:rsidR="00820812">
        <w:rPr>
          <w:rStyle w:val="FootnoteReference"/>
        </w:rPr>
        <w:footnoteReference w:id="1"/>
      </w:r>
      <w:r w:rsidR="00BA3B96">
        <w:t xml:space="preserve"> </w:t>
      </w:r>
      <w:r w:rsidR="00C720FE">
        <w:t>Secondly, it is difficult, if not impossible to conduct further archaeological research in territories occupied by Turkey</w:t>
      </w:r>
      <w:r w:rsidR="00866417">
        <w:t xml:space="preserve"> (Northern Cyprus,</w:t>
      </w:r>
      <w:r w:rsidR="000114D9">
        <w:t xml:space="preserve"> also known as the TNRC, whose independence is only formally recognised by Turkey</w:t>
      </w:r>
      <w:r w:rsidR="00866417">
        <w:t>)</w:t>
      </w:r>
      <w:r w:rsidR="00C720FE">
        <w:t>; those zones may hold within them crucial evidence about Cyprian history</w:t>
      </w:r>
      <w:r w:rsidR="003A48CE">
        <w:t xml:space="preserve">, but until access is given and research </w:t>
      </w:r>
      <w:r w:rsidR="00866417">
        <w:t>resumes</w:t>
      </w:r>
      <w:r w:rsidR="003A48CE">
        <w:t xml:space="preserve">, speculations will continue. When it is possible to progress, Childe’s </w:t>
      </w:r>
      <w:r w:rsidR="005E227E">
        <w:t xml:space="preserve">criteria may prove insightful, provided that the </w:t>
      </w:r>
      <w:r w:rsidR="00FD17A3">
        <w:t>researchers don’t just f</w:t>
      </w:r>
      <w:r w:rsidR="003D0997">
        <w:t xml:space="preserve">ollow Childe’s examples. </w:t>
      </w:r>
    </w:p>
    <w:sectPr w:rsidR="007745D5" w:rsidSect="005A764A">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32A97B" w14:textId="77777777" w:rsidR="001B1F6E" w:rsidRDefault="001B1F6E" w:rsidP="00D9630D">
      <w:pPr>
        <w:spacing w:after="0" w:line="240" w:lineRule="auto"/>
      </w:pPr>
      <w:r>
        <w:separator/>
      </w:r>
    </w:p>
  </w:endnote>
  <w:endnote w:type="continuationSeparator" w:id="0">
    <w:p w14:paraId="6C477290" w14:textId="77777777" w:rsidR="001B1F6E" w:rsidRDefault="001B1F6E" w:rsidP="00D963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523CDB" w14:textId="77777777" w:rsidR="001B1F6E" w:rsidRDefault="001B1F6E" w:rsidP="00D9630D">
      <w:pPr>
        <w:spacing w:after="0" w:line="240" w:lineRule="auto"/>
      </w:pPr>
      <w:r>
        <w:separator/>
      </w:r>
    </w:p>
  </w:footnote>
  <w:footnote w:type="continuationSeparator" w:id="0">
    <w:p w14:paraId="18E03CF5" w14:textId="77777777" w:rsidR="001B1F6E" w:rsidRDefault="001B1F6E" w:rsidP="00D9630D">
      <w:pPr>
        <w:spacing w:after="0" w:line="240" w:lineRule="auto"/>
      </w:pPr>
      <w:r>
        <w:continuationSeparator/>
      </w:r>
    </w:p>
  </w:footnote>
  <w:footnote w:id="1">
    <w:p w14:paraId="21255B74" w14:textId="687547CC" w:rsidR="009E7453" w:rsidRDefault="001B1F6E">
      <w:pPr>
        <w:pStyle w:val="FootnoteText"/>
      </w:pPr>
      <w:r>
        <w:rPr>
          <w:rStyle w:val="FootnoteReference"/>
        </w:rPr>
        <w:footnoteRef/>
      </w:r>
      <w:r>
        <w:t xml:space="preserve"> </w:t>
      </w:r>
      <w:hyperlink r:id="rId1" w:history="1">
        <w:r w:rsidRPr="0083600F">
          <w:rPr>
            <w:rStyle w:val="Hyperlink"/>
          </w:rPr>
          <w:t>https://www.cyprus-archaeology.org.uk/sites.htm</w:t>
        </w:r>
      </w:hyperlink>
      <w:r>
        <w:t xml:space="preserve"> (accessed on 18th April 2020)</w:t>
      </w:r>
    </w:p>
    <w:p w14:paraId="76DAFE70" w14:textId="59E02BEA" w:rsidR="009E7453" w:rsidRPr="00820812" w:rsidRDefault="009E7453">
      <w:pPr>
        <w:pStyle w:val="FootnoteText"/>
      </w:pPr>
      <w:r>
        <w:t>2.</w:t>
      </w:r>
      <w:hyperlink r:id="rId2" w:history="1">
        <w:r w:rsidRPr="008A1BDB">
          <w:rPr>
            <w:rStyle w:val="Hyperlink"/>
          </w:rPr>
          <w:t>https://research.britishmuseum.org/research/publications/online_research_catalogues/ancient_cyprus_british_museum/maroni/archaeological_sites.aspx</w:t>
        </w:r>
      </w:hyperlink>
      <w:r>
        <w:t xml:space="preserve"> (last accessed on 22</w:t>
      </w:r>
      <w:r w:rsidRPr="009E7453">
        <w:rPr>
          <w:vertAlign w:val="superscript"/>
        </w:rPr>
        <w:t>nd</w:t>
      </w:r>
      <w:r>
        <w:t xml:space="preserve"> April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333EFF" w14:textId="77777777" w:rsidR="001B1F6E" w:rsidRPr="00D9630D" w:rsidRDefault="001B1F6E" w:rsidP="00D9630D">
    <w:pPr>
      <w:pStyle w:val="Header"/>
      <w:jc w:val="center"/>
    </w:pPr>
    <w:r>
      <w:t xml:space="preserve">Consider </w:t>
    </w:r>
    <w:r w:rsidRPr="00D9630D">
      <w:rPr>
        <w:highlight w:val="yellow"/>
      </w:rPr>
      <w:t>how useful Childe’s criteria</w:t>
    </w:r>
    <w:r>
      <w:t xml:space="preserve"> </w:t>
    </w:r>
    <w:r w:rsidRPr="00D9630D">
      <w:rPr>
        <w:highlight w:val="yellow"/>
      </w:rPr>
      <w:t>for the emergence of towns and/or states</w:t>
    </w:r>
    <w:r>
      <w:t xml:space="preserve"> are </w:t>
    </w:r>
    <w:r w:rsidRPr="00D9630D">
      <w:rPr>
        <w:highlight w:val="green"/>
      </w:rPr>
      <w:t>for interpreting the emergence of social complexity</w:t>
    </w:r>
    <w:r>
      <w:t xml:space="preserve"> in the East Mediterranean in the Bronze Age. </w:t>
    </w:r>
    <w:r w:rsidRPr="00D9630D">
      <w:rPr>
        <w:highlight w:val="cyan"/>
      </w:rPr>
      <w:t>Answer with reference to a case study of your choice from Cyprus.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8A4827"/>
    <w:multiLevelType w:val="hybridMultilevel"/>
    <w:tmpl w:val="E21495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30D"/>
    <w:rsid w:val="000114D9"/>
    <w:rsid w:val="00037B38"/>
    <w:rsid w:val="00072AC9"/>
    <w:rsid w:val="000A67DE"/>
    <w:rsid w:val="00116AE3"/>
    <w:rsid w:val="00140724"/>
    <w:rsid w:val="00142618"/>
    <w:rsid w:val="001714CD"/>
    <w:rsid w:val="001B1EAF"/>
    <w:rsid w:val="001B1F6E"/>
    <w:rsid w:val="001D7C05"/>
    <w:rsid w:val="00224FC8"/>
    <w:rsid w:val="00240E70"/>
    <w:rsid w:val="00246C96"/>
    <w:rsid w:val="002606F5"/>
    <w:rsid w:val="002C4282"/>
    <w:rsid w:val="002E539A"/>
    <w:rsid w:val="003611F9"/>
    <w:rsid w:val="003804B5"/>
    <w:rsid w:val="00383365"/>
    <w:rsid w:val="003A48CE"/>
    <w:rsid w:val="003A4F7A"/>
    <w:rsid w:val="003B65F5"/>
    <w:rsid w:val="003B77F7"/>
    <w:rsid w:val="003D0997"/>
    <w:rsid w:val="004039C2"/>
    <w:rsid w:val="004122B7"/>
    <w:rsid w:val="00441F39"/>
    <w:rsid w:val="004B6079"/>
    <w:rsid w:val="005039DB"/>
    <w:rsid w:val="00522060"/>
    <w:rsid w:val="00524DD6"/>
    <w:rsid w:val="00542FF0"/>
    <w:rsid w:val="00553583"/>
    <w:rsid w:val="00596CFD"/>
    <w:rsid w:val="005A1A7E"/>
    <w:rsid w:val="005A764A"/>
    <w:rsid w:val="005C7709"/>
    <w:rsid w:val="005E227E"/>
    <w:rsid w:val="00610F0C"/>
    <w:rsid w:val="00625C60"/>
    <w:rsid w:val="00642774"/>
    <w:rsid w:val="00685C1A"/>
    <w:rsid w:val="006965C9"/>
    <w:rsid w:val="006B0B17"/>
    <w:rsid w:val="006B6F3E"/>
    <w:rsid w:val="006D43E8"/>
    <w:rsid w:val="006E05A3"/>
    <w:rsid w:val="006F2FDB"/>
    <w:rsid w:val="00714351"/>
    <w:rsid w:val="00733EDF"/>
    <w:rsid w:val="00752172"/>
    <w:rsid w:val="007745D5"/>
    <w:rsid w:val="007A0D10"/>
    <w:rsid w:val="007B17B7"/>
    <w:rsid w:val="00820812"/>
    <w:rsid w:val="00842B93"/>
    <w:rsid w:val="00866417"/>
    <w:rsid w:val="008A78D7"/>
    <w:rsid w:val="008F7699"/>
    <w:rsid w:val="00926CF5"/>
    <w:rsid w:val="0092776E"/>
    <w:rsid w:val="00993533"/>
    <w:rsid w:val="00996C90"/>
    <w:rsid w:val="009A4C60"/>
    <w:rsid w:val="009D2E16"/>
    <w:rsid w:val="009E7453"/>
    <w:rsid w:val="00A51DD5"/>
    <w:rsid w:val="00A57DFF"/>
    <w:rsid w:val="00A66C2C"/>
    <w:rsid w:val="00A86370"/>
    <w:rsid w:val="00B02858"/>
    <w:rsid w:val="00BA3B96"/>
    <w:rsid w:val="00C16608"/>
    <w:rsid w:val="00C41D00"/>
    <w:rsid w:val="00C720FE"/>
    <w:rsid w:val="00C80B74"/>
    <w:rsid w:val="00C8234E"/>
    <w:rsid w:val="00CE3162"/>
    <w:rsid w:val="00CF61B7"/>
    <w:rsid w:val="00D24992"/>
    <w:rsid w:val="00D7230C"/>
    <w:rsid w:val="00D9630D"/>
    <w:rsid w:val="00DA6D05"/>
    <w:rsid w:val="00DA7BD1"/>
    <w:rsid w:val="00DB048C"/>
    <w:rsid w:val="00DC732F"/>
    <w:rsid w:val="00DF4318"/>
    <w:rsid w:val="00E018E5"/>
    <w:rsid w:val="00E22DCF"/>
    <w:rsid w:val="00E50450"/>
    <w:rsid w:val="00E55CFF"/>
    <w:rsid w:val="00E57D92"/>
    <w:rsid w:val="00EA217C"/>
    <w:rsid w:val="00EF47DD"/>
    <w:rsid w:val="00EF5C1C"/>
    <w:rsid w:val="00F076B9"/>
    <w:rsid w:val="00F122F2"/>
    <w:rsid w:val="00F15CCD"/>
    <w:rsid w:val="00F16968"/>
    <w:rsid w:val="00F330BA"/>
    <w:rsid w:val="00F43F3C"/>
    <w:rsid w:val="00F77CC1"/>
    <w:rsid w:val="00FA03FB"/>
    <w:rsid w:val="00FA15BE"/>
    <w:rsid w:val="00FD17A3"/>
    <w:rsid w:val="00FD41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B81D38"/>
  <w15:chartTrackingRefBased/>
  <w15:docId w15:val="{F4E1568D-6889-48E8-8339-52C560296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63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30D"/>
  </w:style>
  <w:style w:type="paragraph" w:styleId="Footer">
    <w:name w:val="footer"/>
    <w:basedOn w:val="Normal"/>
    <w:link w:val="FooterChar"/>
    <w:uiPriority w:val="99"/>
    <w:unhideWhenUsed/>
    <w:rsid w:val="00D963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30D"/>
  </w:style>
  <w:style w:type="paragraph" w:styleId="ListParagraph">
    <w:name w:val="List Paragraph"/>
    <w:basedOn w:val="Normal"/>
    <w:uiPriority w:val="34"/>
    <w:qFormat/>
    <w:rsid w:val="00733EDF"/>
    <w:pPr>
      <w:ind w:left="720"/>
      <w:contextualSpacing/>
    </w:pPr>
  </w:style>
  <w:style w:type="character" w:styleId="Hyperlink">
    <w:name w:val="Hyperlink"/>
    <w:basedOn w:val="DefaultParagraphFont"/>
    <w:uiPriority w:val="99"/>
    <w:unhideWhenUsed/>
    <w:rsid w:val="00820812"/>
    <w:rPr>
      <w:color w:val="0563C1" w:themeColor="hyperlink"/>
      <w:u w:val="single"/>
    </w:rPr>
  </w:style>
  <w:style w:type="character" w:styleId="UnresolvedMention">
    <w:name w:val="Unresolved Mention"/>
    <w:basedOn w:val="DefaultParagraphFont"/>
    <w:uiPriority w:val="99"/>
    <w:semiHidden/>
    <w:unhideWhenUsed/>
    <w:rsid w:val="00820812"/>
    <w:rPr>
      <w:color w:val="605E5C"/>
      <w:shd w:val="clear" w:color="auto" w:fill="E1DFDD"/>
    </w:rPr>
  </w:style>
  <w:style w:type="paragraph" w:styleId="FootnoteText">
    <w:name w:val="footnote text"/>
    <w:basedOn w:val="Normal"/>
    <w:link w:val="FootnoteTextChar"/>
    <w:uiPriority w:val="99"/>
    <w:semiHidden/>
    <w:unhideWhenUsed/>
    <w:rsid w:val="008208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0812"/>
    <w:rPr>
      <w:sz w:val="20"/>
      <w:szCs w:val="20"/>
    </w:rPr>
  </w:style>
  <w:style w:type="character" w:styleId="FootnoteReference">
    <w:name w:val="footnote reference"/>
    <w:basedOn w:val="DefaultParagraphFont"/>
    <w:uiPriority w:val="99"/>
    <w:semiHidden/>
    <w:unhideWhenUsed/>
    <w:rsid w:val="008208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research.britishmuseum.org/research/publications/online_research_catalogues/ancient_cyprus_british_museum/maroni/archaeological_sites.aspx" TargetMode="External"/><Relationship Id="rId1" Type="http://schemas.openxmlformats.org/officeDocument/2006/relationships/hyperlink" Target="https://www.cyprus-archaeology.org.uk/site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E005D-F3F2-43DB-8519-5AB274AE9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1022</Words>
  <Characters>5829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 Gabriunaite</dc:creator>
  <cp:keywords/>
  <dc:description/>
  <cp:lastModifiedBy>Agne Gabriunaite</cp:lastModifiedBy>
  <cp:revision>2</cp:revision>
  <dcterms:created xsi:type="dcterms:W3CDTF">2020-04-23T09:24:00Z</dcterms:created>
  <dcterms:modified xsi:type="dcterms:W3CDTF">2020-04-23T09:24:00Z</dcterms:modified>
</cp:coreProperties>
</file>