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74228" w14:textId="48F3AE0A" w:rsidR="00E55480" w:rsidRPr="00BF505F" w:rsidRDefault="005F5960" w:rsidP="00BF505F">
      <w:pPr>
        <w:jc w:val="center"/>
        <w:rPr>
          <w:u w:val="single"/>
        </w:rPr>
      </w:pPr>
      <w:proofErr w:type="spellStart"/>
      <w:r w:rsidRPr="00BF505F">
        <w:rPr>
          <w:u w:val="single"/>
        </w:rPr>
        <w:t>Danebury</w:t>
      </w:r>
      <w:proofErr w:type="spellEnd"/>
      <w:r w:rsidRPr="00BF505F">
        <w:rPr>
          <w:u w:val="single"/>
        </w:rPr>
        <w:t>, Hampshire</w:t>
      </w:r>
    </w:p>
    <w:p w14:paraId="7199EA8C" w14:textId="38C7E935" w:rsidR="005F5960" w:rsidRDefault="005F5960"/>
    <w:p w14:paraId="2AF84657" w14:textId="2537E061" w:rsidR="00C05161" w:rsidRDefault="00BA7539">
      <w:r>
        <w:t xml:space="preserve">The site of </w:t>
      </w:r>
      <w:proofErr w:type="spellStart"/>
      <w:r>
        <w:t>Danebury</w:t>
      </w:r>
      <w:proofErr w:type="spellEnd"/>
      <w:r w:rsidR="00BF505F">
        <w:t xml:space="preserve"> is situated in Hampshire, and would have been part of the Belgae region of the ‘Celts’. </w:t>
      </w:r>
      <w:r w:rsidR="002C064D">
        <w:t xml:space="preserve">The site was excavated </w:t>
      </w:r>
      <w:r w:rsidR="0076593A">
        <w:t>between</w:t>
      </w:r>
      <w:r w:rsidR="002C064D">
        <w:t xml:space="preserve"> </w:t>
      </w:r>
      <w:r w:rsidR="0076593A">
        <w:t>1969 and 1988</w:t>
      </w:r>
      <w:r w:rsidR="002C064D">
        <w:t xml:space="preserve">, and is believed to have been active </w:t>
      </w:r>
      <w:r w:rsidR="0076593A">
        <w:t>between the 7</w:t>
      </w:r>
      <w:r w:rsidR="0076593A" w:rsidRPr="0076593A">
        <w:rPr>
          <w:vertAlign w:val="superscript"/>
        </w:rPr>
        <w:t>th</w:t>
      </w:r>
      <w:r w:rsidR="0076593A">
        <w:t xml:space="preserve"> century BC until the 1</w:t>
      </w:r>
      <w:r w:rsidR="0076593A" w:rsidRPr="0076593A">
        <w:rPr>
          <w:vertAlign w:val="superscript"/>
        </w:rPr>
        <w:t>st</w:t>
      </w:r>
      <w:r w:rsidR="0076593A">
        <w:t xml:space="preserve"> century AD.</w:t>
      </w:r>
      <w:r w:rsidR="0076593A">
        <w:rPr>
          <w:rStyle w:val="FootnoteReference"/>
        </w:rPr>
        <w:footnoteReference w:id="1"/>
      </w:r>
      <w:r w:rsidR="0076593A">
        <w:t xml:space="preserve"> </w:t>
      </w:r>
      <w:r w:rsidR="00E07495">
        <w:t xml:space="preserve">In this essay I will be discussing the funerary evidence associated with the site at </w:t>
      </w:r>
      <w:proofErr w:type="spellStart"/>
      <w:r w:rsidR="00E07495">
        <w:t>Danebury</w:t>
      </w:r>
      <w:proofErr w:type="spellEnd"/>
      <w:r w:rsidR="00E07495">
        <w:t xml:space="preserve">, and identifying the differences within the social statuses of the community, if there were any. </w:t>
      </w:r>
      <w:r w:rsidR="00BF505F">
        <w:t xml:space="preserve">At the funerary site, </w:t>
      </w:r>
      <w:r w:rsidR="00C84DEE">
        <w:t>Cunliffe and his team found</w:t>
      </w:r>
      <w:r w:rsidR="00BF505F">
        <w:t xml:space="preserve"> </w:t>
      </w:r>
      <w:r w:rsidR="00FC56DD">
        <w:t>a minimum of seventy</w:t>
      </w:r>
      <w:r w:rsidR="00BF505F">
        <w:t xml:space="preserve"> bodies</w:t>
      </w:r>
      <w:r w:rsidR="00FC56DD">
        <w:t xml:space="preserve"> in ninety-eight storage pits</w:t>
      </w:r>
      <w:r w:rsidR="0015432B">
        <w:t>.</w:t>
      </w:r>
      <w:r w:rsidR="00FC56DD">
        <w:rPr>
          <w:rStyle w:val="FootnoteReference"/>
        </w:rPr>
        <w:footnoteReference w:id="2"/>
      </w:r>
      <w:r w:rsidR="00E07495">
        <w:t xml:space="preserve"> </w:t>
      </w:r>
      <w:r w:rsidR="00A830CE">
        <w:t xml:space="preserve">Of the bodies </w:t>
      </w:r>
      <w:r w:rsidR="00FC56DD">
        <w:t>Cunliffe’s team excavated they found six main deposition categories, including “whole bodies (in single or group burials), incomplete skeletons (in individual depositions), multiple, partially articulated skeletons in charnel pits, skulls or frontal bones, pelvic girdles and individual bones, and bone fragments.’</w:t>
      </w:r>
      <w:r w:rsidR="00FC56DD">
        <w:rPr>
          <w:rStyle w:val="FootnoteReference"/>
        </w:rPr>
        <w:footnoteReference w:id="3"/>
      </w:r>
      <w:r w:rsidR="00662F3D">
        <w:t xml:space="preserve"> The evidence I shall be using for this site are all archaeological as there is no primary written evidence for pre-Roman Iron Age sites. </w:t>
      </w:r>
      <w:r w:rsidR="00842151">
        <w:t xml:space="preserve">Including limited written evidence, there is also limited archaeological evidence, as unlike other ‘Celtic’ funerary sites, the bodies at </w:t>
      </w:r>
      <w:proofErr w:type="spellStart"/>
      <w:r w:rsidR="00842151">
        <w:t>Danebury</w:t>
      </w:r>
      <w:proofErr w:type="spellEnd"/>
      <w:r w:rsidR="00842151">
        <w:t xml:space="preserve"> are not buried with specific items, such as types of jewellery and clothing found on mainland Europe.</w:t>
      </w:r>
    </w:p>
    <w:p w14:paraId="2780D97F" w14:textId="77777777" w:rsidR="00F669FD" w:rsidRDefault="00F669FD">
      <w:bookmarkStart w:id="0" w:name="_GoBack"/>
      <w:bookmarkEnd w:id="0"/>
    </w:p>
    <w:p w14:paraId="74E67FCA" w14:textId="00334014" w:rsidR="00161B58" w:rsidRDefault="00F61D62">
      <w:r>
        <w:t xml:space="preserve">The bodies found at the funerary site were buried in different manners as well as in different amounts. Of the twenty-five bodies excavated from nineteen pits and a gully there were fourteen solitary burials, one double, two triple and two group inhumations. All the bodies were within the age range of zero to forty-five, including five foetal / neo-natal infants. </w:t>
      </w:r>
      <w:r w:rsidR="00AC6EF8">
        <w:t xml:space="preserve">The single inhumations included six males, three females, two children and three neonatal infants. The double deposition were two neonatal infants, who are thought to have been twins. The triple depositions are </w:t>
      </w:r>
      <w:r w:rsidR="0012680C">
        <w:t xml:space="preserve">a group of three adult males and </w:t>
      </w:r>
      <w:r w:rsidR="00B4695D">
        <w:t>an adult male, a young adult female and a child – they are thought to be a family. The group inhumations are within larger pit, contain the only recorded (at the time) extended body of an adult.</w:t>
      </w:r>
      <w:r w:rsidR="00B4695D">
        <w:rPr>
          <w:rStyle w:val="FootnoteReference"/>
        </w:rPr>
        <w:footnoteReference w:id="4"/>
      </w:r>
      <w:r w:rsidR="00E57F00">
        <w:t xml:space="preserve"> The two main styles of pit that the bodies were buried in were the bath-tub style, and the beehive style. The bath-tub style correlate with the earlier pits, whereas the beehive style are the later pits.</w:t>
      </w:r>
      <w:r w:rsidR="00041D94">
        <w:t xml:space="preserve"> There were some anomalies of the burial pits found at the site of </w:t>
      </w:r>
      <w:proofErr w:type="spellStart"/>
      <w:r w:rsidR="00041D94">
        <w:t>Danebury</w:t>
      </w:r>
      <w:proofErr w:type="spellEnd"/>
      <w:r w:rsidR="00041D94">
        <w:t>, one was pit 374</w:t>
      </w:r>
      <w:r w:rsidR="00DF3CC1">
        <w:t>,</w:t>
      </w:r>
      <w:r w:rsidR="00041D94">
        <w:t xml:space="preserve"> which was a large </w:t>
      </w:r>
      <w:r w:rsidR="00DF3CC1">
        <w:t>boat-shape and another was pit 383, which was a small oval pit.</w:t>
      </w:r>
    </w:p>
    <w:p w14:paraId="106AD40A" w14:textId="77777777" w:rsidR="00592FA0" w:rsidRDefault="00592FA0"/>
    <w:p w14:paraId="02A75119" w14:textId="7ECBDFEA" w:rsidR="006C24A5" w:rsidRDefault="00592FA0">
      <w:r>
        <w:t xml:space="preserve">It is thought that the bodies buried in the group inhumations are deviations from the more common solitary burial rites. </w:t>
      </w:r>
      <w:r w:rsidR="00DC725F">
        <w:t xml:space="preserve">There has also been </w:t>
      </w:r>
      <w:r w:rsidR="00444352">
        <w:t>a recurrence of three burials grouped together. It has been suggested by Walker</w:t>
      </w:r>
      <w:r w:rsidR="00444352">
        <w:rPr>
          <w:rStyle w:val="FootnoteReference"/>
        </w:rPr>
        <w:footnoteReference w:id="5"/>
      </w:r>
      <w:r w:rsidR="00444352">
        <w:t xml:space="preserve"> that this could be a symbolic association, as these triple depositions have been made to look distinctive.</w:t>
      </w:r>
      <w:r w:rsidR="00444352">
        <w:rPr>
          <w:rStyle w:val="FootnoteReference"/>
        </w:rPr>
        <w:footnoteReference w:id="6"/>
      </w:r>
      <w:r w:rsidR="003B42AC">
        <w:t xml:space="preserve"> </w:t>
      </w:r>
      <w:r w:rsidR="00DF3CC1">
        <w:t>The bath-tub and burial pits where the bodies were normally found deposited were also primarily associated with grain storage. Th</w:t>
      </w:r>
      <w:r w:rsidR="001C7789">
        <w:t xml:space="preserve">is has prompted the excavators to link this to </w:t>
      </w:r>
      <w:r w:rsidR="00970945">
        <w:t xml:space="preserve">a ‘general tradition’ of depositing human bones with </w:t>
      </w:r>
      <w:r w:rsidR="00581E97">
        <w:t>other refuse</w:t>
      </w:r>
      <w:r w:rsidR="0085294F">
        <w:t xml:space="preserve"> in clay jars or pots that have a primary economic or agrarian connection or function.</w:t>
      </w:r>
      <w:r w:rsidR="00CB6FE8">
        <w:rPr>
          <w:rStyle w:val="FootnoteReference"/>
        </w:rPr>
        <w:footnoteReference w:id="7"/>
      </w:r>
      <w:r w:rsidR="00D27C2C">
        <w:t xml:space="preserve"> </w:t>
      </w:r>
      <w:r w:rsidR="00701488">
        <w:t xml:space="preserve">The solitary and group burials were performed in different </w:t>
      </w:r>
      <w:r w:rsidR="00701488">
        <w:lastRenderedPageBreak/>
        <w:t xml:space="preserve">manners. The </w:t>
      </w:r>
      <w:r w:rsidR="00A643F3">
        <w:t>solitary burials were deliberately covered once placed in the pits, however, the group burials were left exposed in their pits. The only other burials apart from the group depositions that were left uncovered were the foetal / neonatal infants.</w:t>
      </w:r>
      <w:r w:rsidR="00A643F3">
        <w:rPr>
          <w:rStyle w:val="FootnoteReference"/>
        </w:rPr>
        <w:footnoteReference w:id="8"/>
      </w:r>
      <w:r w:rsidR="002757CA">
        <w:t xml:space="preserve"> It is </w:t>
      </w:r>
      <w:r w:rsidR="005F6624">
        <w:t>believed that leaving the bodies to be exposed rather than burying them broke the cycle of reincarnation that was believed by the ‘Celts’, therefore, possibly, giving the different types of burials religious connotations.</w:t>
      </w:r>
    </w:p>
    <w:p w14:paraId="6E5A00A7" w14:textId="0DD7EF32" w:rsidR="00D27C2C" w:rsidRDefault="00D27C2C"/>
    <w:p w14:paraId="300013A0" w14:textId="4066FC22" w:rsidR="00D27C2C" w:rsidRDefault="00D27C2C">
      <w:r>
        <w:t xml:space="preserve">In terms of social status within the community at </w:t>
      </w:r>
      <w:proofErr w:type="spellStart"/>
      <w:r>
        <w:t>Danebury</w:t>
      </w:r>
      <w:proofErr w:type="spellEnd"/>
      <w:r>
        <w:t xml:space="preserve">, there is not as much given away through the burials as there are in other sites across ‘Celtic’ Europe. </w:t>
      </w:r>
      <w:r w:rsidR="00C359E1">
        <w:t>However, there is still plenty of speculations within scholarship around the sites.</w:t>
      </w:r>
      <w:r w:rsidR="008109EF">
        <w:t xml:space="preserve"> Whilst almost all the bodies were buried without any decoration, there was one body buried with an early La </w:t>
      </w:r>
      <w:proofErr w:type="spellStart"/>
      <w:r w:rsidR="008109EF">
        <w:t>Tene</w:t>
      </w:r>
      <w:proofErr w:type="spellEnd"/>
      <w:r w:rsidR="008109EF">
        <w:t xml:space="preserve"> style iron broach. This body could have been a possible visitor from the European mainland, or a trader of sorts. It is unclear, without inscription left why this is the only body buried with an artefact.</w:t>
      </w:r>
      <w:r w:rsidR="00F815D3">
        <w:t xml:space="preserve"> The rest of the bodies buried were divided into two main groups according to the degree of contraction of their limbs. The first group was of those whose limbs had been very tightly contracted, so much so that it is thought that their bodies were bound before the deposition of them. The second group are those whose bodies are thought to be more lightly flexed, even thought to be causally left.</w:t>
      </w:r>
      <w:r w:rsidR="00F815D3">
        <w:rPr>
          <w:rStyle w:val="FootnoteReference"/>
        </w:rPr>
        <w:footnoteReference w:id="9"/>
      </w:r>
    </w:p>
    <w:p w14:paraId="4A5A4B03" w14:textId="04FC979F" w:rsidR="008603FD" w:rsidRDefault="008603FD"/>
    <w:p w14:paraId="695166F5" w14:textId="0E198B9D" w:rsidR="008603FD" w:rsidRDefault="008603FD">
      <w:r>
        <w:t xml:space="preserve">Overall, this site is different to those studied within the rest of Europe, </w:t>
      </w:r>
      <w:r w:rsidR="00251292">
        <w:t xml:space="preserve">as mentioned above, with the lack of material evidence. </w:t>
      </w:r>
      <w:r w:rsidR="00BA75D9">
        <w:t xml:space="preserve">However, the </w:t>
      </w:r>
      <w:r w:rsidR="00FF0265">
        <w:t>positions of the bodies, as well as their type of burial does leave a lot up to be imagined about their social statues. The lack of material artefacts gives the impression that this area may have been poorer in comparison to other sites that have bodies buried with gold, and therefore of a lower social status to other sites around them.</w:t>
      </w:r>
    </w:p>
    <w:p w14:paraId="69BADF13" w14:textId="410CBE35" w:rsidR="006C24A5" w:rsidRDefault="006C24A5">
      <w:r>
        <w:br w:type="page"/>
      </w:r>
    </w:p>
    <w:p w14:paraId="20E9DD15" w14:textId="4A63A08C" w:rsidR="006C24A5" w:rsidRDefault="006C24A5">
      <w:pPr>
        <w:rPr>
          <w:u w:val="single"/>
        </w:rPr>
      </w:pPr>
      <w:r>
        <w:rPr>
          <w:u w:val="single"/>
        </w:rPr>
        <w:lastRenderedPageBreak/>
        <w:t>Bibliography</w:t>
      </w:r>
    </w:p>
    <w:p w14:paraId="6B12EB1B" w14:textId="4FD25941" w:rsidR="00B23860" w:rsidRDefault="00B23860"/>
    <w:p w14:paraId="53B6E290" w14:textId="2A1E80E3" w:rsidR="00B23860" w:rsidRDefault="00B23860"/>
    <w:p w14:paraId="6F433E62" w14:textId="3738A524" w:rsidR="00B23860" w:rsidRDefault="00B23860">
      <w:r>
        <w:t xml:space="preserve">The </w:t>
      </w:r>
      <w:proofErr w:type="spellStart"/>
      <w:r>
        <w:t>Danebury</w:t>
      </w:r>
      <w:proofErr w:type="spellEnd"/>
      <w:r>
        <w:t xml:space="preserve"> Trust, 2003. The archaeological data service.ac.uk</w:t>
      </w:r>
    </w:p>
    <w:p w14:paraId="132416AB" w14:textId="77D245FB" w:rsidR="00253948" w:rsidRDefault="00253948">
      <w:hyperlink r:id="rId7" w:history="1">
        <w:r w:rsidRPr="008620EE">
          <w:rPr>
            <w:rStyle w:val="Hyperlink"/>
          </w:rPr>
          <w:t>https://archaeologydataservice.ac.uk/archives/view/danebury_var_2003/</w:t>
        </w:r>
      </w:hyperlink>
    </w:p>
    <w:p w14:paraId="500889E7" w14:textId="58D397C2" w:rsidR="00253948" w:rsidRDefault="00253948"/>
    <w:p w14:paraId="6D2DC03C" w14:textId="0F34BAA1" w:rsidR="006C24A5" w:rsidRDefault="006C24A5"/>
    <w:p w14:paraId="21D6FA27" w14:textId="4E6120AF" w:rsidR="00D8413A" w:rsidRPr="00D8413A" w:rsidRDefault="002C064D">
      <w:r>
        <w:t xml:space="preserve">Cunliffe, B. (1983) </w:t>
      </w:r>
      <w:proofErr w:type="spellStart"/>
      <w:r>
        <w:rPr>
          <w:i/>
        </w:rPr>
        <w:t>Danebury</w:t>
      </w:r>
      <w:proofErr w:type="spellEnd"/>
      <w:r>
        <w:rPr>
          <w:i/>
        </w:rPr>
        <w:t>: Anatomy of an Iron Age Hillfort</w:t>
      </w:r>
      <w:r>
        <w:t>. London: Butler and Tanner</w:t>
      </w:r>
    </w:p>
    <w:p w14:paraId="084D9CDB" w14:textId="24872FFD" w:rsidR="00285A2B" w:rsidRDefault="00285A2B"/>
    <w:p w14:paraId="7148B9C0" w14:textId="5C486B89" w:rsidR="00285A2B" w:rsidRPr="00285A2B" w:rsidRDefault="00285A2B">
      <w:r>
        <w:t xml:space="preserve">Cunliffe, B. (1984) </w:t>
      </w:r>
      <w:proofErr w:type="spellStart"/>
      <w:r>
        <w:rPr>
          <w:i/>
        </w:rPr>
        <w:t>Danebury</w:t>
      </w:r>
      <w:proofErr w:type="spellEnd"/>
      <w:r>
        <w:rPr>
          <w:i/>
        </w:rPr>
        <w:t>: An Iron Age hillfort in Hampshire. Vol 1. The excavations, 1969-1978: the site</w:t>
      </w:r>
      <w:r>
        <w:t>. London: Council for British Archaeology</w:t>
      </w:r>
    </w:p>
    <w:p w14:paraId="4C4E8A4D" w14:textId="376063F7" w:rsidR="004018E8" w:rsidRDefault="004018E8"/>
    <w:p w14:paraId="07E7BFE5" w14:textId="70A4CE21" w:rsidR="004018E8" w:rsidRDefault="004018E8">
      <w:r>
        <w:t xml:space="preserve">Cunliffe, B. (1984) </w:t>
      </w:r>
      <w:proofErr w:type="spellStart"/>
      <w:r>
        <w:rPr>
          <w:i/>
        </w:rPr>
        <w:t>Danebury</w:t>
      </w:r>
      <w:proofErr w:type="spellEnd"/>
      <w:r>
        <w:rPr>
          <w:i/>
        </w:rPr>
        <w:t>: An Iron Age hillfort in Hampshire. Vol 2. The excavations, 1969-1978: the finds.</w:t>
      </w:r>
      <w:r>
        <w:t xml:space="preserve"> </w:t>
      </w:r>
      <w:r w:rsidR="00285A2B">
        <w:t>London: Council for British Archaeology</w:t>
      </w:r>
    </w:p>
    <w:p w14:paraId="7D84CD82" w14:textId="6ACCE870" w:rsidR="002E58B9" w:rsidRDefault="002E58B9"/>
    <w:p w14:paraId="51FE0666" w14:textId="293C487F" w:rsidR="002E58B9" w:rsidRPr="002E58B9" w:rsidRDefault="002E58B9">
      <w:proofErr w:type="spellStart"/>
      <w:r>
        <w:t>Haselgrove</w:t>
      </w:r>
      <w:proofErr w:type="spellEnd"/>
      <w:r>
        <w:t xml:space="preserve">, C. (1986) ‘An Iron Age Community and Its Hillfort: The Excavations at </w:t>
      </w:r>
      <w:proofErr w:type="spellStart"/>
      <w:r>
        <w:t>Danebury</w:t>
      </w:r>
      <w:proofErr w:type="spellEnd"/>
      <w:r>
        <w:t xml:space="preserve">, Hampshire, 1969-79. A Review’, in </w:t>
      </w:r>
      <w:r>
        <w:rPr>
          <w:i/>
        </w:rPr>
        <w:t>The Archaeological Journal</w:t>
      </w:r>
      <w:r>
        <w:t>. 143, pp. 363-369</w:t>
      </w:r>
    </w:p>
    <w:p w14:paraId="572EA7BD" w14:textId="33E5D660" w:rsidR="002C064D" w:rsidRDefault="002C064D"/>
    <w:p w14:paraId="135DFD1D" w14:textId="6B491AD2" w:rsidR="002C064D" w:rsidRDefault="002C064D">
      <w:r>
        <w:t xml:space="preserve">Palmer, R. (1984) </w:t>
      </w:r>
      <w:proofErr w:type="spellStart"/>
      <w:r>
        <w:rPr>
          <w:i/>
        </w:rPr>
        <w:t>Danebury</w:t>
      </w:r>
      <w:proofErr w:type="spellEnd"/>
      <w:r>
        <w:rPr>
          <w:i/>
        </w:rPr>
        <w:t>: An Iron Age Hillfort in Hampshire. Vol. 3. An aerial photographic interpretation of its environs</w:t>
      </w:r>
      <w:r>
        <w:t>. London: Royal Commission on Historical Monuments</w:t>
      </w:r>
    </w:p>
    <w:p w14:paraId="6E96CFE4" w14:textId="2AB2435C" w:rsidR="00C359E1" w:rsidRDefault="00C359E1"/>
    <w:p w14:paraId="13CED8B2" w14:textId="35CB1A42" w:rsidR="00C359E1" w:rsidRPr="00C359E1" w:rsidRDefault="00C359E1">
      <w:proofErr w:type="spellStart"/>
      <w:r>
        <w:t>Whimster</w:t>
      </w:r>
      <w:proofErr w:type="spellEnd"/>
      <w:r>
        <w:t xml:space="preserve">, W. (1997) ‘Iron Age burial in southern Britain’, in </w:t>
      </w:r>
      <w:r>
        <w:rPr>
          <w:i/>
        </w:rPr>
        <w:t>Proceedings of the Prehistoric Society</w:t>
      </w:r>
      <w:r>
        <w:t xml:space="preserve">. 43, </w:t>
      </w:r>
      <w:r w:rsidR="002E58B9">
        <w:t xml:space="preserve">pp. </w:t>
      </w:r>
      <w:r>
        <w:t>317-327</w:t>
      </w:r>
    </w:p>
    <w:p w14:paraId="6797D9E2" w14:textId="478EB0FB" w:rsidR="002C064D" w:rsidRDefault="002C064D"/>
    <w:p w14:paraId="48286D04" w14:textId="77777777" w:rsidR="002C064D" w:rsidRPr="002C064D" w:rsidRDefault="002C064D"/>
    <w:sectPr w:rsidR="002C064D" w:rsidRPr="002C064D"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9DF31" w14:textId="77777777" w:rsidR="0080106F" w:rsidRDefault="0080106F" w:rsidP="00FC56DD">
      <w:r>
        <w:separator/>
      </w:r>
    </w:p>
  </w:endnote>
  <w:endnote w:type="continuationSeparator" w:id="0">
    <w:p w14:paraId="0C344F68" w14:textId="77777777" w:rsidR="0080106F" w:rsidRDefault="0080106F" w:rsidP="00FC56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ACFAD" w14:textId="77777777" w:rsidR="0080106F" w:rsidRDefault="0080106F" w:rsidP="00FC56DD">
      <w:r>
        <w:separator/>
      </w:r>
    </w:p>
  </w:footnote>
  <w:footnote w:type="continuationSeparator" w:id="0">
    <w:p w14:paraId="363F37A0" w14:textId="77777777" w:rsidR="0080106F" w:rsidRDefault="0080106F" w:rsidP="00FC56DD">
      <w:r>
        <w:continuationSeparator/>
      </w:r>
    </w:p>
  </w:footnote>
  <w:footnote w:id="1">
    <w:p w14:paraId="404D5A74" w14:textId="6F8E8A7C" w:rsidR="0076593A" w:rsidRDefault="0076593A">
      <w:pPr>
        <w:pStyle w:val="FootnoteText"/>
      </w:pPr>
      <w:r>
        <w:rPr>
          <w:rStyle w:val="FootnoteReference"/>
        </w:rPr>
        <w:footnoteRef/>
      </w:r>
      <w:r>
        <w:t xml:space="preserve"> Archaeology Data Service</w:t>
      </w:r>
      <w:r w:rsidR="00B23860">
        <w:t>, 2003, York University</w:t>
      </w:r>
    </w:p>
  </w:footnote>
  <w:footnote w:id="2">
    <w:p w14:paraId="5EAC5C97" w14:textId="75C862FE" w:rsidR="00FC56DD" w:rsidRDefault="00FC56DD">
      <w:pPr>
        <w:pStyle w:val="FootnoteText"/>
      </w:pPr>
      <w:r>
        <w:rPr>
          <w:rStyle w:val="FootnoteReference"/>
        </w:rPr>
        <w:footnoteRef/>
      </w:r>
      <w:r>
        <w:t xml:space="preserve"> </w:t>
      </w:r>
      <w:r w:rsidR="009641FC">
        <w:t>Cunliffe</w:t>
      </w:r>
      <w:r>
        <w:t xml:space="preserve">, </w:t>
      </w:r>
      <w:r w:rsidR="009641FC">
        <w:t>1984</w:t>
      </w:r>
      <w:r>
        <w:t>, p 442</w:t>
      </w:r>
    </w:p>
  </w:footnote>
  <w:footnote w:id="3">
    <w:p w14:paraId="360DA17C" w14:textId="0594D887" w:rsidR="00FC56DD" w:rsidRDefault="00FC56DD">
      <w:pPr>
        <w:pStyle w:val="FootnoteText"/>
      </w:pPr>
      <w:r>
        <w:rPr>
          <w:rStyle w:val="FootnoteReference"/>
        </w:rPr>
        <w:footnoteRef/>
      </w:r>
      <w:r>
        <w:t xml:space="preserve"> </w:t>
      </w:r>
      <w:r w:rsidR="009641FC">
        <w:t>Cunliffe</w:t>
      </w:r>
      <w:r>
        <w:t xml:space="preserve">, </w:t>
      </w:r>
      <w:r w:rsidR="009641FC">
        <w:t>1984</w:t>
      </w:r>
      <w:r>
        <w:t>, p 442</w:t>
      </w:r>
    </w:p>
  </w:footnote>
  <w:footnote w:id="4">
    <w:p w14:paraId="6F05393F" w14:textId="332CB42D" w:rsidR="00B4695D" w:rsidRDefault="00B4695D">
      <w:pPr>
        <w:pStyle w:val="FootnoteText"/>
      </w:pPr>
      <w:r>
        <w:rPr>
          <w:rStyle w:val="FootnoteReference"/>
        </w:rPr>
        <w:footnoteRef/>
      </w:r>
      <w:r>
        <w:t xml:space="preserve"> </w:t>
      </w:r>
      <w:r w:rsidR="009641FC">
        <w:t>Cunliffe</w:t>
      </w:r>
      <w:r>
        <w:t xml:space="preserve">, </w:t>
      </w:r>
      <w:r w:rsidR="009641FC">
        <w:t>1984</w:t>
      </w:r>
      <w:r>
        <w:t>, p 446-447</w:t>
      </w:r>
    </w:p>
  </w:footnote>
  <w:footnote w:id="5">
    <w:p w14:paraId="6601A70D" w14:textId="360CE7CD" w:rsidR="00444352" w:rsidRDefault="00444352">
      <w:pPr>
        <w:pStyle w:val="FootnoteText"/>
      </w:pPr>
      <w:r>
        <w:rPr>
          <w:rStyle w:val="FootnoteReference"/>
        </w:rPr>
        <w:footnoteRef/>
      </w:r>
      <w:r>
        <w:t xml:space="preserve"> A member of Cunliffe’s team, who is included in his book on </w:t>
      </w:r>
    </w:p>
  </w:footnote>
  <w:footnote w:id="6">
    <w:p w14:paraId="3334E8CF" w14:textId="5467EC4D" w:rsidR="00444352" w:rsidRDefault="00444352">
      <w:pPr>
        <w:pStyle w:val="FootnoteText"/>
      </w:pPr>
      <w:r>
        <w:rPr>
          <w:rStyle w:val="FootnoteReference"/>
        </w:rPr>
        <w:footnoteRef/>
      </w:r>
      <w:r>
        <w:t xml:space="preserve"> </w:t>
      </w:r>
      <w:r w:rsidR="009641FC">
        <w:t>Cunliffe</w:t>
      </w:r>
      <w:r>
        <w:t xml:space="preserve">, </w:t>
      </w:r>
      <w:r w:rsidR="009641FC">
        <w:t>1984</w:t>
      </w:r>
      <w:r>
        <w:t xml:space="preserve">, p </w:t>
      </w:r>
      <w:r w:rsidR="009641FC">
        <w:t>446</w:t>
      </w:r>
    </w:p>
  </w:footnote>
  <w:footnote w:id="7">
    <w:p w14:paraId="48FB6F02" w14:textId="6CC2FC02" w:rsidR="00CB6FE8" w:rsidRDefault="00CB6FE8">
      <w:pPr>
        <w:pStyle w:val="FootnoteText"/>
      </w:pPr>
      <w:r>
        <w:rPr>
          <w:rStyle w:val="FootnoteReference"/>
        </w:rPr>
        <w:footnoteRef/>
      </w:r>
      <w:r>
        <w:t xml:space="preserve"> </w:t>
      </w:r>
      <w:r w:rsidR="00F815D3">
        <w:t>Cunliffe</w:t>
      </w:r>
      <w:r>
        <w:t xml:space="preserve">, </w:t>
      </w:r>
      <w:r w:rsidR="009641FC">
        <w:t>1984,</w:t>
      </w:r>
      <w:r>
        <w:t xml:space="preserve"> p </w:t>
      </w:r>
      <w:r w:rsidR="009641FC">
        <w:t>443</w:t>
      </w:r>
    </w:p>
  </w:footnote>
  <w:footnote w:id="8">
    <w:p w14:paraId="292AC1C1" w14:textId="6D7BE451" w:rsidR="00A643F3" w:rsidRDefault="00A643F3">
      <w:pPr>
        <w:pStyle w:val="FootnoteText"/>
      </w:pPr>
      <w:r>
        <w:rPr>
          <w:rStyle w:val="FootnoteReference"/>
        </w:rPr>
        <w:footnoteRef/>
      </w:r>
      <w:r>
        <w:t xml:space="preserve"> </w:t>
      </w:r>
      <w:r w:rsidR="00F815D3">
        <w:t>Cunliffe</w:t>
      </w:r>
      <w:r>
        <w:t xml:space="preserve">, </w:t>
      </w:r>
      <w:r w:rsidR="009641FC">
        <w:t>1984</w:t>
      </w:r>
      <w:r>
        <w:t>, p 448</w:t>
      </w:r>
    </w:p>
  </w:footnote>
  <w:footnote w:id="9">
    <w:p w14:paraId="49E372CD" w14:textId="43D2B4E4" w:rsidR="00F815D3" w:rsidRDefault="00F815D3">
      <w:pPr>
        <w:pStyle w:val="FootnoteText"/>
      </w:pPr>
      <w:r>
        <w:rPr>
          <w:rStyle w:val="FootnoteReference"/>
        </w:rPr>
        <w:footnoteRef/>
      </w:r>
      <w:r>
        <w:t xml:space="preserve"> Cunliffe, 1984, p 448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960"/>
    <w:rsid w:val="00041D94"/>
    <w:rsid w:val="000B07B9"/>
    <w:rsid w:val="0012680C"/>
    <w:rsid w:val="0015432B"/>
    <w:rsid w:val="00161B58"/>
    <w:rsid w:val="001C7789"/>
    <w:rsid w:val="00251292"/>
    <w:rsid w:val="00253948"/>
    <w:rsid w:val="002757CA"/>
    <w:rsid w:val="00285A2B"/>
    <w:rsid w:val="002C064D"/>
    <w:rsid w:val="002C7049"/>
    <w:rsid w:val="002E58B9"/>
    <w:rsid w:val="003B42AC"/>
    <w:rsid w:val="003D0224"/>
    <w:rsid w:val="004018E8"/>
    <w:rsid w:val="00427944"/>
    <w:rsid w:val="00444352"/>
    <w:rsid w:val="004C0C9B"/>
    <w:rsid w:val="004C60FE"/>
    <w:rsid w:val="00581E97"/>
    <w:rsid w:val="0058219A"/>
    <w:rsid w:val="00592FA0"/>
    <w:rsid w:val="005F5960"/>
    <w:rsid w:val="005F6624"/>
    <w:rsid w:val="00662F3D"/>
    <w:rsid w:val="006C24A5"/>
    <w:rsid w:val="00701488"/>
    <w:rsid w:val="0076593A"/>
    <w:rsid w:val="007D6F1C"/>
    <w:rsid w:val="00800F78"/>
    <w:rsid w:val="0080106F"/>
    <w:rsid w:val="008109EF"/>
    <w:rsid w:val="00823121"/>
    <w:rsid w:val="00842151"/>
    <w:rsid w:val="0085294F"/>
    <w:rsid w:val="008603FD"/>
    <w:rsid w:val="009641FC"/>
    <w:rsid w:val="00970945"/>
    <w:rsid w:val="00A23C16"/>
    <w:rsid w:val="00A643F3"/>
    <w:rsid w:val="00A830CE"/>
    <w:rsid w:val="00AA3DC1"/>
    <w:rsid w:val="00AC6EF8"/>
    <w:rsid w:val="00AF4387"/>
    <w:rsid w:val="00B23860"/>
    <w:rsid w:val="00B4695D"/>
    <w:rsid w:val="00BA7539"/>
    <w:rsid w:val="00BA75D9"/>
    <w:rsid w:val="00BF505F"/>
    <w:rsid w:val="00C05161"/>
    <w:rsid w:val="00C359E1"/>
    <w:rsid w:val="00C84DEE"/>
    <w:rsid w:val="00CB6FE8"/>
    <w:rsid w:val="00CD3A0C"/>
    <w:rsid w:val="00CF3DF2"/>
    <w:rsid w:val="00D27C2C"/>
    <w:rsid w:val="00D8413A"/>
    <w:rsid w:val="00DC725F"/>
    <w:rsid w:val="00DF3CC1"/>
    <w:rsid w:val="00E07495"/>
    <w:rsid w:val="00E37E4C"/>
    <w:rsid w:val="00E4124D"/>
    <w:rsid w:val="00E57F00"/>
    <w:rsid w:val="00E65D92"/>
    <w:rsid w:val="00F61D62"/>
    <w:rsid w:val="00F669FD"/>
    <w:rsid w:val="00F815D3"/>
    <w:rsid w:val="00FC56DD"/>
    <w:rsid w:val="00FF0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EC4563"/>
  <w14:defaultImageDpi w14:val="32767"/>
  <w15:chartTrackingRefBased/>
  <w15:docId w15:val="{82F14427-4D26-C04D-B527-B49CC45AD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56DD"/>
    <w:rPr>
      <w:sz w:val="20"/>
      <w:szCs w:val="20"/>
    </w:rPr>
  </w:style>
  <w:style w:type="character" w:customStyle="1" w:styleId="FootnoteTextChar">
    <w:name w:val="Footnote Text Char"/>
    <w:basedOn w:val="DefaultParagraphFont"/>
    <w:link w:val="FootnoteText"/>
    <w:uiPriority w:val="99"/>
    <w:semiHidden/>
    <w:rsid w:val="00FC56DD"/>
    <w:rPr>
      <w:sz w:val="20"/>
      <w:szCs w:val="20"/>
    </w:rPr>
  </w:style>
  <w:style w:type="character" w:styleId="FootnoteReference">
    <w:name w:val="footnote reference"/>
    <w:basedOn w:val="DefaultParagraphFont"/>
    <w:uiPriority w:val="99"/>
    <w:semiHidden/>
    <w:unhideWhenUsed/>
    <w:rsid w:val="00FC56DD"/>
    <w:rPr>
      <w:vertAlign w:val="superscript"/>
    </w:rPr>
  </w:style>
  <w:style w:type="character" w:styleId="Hyperlink">
    <w:name w:val="Hyperlink"/>
    <w:basedOn w:val="DefaultParagraphFont"/>
    <w:uiPriority w:val="99"/>
    <w:unhideWhenUsed/>
    <w:rsid w:val="00253948"/>
    <w:rPr>
      <w:color w:val="0563C1" w:themeColor="hyperlink"/>
      <w:u w:val="single"/>
    </w:rPr>
  </w:style>
  <w:style w:type="character" w:styleId="UnresolvedMention">
    <w:name w:val="Unresolved Mention"/>
    <w:basedOn w:val="DefaultParagraphFont"/>
    <w:uiPriority w:val="99"/>
    <w:rsid w:val="002539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chaeologydataservice.ac.uk/archives/view/danebury_var_20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0D67C5-07A9-8D4B-9275-14D1444FE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3</Pages>
  <Words>928</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73</cp:revision>
  <dcterms:created xsi:type="dcterms:W3CDTF">2019-01-25T15:26:00Z</dcterms:created>
  <dcterms:modified xsi:type="dcterms:W3CDTF">2019-01-25T23:58:00Z</dcterms:modified>
</cp:coreProperties>
</file>