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18D89A" w14:textId="77777777" w:rsidR="005821A6" w:rsidRDefault="005821A6" w:rsidP="0005432C">
      <w:pPr>
        <w:spacing w:line="360" w:lineRule="auto"/>
        <w:rPr>
          <w:rFonts w:ascii="Times New Roman" w:eastAsia="Times New Roman" w:hAnsi="Times New Roman" w:cs="Times New Roman"/>
          <w:b/>
          <w:sz w:val="32"/>
          <w:szCs w:val="32"/>
        </w:rPr>
      </w:pPr>
    </w:p>
    <w:p w14:paraId="3B15E845" w14:textId="77777777" w:rsidR="0005432C" w:rsidRPr="00CE3DFF" w:rsidRDefault="0005432C" w:rsidP="0005432C">
      <w:pPr>
        <w:jc w:val="center"/>
        <w:rPr>
          <w:rFonts w:ascii="Times New Roman" w:hAnsi="Times New Roman" w:cs="Times New Roman"/>
          <w:b/>
          <w:bCs/>
          <w:sz w:val="40"/>
          <w:szCs w:val="40"/>
        </w:rPr>
      </w:pPr>
      <w:r w:rsidRPr="00CE3DFF">
        <w:rPr>
          <w:rFonts w:ascii="Times New Roman" w:hAnsi="Times New Roman" w:cs="Times New Roman"/>
          <w:b/>
          <w:color w:val="000000"/>
          <w:sz w:val="40"/>
          <w:szCs w:val="40"/>
        </w:rPr>
        <w:t>ENTREPRENEURSHIP</w:t>
      </w:r>
    </w:p>
    <w:p w14:paraId="527C60DA" w14:textId="77777777" w:rsidR="0005432C" w:rsidRDefault="0005432C" w:rsidP="0005432C">
      <w:pPr>
        <w:jc w:val="center"/>
        <w:rPr>
          <w:rFonts w:ascii="Times New Roman" w:hAnsi="Times New Roman" w:cs="Times New Roman"/>
          <w:sz w:val="44"/>
          <w:szCs w:val="44"/>
        </w:rPr>
      </w:pPr>
      <w:r w:rsidRPr="004C73B3">
        <w:rPr>
          <w:rFonts w:ascii="Times New Roman" w:hAnsi="Times New Roman" w:cs="Times New Roman"/>
          <w:sz w:val="44"/>
          <w:szCs w:val="44"/>
        </w:rPr>
        <w:t>(</w:t>
      </w:r>
      <w:r>
        <w:rPr>
          <w:rFonts w:ascii="Times New Roman" w:hAnsi="Times New Roman" w:cs="Times New Roman"/>
          <w:sz w:val="44"/>
          <w:szCs w:val="44"/>
        </w:rPr>
        <w:t>LCBB5001</w:t>
      </w:r>
      <w:r w:rsidRPr="004C73B3">
        <w:rPr>
          <w:rFonts w:ascii="Times New Roman" w:hAnsi="Times New Roman" w:cs="Times New Roman"/>
          <w:sz w:val="44"/>
          <w:szCs w:val="44"/>
        </w:rPr>
        <w:t>)</w:t>
      </w:r>
    </w:p>
    <w:p w14:paraId="089C7778" w14:textId="77777777" w:rsidR="0005432C" w:rsidRDefault="0005432C" w:rsidP="0005432C">
      <w:pPr>
        <w:jc w:val="center"/>
        <w:rPr>
          <w:rFonts w:ascii="Times New Roman" w:hAnsi="Times New Roman" w:cs="Times New Roman"/>
          <w:sz w:val="44"/>
          <w:szCs w:val="44"/>
        </w:rPr>
      </w:pPr>
    </w:p>
    <w:p w14:paraId="759FFC20" w14:textId="77777777" w:rsidR="0005432C" w:rsidRDefault="0005432C" w:rsidP="0005432C">
      <w:pPr>
        <w:jc w:val="center"/>
        <w:rPr>
          <w:rFonts w:ascii="Times New Roman" w:hAnsi="Times New Roman" w:cs="Times New Roman"/>
          <w:sz w:val="44"/>
          <w:szCs w:val="44"/>
        </w:rPr>
      </w:pPr>
    </w:p>
    <w:p w14:paraId="1598470C" w14:textId="77777777" w:rsidR="0005432C" w:rsidRDefault="0005432C" w:rsidP="0005432C">
      <w:pPr>
        <w:jc w:val="center"/>
        <w:rPr>
          <w:rFonts w:ascii="Times New Roman" w:hAnsi="Times New Roman" w:cs="Times New Roman"/>
          <w:sz w:val="44"/>
          <w:szCs w:val="44"/>
        </w:rPr>
      </w:pPr>
    </w:p>
    <w:p w14:paraId="0DEA4EBC" w14:textId="77777777" w:rsidR="0005432C" w:rsidRDefault="0005432C" w:rsidP="0005432C">
      <w:pPr>
        <w:jc w:val="center"/>
        <w:rPr>
          <w:rFonts w:ascii="Times New Roman" w:hAnsi="Times New Roman" w:cs="Times New Roman"/>
          <w:sz w:val="44"/>
          <w:szCs w:val="44"/>
        </w:rPr>
      </w:pPr>
    </w:p>
    <w:p w14:paraId="70DB3EB0" w14:textId="3AEC00B7" w:rsidR="0005432C" w:rsidRDefault="0005432C" w:rsidP="0005432C">
      <w:pPr>
        <w:jc w:val="center"/>
        <w:rPr>
          <w:rFonts w:ascii="Times New Roman" w:hAnsi="Times New Roman" w:cs="Times New Roman"/>
          <w:b/>
          <w:bCs/>
          <w:sz w:val="44"/>
          <w:szCs w:val="44"/>
        </w:rPr>
      </w:pPr>
      <w:r>
        <w:rPr>
          <w:rFonts w:ascii="Times New Roman" w:hAnsi="Times New Roman" w:cs="Times New Roman"/>
          <w:b/>
          <w:bCs/>
          <w:sz w:val="44"/>
          <w:szCs w:val="44"/>
        </w:rPr>
        <w:t xml:space="preserve">Assessment </w:t>
      </w:r>
      <w:r>
        <w:rPr>
          <w:rFonts w:ascii="Times New Roman" w:hAnsi="Times New Roman" w:cs="Times New Roman"/>
          <w:b/>
          <w:bCs/>
          <w:sz w:val="44"/>
          <w:szCs w:val="44"/>
        </w:rPr>
        <w:t>2</w:t>
      </w:r>
    </w:p>
    <w:p w14:paraId="2600CF37" w14:textId="17DD43D3" w:rsidR="0005432C" w:rsidRDefault="0046345A" w:rsidP="0005432C">
      <w:pPr>
        <w:jc w:val="center"/>
      </w:pPr>
      <w:r w:rsidRPr="0046345A">
        <w:rPr>
          <w:rFonts w:ascii="Times New Roman" w:hAnsi="Times New Roman" w:cs="Times New Roman"/>
          <w:sz w:val="48"/>
          <w:szCs w:val="48"/>
          <w:u w:val="single"/>
        </w:rPr>
        <w:t>Business Plan</w:t>
      </w:r>
      <w:r>
        <w:rPr>
          <w:rFonts w:ascii="Times New Roman" w:hAnsi="Times New Roman" w:cs="Times New Roman"/>
          <w:sz w:val="48"/>
          <w:szCs w:val="48"/>
          <w:u w:val="single"/>
        </w:rPr>
        <w:t xml:space="preserve">: </w:t>
      </w:r>
      <w:r w:rsidRPr="0046345A">
        <w:rPr>
          <w:rFonts w:ascii="Times New Roman" w:eastAsia="Times New Roman" w:hAnsi="Times New Roman" w:cs="Times New Roman"/>
          <w:sz w:val="44"/>
          <w:szCs w:val="44"/>
          <w:u w:val="single"/>
        </w:rPr>
        <w:t>"Health and Harmony Inc."</w:t>
      </w:r>
      <w:r w:rsidR="0005432C" w:rsidRPr="0046345A">
        <w:rPr>
          <w:rFonts w:ascii="Times New Roman" w:hAnsi="Times New Roman" w:cs="Times New Roman"/>
          <w:b/>
          <w:bCs/>
          <w:sz w:val="44"/>
          <w:szCs w:val="44"/>
        </w:rPr>
        <w:br/>
      </w:r>
      <w:r w:rsidR="0005432C" w:rsidRPr="004C73B3">
        <w:rPr>
          <w:rFonts w:ascii="Times New Roman" w:hAnsi="Times New Roman" w:cs="Times New Roman"/>
          <w:sz w:val="24"/>
          <w:szCs w:val="24"/>
        </w:rPr>
        <w:t xml:space="preserve">( </w:t>
      </w:r>
      <w:r w:rsidR="0005432C">
        <w:rPr>
          <w:rFonts w:ascii="Times New Roman" w:hAnsi="Times New Roman" w:cs="Times New Roman"/>
          <w:sz w:val="24"/>
          <w:szCs w:val="24"/>
        </w:rPr>
        <w:t>2000 w</w:t>
      </w:r>
      <w:r w:rsidR="0005432C" w:rsidRPr="004C73B3">
        <w:rPr>
          <w:rFonts w:ascii="Times New Roman" w:hAnsi="Times New Roman" w:cs="Times New Roman"/>
          <w:sz w:val="24"/>
          <w:szCs w:val="24"/>
        </w:rPr>
        <w:t>.)</w:t>
      </w:r>
    </w:p>
    <w:p w14:paraId="081A2C67" w14:textId="77777777" w:rsidR="0005432C" w:rsidRDefault="0005432C" w:rsidP="0005432C"/>
    <w:p w14:paraId="6F262077" w14:textId="77777777" w:rsidR="0005432C" w:rsidRDefault="0005432C" w:rsidP="0005432C"/>
    <w:p w14:paraId="24B86626" w14:textId="77777777" w:rsidR="0005432C" w:rsidRDefault="0005432C" w:rsidP="0005432C"/>
    <w:p w14:paraId="51338F74" w14:textId="77777777" w:rsidR="0005432C" w:rsidRDefault="0005432C" w:rsidP="0005432C"/>
    <w:p w14:paraId="42133234" w14:textId="77777777" w:rsidR="0005432C" w:rsidRDefault="0005432C" w:rsidP="0005432C"/>
    <w:p w14:paraId="4BC8D37B" w14:textId="77777777" w:rsidR="0005432C" w:rsidRDefault="0005432C" w:rsidP="0005432C"/>
    <w:p w14:paraId="7266045A" w14:textId="77777777" w:rsidR="0005432C" w:rsidRDefault="0005432C" w:rsidP="0005432C"/>
    <w:p w14:paraId="4EC1D566" w14:textId="77777777" w:rsidR="0005432C" w:rsidRDefault="0005432C" w:rsidP="0005432C"/>
    <w:p w14:paraId="7D2488B0" w14:textId="77777777" w:rsidR="0005432C" w:rsidRDefault="0005432C" w:rsidP="0005432C"/>
    <w:p w14:paraId="7D9CB195" w14:textId="77777777" w:rsidR="0005432C" w:rsidRDefault="0005432C" w:rsidP="0005432C"/>
    <w:p w14:paraId="7F55A5D3" w14:textId="77777777" w:rsidR="0005432C" w:rsidRDefault="0005432C" w:rsidP="0005432C"/>
    <w:p w14:paraId="13C783DF" w14:textId="77777777" w:rsidR="0005432C" w:rsidRDefault="0005432C" w:rsidP="0005432C"/>
    <w:p w14:paraId="681AAAFF" w14:textId="77777777" w:rsidR="0005432C" w:rsidRPr="00A7781B" w:rsidRDefault="0005432C" w:rsidP="0005432C">
      <w:pPr>
        <w:rPr>
          <w:rFonts w:ascii="Times New Roman" w:hAnsi="Times New Roman" w:cs="Times New Roman"/>
          <w:b/>
          <w:bCs/>
          <w:sz w:val="32"/>
          <w:szCs w:val="32"/>
        </w:rPr>
      </w:pPr>
      <w:r w:rsidRPr="004C73B3">
        <w:rPr>
          <w:rFonts w:ascii="Times New Roman" w:hAnsi="Times New Roman" w:cs="Times New Roman"/>
          <w:b/>
          <w:bCs/>
          <w:sz w:val="32"/>
          <w:szCs w:val="32"/>
        </w:rPr>
        <w:t>Student name:</w:t>
      </w:r>
      <w:r>
        <w:rPr>
          <w:rFonts w:ascii="Times New Roman" w:hAnsi="Times New Roman" w:cs="Times New Roman"/>
          <w:b/>
          <w:bCs/>
          <w:sz w:val="32"/>
          <w:szCs w:val="32"/>
        </w:rPr>
        <w:t xml:space="preserve">                                                            Lecturer name:</w:t>
      </w:r>
      <w:r>
        <w:br/>
      </w:r>
      <w:r w:rsidRPr="004C73B3">
        <w:rPr>
          <w:rFonts w:ascii="Times New Roman" w:hAnsi="Times New Roman" w:cs="Times New Roman"/>
          <w:b/>
          <w:bCs/>
          <w:sz w:val="28"/>
          <w:szCs w:val="28"/>
        </w:rPr>
        <w:t>Angela Celac (2023256)</w:t>
      </w:r>
      <w:r>
        <w:rPr>
          <w:rFonts w:ascii="Times New Roman" w:hAnsi="Times New Roman" w:cs="Times New Roman"/>
          <w:b/>
          <w:bCs/>
          <w:sz w:val="28"/>
          <w:szCs w:val="28"/>
        </w:rPr>
        <w:t xml:space="preserve">                                                        John-Paul Okeke</w:t>
      </w:r>
    </w:p>
    <w:p w14:paraId="5B672ED3" w14:textId="15ACEDE2" w:rsidR="0005432C" w:rsidRDefault="0005432C" w:rsidP="0005432C">
      <w:pPr>
        <w:rPr>
          <w:rFonts w:ascii="Times New Roman" w:hAnsi="Times New Roman" w:cs="Times New Roman"/>
          <w:sz w:val="24"/>
          <w:szCs w:val="24"/>
        </w:rPr>
      </w:pPr>
      <w:r>
        <w:rPr>
          <w:rFonts w:ascii="Times New Roman" w:hAnsi="Times New Roman" w:cs="Times New Roman"/>
          <w:sz w:val="24"/>
          <w:szCs w:val="24"/>
        </w:rPr>
        <w:t xml:space="preserve">                                                             </w:t>
      </w:r>
    </w:p>
    <w:p w14:paraId="207C3BD5" w14:textId="77777777" w:rsidR="0005432C" w:rsidRDefault="0005432C" w:rsidP="0005432C">
      <w:pPr>
        <w:rPr>
          <w:rFonts w:ascii="Times New Roman" w:hAnsi="Times New Roman" w:cs="Times New Roman"/>
          <w:sz w:val="24"/>
          <w:szCs w:val="24"/>
        </w:rPr>
      </w:pPr>
    </w:p>
    <w:p w14:paraId="5910126D" w14:textId="77777777" w:rsidR="0005432C" w:rsidRDefault="0005432C" w:rsidP="0005432C">
      <w:pPr>
        <w:rPr>
          <w:rFonts w:ascii="Times New Roman" w:hAnsi="Times New Roman" w:cs="Times New Roman"/>
          <w:sz w:val="24"/>
          <w:szCs w:val="24"/>
        </w:rPr>
      </w:pPr>
    </w:p>
    <w:p w14:paraId="589FB457" w14:textId="77777777" w:rsidR="0005432C" w:rsidRDefault="0005432C" w:rsidP="0005432C">
      <w:pPr>
        <w:rPr>
          <w:rFonts w:ascii="Times New Roman" w:hAnsi="Times New Roman" w:cs="Times New Roman"/>
          <w:sz w:val="24"/>
          <w:szCs w:val="24"/>
        </w:rPr>
      </w:pPr>
    </w:p>
    <w:p w14:paraId="01D65828" w14:textId="77777777" w:rsidR="0005432C" w:rsidRDefault="0005432C" w:rsidP="0005432C">
      <w:pPr>
        <w:rPr>
          <w:rFonts w:ascii="Times New Roman" w:hAnsi="Times New Roman" w:cs="Times New Roman"/>
          <w:sz w:val="24"/>
          <w:szCs w:val="24"/>
        </w:rPr>
      </w:pPr>
    </w:p>
    <w:p w14:paraId="1700B540" w14:textId="77777777" w:rsidR="0005432C" w:rsidRDefault="0005432C" w:rsidP="0005432C">
      <w:pPr>
        <w:rPr>
          <w:rFonts w:ascii="Times New Roman" w:hAnsi="Times New Roman" w:cs="Times New Roman"/>
          <w:sz w:val="24"/>
          <w:szCs w:val="24"/>
        </w:rPr>
      </w:pPr>
      <w:r>
        <w:rPr>
          <w:rFonts w:ascii="Times New Roman" w:hAnsi="Times New Roman" w:cs="Times New Roman"/>
          <w:sz w:val="24"/>
          <w:szCs w:val="24"/>
        </w:rPr>
        <w:t xml:space="preserve">                                                                     </w:t>
      </w:r>
      <w:r w:rsidRPr="004C73B3">
        <w:rPr>
          <w:rFonts w:ascii="Times New Roman" w:hAnsi="Times New Roman" w:cs="Times New Roman"/>
          <w:sz w:val="24"/>
          <w:szCs w:val="24"/>
        </w:rPr>
        <w:t xml:space="preserve"> Submission date:</w:t>
      </w:r>
    </w:p>
    <w:p w14:paraId="303A48A3" w14:textId="6CF7ECD6" w:rsidR="005821A6" w:rsidRDefault="0005432C" w:rsidP="0005432C">
      <w:pPr>
        <w:spacing w:line="360" w:lineRule="auto"/>
        <w:jc w:val="center"/>
        <w:rPr>
          <w:rFonts w:ascii="Times New Roman" w:eastAsia="Times New Roman" w:hAnsi="Times New Roman" w:cs="Times New Roman"/>
          <w:b/>
          <w:sz w:val="32"/>
          <w:szCs w:val="32"/>
        </w:rPr>
      </w:pPr>
      <w:r>
        <w:rPr>
          <w:rFonts w:ascii="Times New Roman" w:hAnsi="Times New Roman" w:cs="Times New Roman"/>
          <w:sz w:val="24"/>
          <w:szCs w:val="24"/>
        </w:rPr>
        <w:t xml:space="preserve">            0</w:t>
      </w:r>
      <w:r w:rsidR="0046345A">
        <w:rPr>
          <w:rFonts w:ascii="Times New Roman" w:hAnsi="Times New Roman" w:cs="Times New Roman"/>
          <w:sz w:val="24"/>
          <w:szCs w:val="24"/>
        </w:rPr>
        <w:t>2</w:t>
      </w:r>
      <w:r>
        <w:rPr>
          <w:rFonts w:ascii="Times New Roman" w:hAnsi="Times New Roman" w:cs="Times New Roman"/>
          <w:sz w:val="24"/>
          <w:szCs w:val="24"/>
        </w:rPr>
        <w:t>.0</w:t>
      </w:r>
      <w:r w:rsidR="0046345A">
        <w:rPr>
          <w:rFonts w:ascii="Times New Roman" w:hAnsi="Times New Roman" w:cs="Times New Roman"/>
          <w:sz w:val="24"/>
          <w:szCs w:val="24"/>
        </w:rPr>
        <w:t>9</w:t>
      </w:r>
      <w:r>
        <w:rPr>
          <w:rFonts w:ascii="Times New Roman" w:hAnsi="Times New Roman" w:cs="Times New Roman"/>
          <w:sz w:val="24"/>
          <w:szCs w:val="24"/>
        </w:rPr>
        <w:t>.2022</w:t>
      </w:r>
    </w:p>
    <w:p w14:paraId="208695E4" w14:textId="0C7BB409" w:rsidR="00FD6C6A" w:rsidRPr="00AE6328" w:rsidRDefault="00000000" w:rsidP="00AE6328">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sz w:val="24"/>
          <w:szCs w:val="24"/>
        </w:rPr>
        <w:br w:type="page"/>
      </w:r>
    </w:p>
    <w:sdt>
      <w:sdtPr>
        <w:rPr>
          <w:rFonts w:ascii="Arial" w:eastAsia="Arial" w:hAnsi="Arial" w:cs="Arial"/>
          <w:color w:val="auto"/>
          <w:sz w:val="22"/>
          <w:szCs w:val="22"/>
          <w:lang w:val="en-GB" w:eastAsia="en-IN"/>
        </w:rPr>
        <w:id w:val="-132257832"/>
        <w:docPartObj>
          <w:docPartGallery w:val="Table of Contents"/>
          <w:docPartUnique/>
        </w:docPartObj>
      </w:sdtPr>
      <w:sdtEndPr>
        <w:rPr>
          <w:b/>
          <w:bCs/>
          <w:noProof/>
        </w:rPr>
      </w:sdtEndPr>
      <w:sdtContent>
        <w:p w14:paraId="663113FB" w14:textId="77777777" w:rsidR="00FD6C6A" w:rsidRPr="00FD6C6A" w:rsidRDefault="00000000" w:rsidP="00FD6C6A">
          <w:pPr>
            <w:pStyle w:val="TOCHeading"/>
            <w:jc w:val="center"/>
            <w:rPr>
              <w:rFonts w:ascii="Times New Roman" w:hAnsi="Times New Roman" w:cs="Times New Roman"/>
              <w:b/>
              <w:bCs/>
              <w:color w:val="000000" w:themeColor="text1"/>
              <w:sz w:val="28"/>
              <w:szCs w:val="28"/>
            </w:rPr>
          </w:pPr>
          <w:r w:rsidRPr="00FD6C6A">
            <w:rPr>
              <w:rFonts w:ascii="Times New Roman" w:hAnsi="Times New Roman" w:cs="Times New Roman"/>
              <w:b/>
              <w:bCs/>
              <w:color w:val="000000" w:themeColor="text1"/>
              <w:sz w:val="28"/>
              <w:szCs w:val="28"/>
            </w:rPr>
            <w:t>Table of Contents</w:t>
          </w:r>
        </w:p>
        <w:p w14:paraId="03D88151" w14:textId="28705DEE"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109513337" w:history="1">
            <w:r w:rsidRPr="00FD6C6A">
              <w:rPr>
                <w:rStyle w:val="Hyperlink"/>
                <w:rFonts w:ascii="Times New Roman" w:hAnsi="Times New Roman" w:cs="Times New Roman"/>
                <w:noProof/>
                <w:sz w:val="24"/>
                <w:szCs w:val="24"/>
              </w:rPr>
              <w:t>Introduction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_Toc109513337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3</w:t>
            </w:r>
            <w:r w:rsidRPr="00FD6C6A">
              <w:rPr>
                <w:rFonts w:ascii="Times New Roman" w:hAnsi="Times New Roman" w:cs="Times New Roman"/>
                <w:noProof/>
                <w:webHidden/>
                <w:sz w:val="24"/>
                <w:szCs w:val="24"/>
              </w:rPr>
              <w:fldChar w:fldCharType="end"/>
            </w:r>
          </w:hyperlink>
        </w:p>
        <w:p w14:paraId="23E5C0F1" w14:textId="094D4291"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38" w:history="1">
            <w:r w:rsidRPr="00FD6C6A">
              <w:rPr>
                <w:rStyle w:val="Hyperlink"/>
                <w:rFonts w:ascii="Times New Roman" w:hAnsi="Times New Roman" w:cs="Times New Roman"/>
                <w:noProof/>
                <w:sz w:val="24"/>
                <w:szCs w:val="24"/>
              </w:rPr>
              <w:t>Business Description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_Toc109513338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3</w:t>
            </w:r>
            <w:r w:rsidRPr="00FD6C6A">
              <w:rPr>
                <w:rFonts w:ascii="Times New Roman" w:hAnsi="Times New Roman" w:cs="Times New Roman"/>
                <w:noProof/>
                <w:webHidden/>
                <w:sz w:val="24"/>
                <w:szCs w:val="24"/>
              </w:rPr>
              <w:fldChar w:fldCharType="end"/>
            </w:r>
          </w:hyperlink>
        </w:p>
        <w:p w14:paraId="4027A016" w14:textId="69A07135"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39" w:history="1">
            <w:r w:rsidRPr="00FD6C6A">
              <w:rPr>
                <w:rStyle w:val="Hyperlink"/>
                <w:rFonts w:ascii="Times New Roman" w:hAnsi="Times New Roman" w:cs="Times New Roman"/>
                <w:noProof/>
                <w:sz w:val="24"/>
                <w:szCs w:val="24"/>
              </w:rPr>
              <w:t>Industry Analysis</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_Toc109513339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4</w:t>
            </w:r>
            <w:r w:rsidRPr="00FD6C6A">
              <w:rPr>
                <w:rFonts w:ascii="Times New Roman" w:hAnsi="Times New Roman" w:cs="Times New Roman"/>
                <w:noProof/>
                <w:webHidden/>
                <w:sz w:val="24"/>
                <w:szCs w:val="24"/>
              </w:rPr>
              <w:fldChar w:fldCharType="end"/>
            </w:r>
          </w:hyperlink>
        </w:p>
        <w:p w14:paraId="4B355138" w14:textId="2E8BAFB5"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40" w:history="1">
            <w:r w:rsidRPr="00FD6C6A">
              <w:rPr>
                <w:rStyle w:val="Hyperlink"/>
                <w:rFonts w:ascii="Times New Roman" w:hAnsi="Times New Roman" w:cs="Times New Roman"/>
                <w:noProof/>
                <w:sz w:val="24"/>
                <w:szCs w:val="24"/>
              </w:rPr>
              <w:t>Operations and Management Plan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_Toc109513340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6</w:t>
            </w:r>
            <w:r w:rsidRPr="00FD6C6A">
              <w:rPr>
                <w:rFonts w:ascii="Times New Roman" w:hAnsi="Times New Roman" w:cs="Times New Roman"/>
                <w:noProof/>
                <w:webHidden/>
                <w:sz w:val="24"/>
                <w:szCs w:val="24"/>
              </w:rPr>
              <w:fldChar w:fldCharType="end"/>
            </w:r>
          </w:hyperlink>
        </w:p>
        <w:p w14:paraId="5779BA64" w14:textId="46850314"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41" w:history="1">
            <w:r w:rsidRPr="00FD6C6A">
              <w:rPr>
                <w:rStyle w:val="Hyperlink"/>
                <w:rFonts w:ascii="Times New Roman" w:hAnsi="Times New Roman" w:cs="Times New Roman"/>
                <w:noProof/>
                <w:sz w:val="24"/>
                <w:szCs w:val="24"/>
              </w:rPr>
              <w:t>Marketing Plan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_Toc109513341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10</w:t>
            </w:r>
            <w:r w:rsidRPr="00FD6C6A">
              <w:rPr>
                <w:rFonts w:ascii="Times New Roman" w:hAnsi="Times New Roman" w:cs="Times New Roman"/>
                <w:noProof/>
                <w:webHidden/>
                <w:sz w:val="24"/>
                <w:szCs w:val="24"/>
              </w:rPr>
              <w:fldChar w:fldCharType="end"/>
            </w:r>
          </w:hyperlink>
        </w:p>
        <w:p w14:paraId="73F0817D" w14:textId="32374A7A"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42" w:history="1">
            <w:r w:rsidRPr="00FD6C6A">
              <w:rPr>
                <w:rStyle w:val="Hyperlink"/>
                <w:rFonts w:ascii="Times New Roman" w:hAnsi="Times New Roman" w:cs="Times New Roman"/>
                <w:noProof/>
                <w:sz w:val="24"/>
                <w:szCs w:val="24"/>
              </w:rPr>
              <w:t>Financial Plan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_Toc109513342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11</w:t>
            </w:r>
            <w:r w:rsidRPr="00FD6C6A">
              <w:rPr>
                <w:rFonts w:ascii="Times New Roman" w:hAnsi="Times New Roman" w:cs="Times New Roman"/>
                <w:noProof/>
                <w:webHidden/>
                <w:sz w:val="24"/>
                <w:szCs w:val="24"/>
              </w:rPr>
              <w:fldChar w:fldCharType="end"/>
            </w:r>
          </w:hyperlink>
        </w:p>
        <w:p w14:paraId="6CA49F94" w14:textId="0EC7DF7A"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43" w:history="1">
            <w:r w:rsidRPr="00FD6C6A">
              <w:rPr>
                <w:rStyle w:val="Hyperlink"/>
                <w:rFonts w:ascii="Times New Roman" w:hAnsi="Times New Roman" w:cs="Times New Roman"/>
                <w:noProof/>
                <w:sz w:val="24"/>
                <w:szCs w:val="24"/>
              </w:rPr>
              <w:t>Market Research</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_Toc109513343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12</w:t>
            </w:r>
            <w:r w:rsidRPr="00FD6C6A">
              <w:rPr>
                <w:rFonts w:ascii="Times New Roman" w:hAnsi="Times New Roman" w:cs="Times New Roman"/>
                <w:noProof/>
                <w:webHidden/>
                <w:sz w:val="24"/>
                <w:szCs w:val="24"/>
              </w:rPr>
              <w:fldChar w:fldCharType="end"/>
            </w:r>
          </w:hyperlink>
        </w:p>
        <w:p w14:paraId="028AE4AF" w14:textId="7613291A" w:rsidR="00FD6C6A" w:rsidRPr="00FD6C6A" w:rsidRDefault="00000000" w:rsidP="00FD6C6A">
          <w:pPr>
            <w:pStyle w:val="TOC1"/>
            <w:tabs>
              <w:tab w:val="right" w:leader="dot" w:pos="9350"/>
            </w:tabs>
            <w:spacing w:line="360" w:lineRule="auto"/>
            <w:jc w:val="both"/>
            <w:rPr>
              <w:rFonts w:ascii="Times New Roman" w:hAnsi="Times New Roman" w:cs="Times New Roman"/>
              <w:noProof/>
              <w:sz w:val="24"/>
              <w:szCs w:val="24"/>
            </w:rPr>
          </w:pPr>
          <w:hyperlink w:anchor="_Toc109513344" w:history="1">
            <w:r w:rsidRPr="00FD6C6A">
              <w:rPr>
                <w:rStyle w:val="Hyperlink"/>
                <w:rFonts w:ascii="Times New Roman" w:hAnsi="Times New Roman" w:cs="Times New Roman"/>
                <w:noProof/>
                <w:sz w:val="24"/>
                <w:szCs w:val="24"/>
              </w:rPr>
              <w:t>Conclusion</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_Toc109513344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12</w:t>
            </w:r>
            <w:r w:rsidRPr="00FD6C6A">
              <w:rPr>
                <w:rFonts w:ascii="Times New Roman" w:hAnsi="Times New Roman" w:cs="Times New Roman"/>
                <w:noProof/>
                <w:webHidden/>
                <w:sz w:val="24"/>
                <w:szCs w:val="24"/>
              </w:rPr>
              <w:fldChar w:fldCharType="end"/>
            </w:r>
          </w:hyperlink>
        </w:p>
        <w:p w14:paraId="2573C10D" w14:textId="57919C78" w:rsidR="00FD6C6A" w:rsidRDefault="00000000" w:rsidP="00FD6C6A">
          <w:pPr>
            <w:pStyle w:val="TOC1"/>
            <w:tabs>
              <w:tab w:val="right" w:leader="dot" w:pos="9350"/>
            </w:tabs>
            <w:spacing w:line="360" w:lineRule="auto"/>
            <w:jc w:val="both"/>
            <w:rPr>
              <w:noProof/>
            </w:rPr>
          </w:pPr>
          <w:hyperlink w:anchor="_Toc109513345" w:history="1">
            <w:r w:rsidRPr="00FD6C6A">
              <w:rPr>
                <w:rStyle w:val="Hyperlink"/>
                <w:rFonts w:ascii="Times New Roman" w:hAnsi="Times New Roman" w:cs="Times New Roman"/>
                <w:noProof/>
                <w:sz w:val="24"/>
                <w:szCs w:val="24"/>
                <w:lang w:val="en-US"/>
              </w:rPr>
              <w:t>References</w:t>
            </w:r>
            <w:r w:rsidRPr="00FD6C6A">
              <w:rPr>
                <w:rFonts w:ascii="Times New Roman" w:hAnsi="Times New Roman" w:cs="Times New Roman"/>
                <w:noProof/>
                <w:webHidden/>
                <w:sz w:val="24"/>
                <w:szCs w:val="24"/>
              </w:rPr>
              <w:tab/>
            </w:r>
            <w:r w:rsidRPr="00FD6C6A">
              <w:rPr>
                <w:rFonts w:ascii="Times New Roman" w:hAnsi="Times New Roman" w:cs="Times New Roman"/>
                <w:noProof/>
                <w:webHidden/>
                <w:sz w:val="24"/>
                <w:szCs w:val="24"/>
              </w:rPr>
              <w:fldChar w:fldCharType="begin"/>
            </w:r>
            <w:r w:rsidRPr="00FD6C6A">
              <w:rPr>
                <w:rFonts w:ascii="Times New Roman" w:hAnsi="Times New Roman" w:cs="Times New Roman"/>
                <w:noProof/>
                <w:webHidden/>
                <w:sz w:val="24"/>
                <w:szCs w:val="24"/>
              </w:rPr>
              <w:instrText xml:space="preserve"> PAGEREF _Toc109513345 \h </w:instrText>
            </w:r>
            <w:r w:rsidRPr="00FD6C6A">
              <w:rPr>
                <w:rFonts w:ascii="Times New Roman" w:hAnsi="Times New Roman" w:cs="Times New Roman"/>
                <w:noProof/>
                <w:webHidden/>
                <w:sz w:val="24"/>
                <w:szCs w:val="24"/>
              </w:rPr>
            </w:r>
            <w:r w:rsidRPr="00FD6C6A">
              <w:rPr>
                <w:rFonts w:ascii="Times New Roman" w:hAnsi="Times New Roman" w:cs="Times New Roman"/>
                <w:noProof/>
                <w:webHidden/>
                <w:sz w:val="24"/>
                <w:szCs w:val="24"/>
              </w:rPr>
              <w:fldChar w:fldCharType="separate"/>
            </w:r>
            <w:r w:rsidR="00AE6328">
              <w:rPr>
                <w:rFonts w:ascii="Times New Roman" w:hAnsi="Times New Roman" w:cs="Times New Roman"/>
                <w:noProof/>
                <w:webHidden/>
                <w:sz w:val="24"/>
                <w:szCs w:val="24"/>
              </w:rPr>
              <w:t>14</w:t>
            </w:r>
            <w:r w:rsidRPr="00FD6C6A">
              <w:rPr>
                <w:rFonts w:ascii="Times New Roman" w:hAnsi="Times New Roman" w:cs="Times New Roman"/>
                <w:noProof/>
                <w:webHidden/>
                <w:sz w:val="24"/>
                <w:szCs w:val="24"/>
              </w:rPr>
              <w:fldChar w:fldCharType="end"/>
            </w:r>
          </w:hyperlink>
        </w:p>
        <w:p w14:paraId="64C1E165" w14:textId="40A66E78" w:rsidR="00FD6C6A" w:rsidRDefault="00000000">
          <w:r>
            <w:rPr>
              <w:b/>
              <w:bCs/>
              <w:noProof/>
            </w:rPr>
            <w:fldChar w:fldCharType="end"/>
          </w:r>
        </w:p>
      </w:sdtContent>
    </w:sdt>
    <w:p w14:paraId="7CF0D015" w14:textId="77777777" w:rsidR="005821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br w:type="page"/>
      </w:r>
    </w:p>
    <w:p w14:paraId="3D6BA127" w14:textId="77777777" w:rsidR="005821A6" w:rsidRDefault="00000000" w:rsidP="00B73E7A">
      <w:pPr>
        <w:pStyle w:val="Heading1"/>
      </w:pPr>
      <w:bookmarkStart w:id="0" w:name="_Toc109513337"/>
      <w:r>
        <w:lastRenderedPageBreak/>
        <w:t>Introduction</w:t>
      </w:r>
      <w:bookmarkEnd w:id="0"/>
    </w:p>
    <w:p w14:paraId="06C27831" w14:textId="6D89A572" w:rsidR="00D57FEE" w:rsidRDefault="00D57FE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Usability of macro and micro economy analysis has been elaborated in this report to analyse and enhance the understanding level behind the business establishment chances and prospects in the scenario of the UK. With reference to trends and operations management, the researcher has understood the intersectionality behind collaborative functioning in business processes. The overall planning and projection done as per the ideal of this business is the main concern behind establishment of proper concepts of revenue stream and income functions. Lastly, planned financing as the main outcome behind entrepreneurship has been fluently reiterated in this report to state the validation behind execution of product projection through management.</w:t>
      </w:r>
    </w:p>
    <w:p w14:paraId="651221D1" w14:textId="5A584100"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report is all about development of a business plan. The name of the plan is "Health and Harmony Inc.". Here, prime focus would include business and legal considerations of the functional schemas followed by business appropriate positioning within the industry structure. Thereafter, a vivid discussion on product functional schema through discussion of the revenue stream. Organisational structure would be mentioned with an elaboration upon structural strategic contribution behind the project aforementioned. Lastly, this report would focus on a budgetary analysis of the project finances that would enhance functional capacity on the overall wider market structure of the product offered here.  </w:t>
      </w:r>
    </w:p>
    <w:p w14:paraId="03A8482A" w14:textId="77777777" w:rsidR="005821A6" w:rsidRDefault="00000000" w:rsidP="00B73E7A">
      <w:pPr>
        <w:pStyle w:val="Heading1"/>
      </w:pPr>
      <w:bookmarkStart w:id="1" w:name="_Toc109513338"/>
      <w:r>
        <w:t>Business Description</w:t>
      </w:r>
      <w:bookmarkEnd w:id="1"/>
    </w:p>
    <w:p w14:paraId="69E522AF" w14:textId="77777777" w:rsidR="005821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The business name is "Health and Harmony Inc.". Products to offer include an "AI-based cycle" and a relaxing AI-oriented Swivel Chair. The cycle would be operated through solar and kinetic energy to provide backup for quick destination routing for users. Secondly, a "Swivel relax easy chair" that is also AI-driven to enhance relaxation structure to people sitting in it in the midst or after day work for periodic relaxation. The business is focused on the UK customer market. Here, target population for the cycle is age group between 17 to 49 years of unisex population (Gov.uk, 2021). For the relaxing chair, age group is between 15 to 75 years unisex population. The cycle and chair this business has to offer would also be made of recycled materials to ensure minimal to no "greenhouse gas emission" in UK using a "closed loop supply chain" (Alarcón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 frame of the cycle can be made of plastic and wood structures (District, 2019). The mission statement is to provide health and wellness to all age groups in the UK irrespective of age. The </w:t>
      </w:r>
      <w:r>
        <w:rPr>
          <w:rFonts w:ascii="Times New Roman" w:eastAsia="Times New Roman" w:hAnsi="Times New Roman" w:cs="Times New Roman"/>
          <w:sz w:val="24"/>
          <w:szCs w:val="24"/>
        </w:rPr>
        <w:lastRenderedPageBreak/>
        <w:t xml:space="preserve">business would have property consideration based on "UK enterprise act" along with CMA authority regarding investments (Lopes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The patient's tenure needs to be renewed every 20 years. As opined by Newman (2022), This business would function under general partnership along with personal liability to corporate taxes and insurance concerns. Price of the cycle is settled as 500 GBP, and the chair is priced at 1000 GBP.         </w:t>
      </w:r>
      <w:r>
        <w:rPr>
          <w:rFonts w:ascii="Times New Roman" w:eastAsia="Times New Roman" w:hAnsi="Times New Roman" w:cs="Times New Roman"/>
          <w:b/>
          <w:sz w:val="24"/>
          <w:szCs w:val="24"/>
        </w:rPr>
        <w:t xml:space="preserve"> </w:t>
      </w:r>
    </w:p>
    <w:p w14:paraId="167092F5" w14:textId="77777777" w:rsidR="005821A6" w:rsidRDefault="00000000" w:rsidP="00B73E7A">
      <w:pPr>
        <w:pStyle w:val="Heading1"/>
      </w:pPr>
      <w:bookmarkStart w:id="2" w:name="_Toc109513339"/>
      <w:r>
        <w:t>Industry Analysis</w:t>
      </w:r>
      <w:bookmarkEnd w:id="2"/>
    </w:p>
    <w:p w14:paraId="77C26C62" w14:textId="77777777" w:rsidR="005821A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Threat of New Entrants</w:t>
      </w:r>
    </w:p>
    <w:p w14:paraId="78C4F252"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No threat. Although there is the context of solar panel powered bicycles, New entry in this business plan is still not registered in UK business scenario (Toll, 2018). A bicycle and a chair powered by AI through solar cell to ensure customer satisfaction that too at considerable cheap pricing automatically places no threat chances to the business. However, for the chair AI and IoT functions that have been discussed during research, no company has utilised previous functions to introduce their products at such fewer prices as mentioned above (Miyachi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Therefore, it is evident that facilitating two wellness products would place a new business trend in the UK. </w:t>
      </w:r>
    </w:p>
    <w:p w14:paraId="36912468" w14:textId="77777777" w:rsidR="005821A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Supplier Bargaining Power</w:t>
      </w:r>
    </w:p>
    <w:p w14:paraId="792E83EB"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High. The utilisation of AI in UK is adopted by more than four lakh business setups (Gov.uk, 2022). It is also seen that 13 big organisational functions in the UK have planned to systematically implement AI mechanisms in their end products and services.</w:t>
      </w:r>
    </w:p>
    <w:p w14:paraId="0887BBEC"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8651DEC" wp14:editId="0A39D2C9">
            <wp:extent cx="5943600" cy="393700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1" name="image4.png"/>
                    <pic:cNvPicPr/>
                  </pic:nvPicPr>
                  <pic:blipFill>
                    <a:blip r:embed="rId7"/>
                    <a:stretch>
                      <a:fillRect/>
                    </a:stretch>
                  </pic:blipFill>
                  <pic:spPr>
                    <a:xfrm>
                      <a:off x="0" y="0"/>
                      <a:ext cx="5943600" cy="3937000"/>
                    </a:xfrm>
                    <a:prstGeom prst="rect">
                      <a:avLst/>
                    </a:prstGeom>
                    <a:ln w="25400">
                      <a:solidFill>
                        <a:srgbClr val="000000"/>
                      </a:solidFill>
                      <a:prstDash val="solid"/>
                    </a:ln>
                  </pic:spPr>
                </pic:pic>
              </a:graphicData>
            </a:graphic>
          </wp:inline>
        </w:drawing>
      </w:r>
    </w:p>
    <w:p w14:paraId="5A40EF6D"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Utilisation measurement of AI in UK landscape</w:t>
      </w:r>
    </w:p>
    <w:p w14:paraId="082E0643"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Gov.uk, 2022)</w:t>
      </w:r>
    </w:p>
    <w:p w14:paraId="68B2EDC3" w14:textId="77777777" w:rsidR="005821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addition, the need for solar power in UK scenario has also witnessed a 36% increase in 2021 when compared with 2020 (Solarfeeds.com, 2022). Solar cell energy utilisation in the UK has been predicted to enlist over 5% CAGR contribution on the business scale.  </w:t>
      </w:r>
      <w:r>
        <w:rPr>
          <w:rFonts w:ascii="Times New Roman" w:eastAsia="Times New Roman" w:hAnsi="Times New Roman" w:cs="Times New Roman"/>
          <w:b/>
          <w:sz w:val="24"/>
          <w:szCs w:val="24"/>
        </w:rPr>
        <w:t xml:space="preserve"> </w:t>
      </w:r>
    </w:p>
    <w:p w14:paraId="33583F3C" w14:textId="77777777" w:rsidR="005821A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Internal Rivalry</w:t>
      </w:r>
    </w:p>
    <w:p w14:paraId="5B7EC221"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Nill. Although there are competitors in the UK market manufacturing bicycles or easy chairs, the business "Health and Harmony Inc." like a business presentation based on AI in devices, the count of AI and IoT functions might be a normalised approach in health and wellness-oriented devices across UK and the globe. As opined by Özdemir (2019), Intel has already presumed to incorporate more than 200 billion artificially powered devices in 2020. </w:t>
      </w:r>
    </w:p>
    <w:p w14:paraId="28EA43F5" w14:textId="77777777" w:rsidR="005821A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Threat to Substitutes</w:t>
      </w:r>
    </w:p>
    <w:p w14:paraId="3E3DCAEC"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Nill. The effect of substitution would not </w:t>
      </w:r>
      <w:r w:rsidR="00B73E7A">
        <w:rPr>
          <w:rFonts w:ascii="Times New Roman" w:eastAsia="Times New Roman" w:hAnsi="Times New Roman" w:cs="Times New Roman"/>
          <w:sz w:val="24"/>
          <w:szCs w:val="24"/>
        </w:rPr>
        <w:t>affect</w:t>
      </w:r>
      <w:r>
        <w:rPr>
          <w:rFonts w:ascii="Times New Roman" w:eastAsia="Times New Roman" w:hAnsi="Times New Roman" w:cs="Times New Roman"/>
          <w:sz w:val="24"/>
          <w:szCs w:val="24"/>
        </w:rPr>
        <w:t xml:space="preserve"> this business at present. As opined by Keller (2021), the design "Eames Lounge Chair" is the best-suited design that can be provided to the AI powered easy chair for elderly population. Here, the design similarity doesn't provide an immediate </w:t>
      </w:r>
      <w:r>
        <w:rPr>
          <w:rFonts w:ascii="Times New Roman" w:eastAsia="Times New Roman" w:hAnsi="Times New Roman" w:cs="Times New Roman"/>
          <w:sz w:val="24"/>
          <w:szCs w:val="24"/>
        </w:rPr>
        <w:lastRenderedPageBreak/>
        <w:t xml:space="preserve">substitution effect for other brands due to lack of affordable design and product. A similar concern applies to the cycle also.  </w:t>
      </w:r>
    </w:p>
    <w:p w14:paraId="639E8D0F" w14:textId="77777777" w:rsidR="005821A6" w:rsidRDefault="00000000">
      <w:pPr>
        <w:spacing w:line="36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Customer Bargaining Power</w:t>
      </w:r>
    </w:p>
    <w:p w14:paraId="549663AC"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75819A5" wp14:editId="39DCCAB9">
            <wp:extent cx="5943600" cy="3213100"/>
            <wp:effectExtent l="25400" t="25400" r="25400" b="254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8"/>
                    <a:stretch>
                      <a:fillRect/>
                    </a:stretch>
                  </pic:blipFill>
                  <pic:spPr>
                    <a:xfrm>
                      <a:off x="0" y="0"/>
                      <a:ext cx="5943600" cy="3213100"/>
                    </a:xfrm>
                    <a:prstGeom prst="rect">
                      <a:avLst/>
                    </a:prstGeom>
                    <a:ln w="25400">
                      <a:solidFill>
                        <a:srgbClr val="000000"/>
                      </a:solidFill>
                      <a:prstDash val="solid"/>
                    </a:ln>
                  </pic:spPr>
                </pic:pic>
              </a:graphicData>
            </a:graphic>
          </wp:inline>
        </w:drawing>
      </w:r>
    </w:p>
    <w:p w14:paraId="287A948E"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Fitness projection in Europe</w:t>
      </w:r>
    </w:p>
    <w:p w14:paraId="01A1C19D"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Jones, 2018) </w:t>
      </w:r>
    </w:p>
    <w:p w14:paraId="358D5617"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Nill. Here, the entire UK market would directly opt for the proposed product. Bicycle affordability in UK is ranked at 42% with 1.4 billion GBP yearly spending (Johnson, 2021). Similarly, 2.5 million people in UK have reported of constant back pain (Medserena, 2018). As opined by Campbell (2021), 57% population index has reflected negative results Concerning sleeping trouble in the UK. Therefore, a positive position is expected for this business in UK.  </w:t>
      </w:r>
    </w:p>
    <w:p w14:paraId="0A2C70B9" w14:textId="77777777" w:rsidR="005821A6" w:rsidRDefault="00000000" w:rsidP="00D021D3">
      <w:pPr>
        <w:pStyle w:val="Heading1"/>
      </w:pPr>
      <w:bookmarkStart w:id="3" w:name="_Toc109513340"/>
      <w:r>
        <w:t>Operations and Management Plan</w:t>
      </w:r>
      <w:bookmarkEnd w:id="3"/>
    </w:p>
    <w:p w14:paraId="65ED2945"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Pr>
          <w:rFonts w:ascii="Times New Roman" w:eastAsia="Times New Roman" w:hAnsi="Times New Roman" w:cs="Times New Roman"/>
          <w:i/>
          <w:sz w:val="24"/>
          <w:szCs w:val="24"/>
        </w:rPr>
        <w:t>revenue stream</w:t>
      </w:r>
      <w:r>
        <w:rPr>
          <w:rFonts w:ascii="Times New Roman" w:eastAsia="Times New Roman" w:hAnsi="Times New Roman" w:cs="Times New Roman"/>
          <w:sz w:val="24"/>
          <w:szCs w:val="24"/>
        </w:rPr>
        <w:t xml:space="preserve"> considering this business of AI based solar cell oriented Easy chairs and cycle in the UK would be operational in two main ways concerning "Subscription based Lease" and "Direct asset sell" (Curley, 2021). Here, it can be said that the business model would focus both on rental function through monthly, quarterly, half yearly and annual or direct sales for the cycles. While, for the easy chair, rental service would not be accepted.</w:t>
      </w:r>
    </w:p>
    <w:p w14:paraId="56552185"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6659F7BE" wp14:editId="24821A61">
            <wp:extent cx="5943600" cy="4610100"/>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9"/>
                    <a:stretch>
                      <a:fillRect/>
                    </a:stretch>
                  </pic:blipFill>
                  <pic:spPr>
                    <a:xfrm>
                      <a:off x="0" y="0"/>
                      <a:ext cx="5943600" cy="4610100"/>
                    </a:xfrm>
                    <a:prstGeom prst="rect">
                      <a:avLst/>
                    </a:prstGeom>
                    <a:ln w="25400">
                      <a:solidFill>
                        <a:srgbClr val="000000"/>
                      </a:solidFill>
                      <a:prstDash val="solid"/>
                    </a:ln>
                  </pic:spPr>
                </pic:pic>
              </a:graphicData>
            </a:graphic>
          </wp:inline>
        </w:drawing>
      </w:r>
    </w:p>
    <w:p w14:paraId="1AF3C2E9"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Projected Revenue Stream of Health and Harmony Inc.</w:t>
      </w:r>
    </w:p>
    <w:p w14:paraId="14892516"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6C60788F"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already clear from this projection placed above in Figure 3 that sales and presentation of the business through </w:t>
      </w:r>
      <w:r w:rsidR="00D021D3">
        <w:rPr>
          <w:rFonts w:ascii="Times New Roman" w:eastAsia="Times New Roman" w:hAnsi="Times New Roman" w:cs="Times New Roman"/>
          <w:sz w:val="24"/>
          <w:szCs w:val="24"/>
        </w:rPr>
        <w:t>subscription-based</w:t>
      </w:r>
      <w:r>
        <w:rPr>
          <w:rFonts w:ascii="Times New Roman" w:eastAsia="Times New Roman" w:hAnsi="Times New Roman" w:cs="Times New Roman"/>
          <w:sz w:val="24"/>
          <w:szCs w:val="24"/>
        </w:rPr>
        <w:t xml:space="preserve"> marketing would be the chosen business process of the company. Already, it has been established that the type of innovation under business outcome that the company has planned to operate in the UK is like a showcasing that usually happens to product prototypes. Thereafter, the pricing of the products </w:t>
      </w:r>
      <w:r w:rsidR="000D22D1">
        <w:rPr>
          <w:rFonts w:ascii="Times New Roman" w:eastAsia="Times New Roman" w:hAnsi="Times New Roman" w:cs="Times New Roman"/>
          <w:sz w:val="24"/>
          <w:szCs w:val="24"/>
        </w:rPr>
        <w:t>is</w:t>
      </w:r>
      <w:r>
        <w:rPr>
          <w:rFonts w:ascii="Times New Roman" w:eastAsia="Times New Roman" w:hAnsi="Times New Roman" w:cs="Times New Roman"/>
          <w:sz w:val="24"/>
          <w:szCs w:val="24"/>
        </w:rPr>
        <w:t xml:space="preserve"> also less. As opined by Fontanella (2022), a constant economy flow through </w:t>
      </w:r>
      <w:r w:rsidR="006514CD">
        <w:rPr>
          <w:rFonts w:ascii="Times New Roman" w:eastAsia="Times New Roman" w:hAnsi="Times New Roman" w:cs="Times New Roman"/>
          <w:sz w:val="24"/>
          <w:szCs w:val="24"/>
        </w:rPr>
        <w:t>subscription-based</w:t>
      </w:r>
      <w:r>
        <w:rPr>
          <w:rFonts w:ascii="Times New Roman" w:eastAsia="Times New Roman" w:hAnsi="Times New Roman" w:cs="Times New Roman"/>
          <w:sz w:val="24"/>
          <w:szCs w:val="24"/>
        </w:rPr>
        <w:t xml:space="preserve"> revenue generation would be helpful for the business to gather occupational and operational income. Inventory holds maximum concern in this business as already stated about usage of refurbished and recycled products in the production and manufacturing of the chairs and cycles. Hence, considering the “</w:t>
      </w:r>
      <w:r w:rsidR="006514CD">
        <w:rPr>
          <w:rFonts w:ascii="Times New Roman" w:eastAsia="Times New Roman" w:hAnsi="Times New Roman" w:cs="Times New Roman"/>
          <w:sz w:val="24"/>
          <w:szCs w:val="24"/>
        </w:rPr>
        <w:t>subscription-based</w:t>
      </w:r>
      <w:r>
        <w:rPr>
          <w:rFonts w:ascii="Times New Roman" w:eastAsia="Times New Roman" w:hAnsi="Times New Roman" w:cs="Times New Roman"/>
          <w:sz w:val="24"/>
          <w:szCs w:val="24"/>
        </w:rPr>
        <w:t xml:space="preserve"> model”, it can be said that “predictive warehouse management” through estimation of operational status is a positive function to ensure functional profits for the business. </w:t>
      </w:r>
    </w:p>
    <w:p w14:paraId="4BFDEF4C"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E3AB35C" wp14:editId="1CFFAC23">
            <wp:extent cx="5943600" cy="3060700"/>
            <wp:effectExtent l="25400" t="25400" r="25400" b="254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10"/>
                    <a:stretch>
                      <a:fillRect/>
                    </a:stretch>
                  </pic:blipFill>
                  <pic:spPr>
                    <a:xfrm>
                      <a:off x="0" y="0"/>
                      <a:ext cx="5943600" cy="3060700"/>
                    </a:xfrm>
                    <a:prstGeom prst="rect">
                      <a:avLst/>
                    </a:prstGeom>
                    <a:ln w="25400">
                      <a:solidFill>
                        <a:srgbClr val="000000"/>
                      </a:solidFill>
                      <a:prstDash val="solid"/>
                    </a:ln>
                  </pic:spPr>
                </pic:pic>
              </a:graphicData>
            </a:graphic>
          </wp:inline>
        </w:drawing>
      </w:r>
    </w:p>
    <w:p w14:paraId="67D21F6F"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Functional axis of subscription process of business</w:t>
      </w:r>
    </w:p>
    <w:p w14:paraId="030CC397"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Fontanella, 2022)</w:t>
      </w:r>
    </w:p>
    <w:p w14:paraId="1BB8184D"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Here, the organisational structure of the business is placed through a hierarchical structure diagram below</w:t>
      </w:r>
    </w:p>
    <w:p w14:paraId="00890E68"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177B7AC8" wp14:editId="772209BE">
            <wp:extent cx="4367213" cy="5505450"/>
            <wp:effectExtent l="25400" t="25400" r="25400" b="25400"/>
            <wp:docPr id="3" name="image5.png"/>
            <wp:cNvGraphicFramePr/>
            <a:graphic xmlns:a="http://schemas.openxmlformats.org/drawingml/2006/main">
              <a:graphicData uri="http://schemas.openxmlformats.org/drawingml/2006/picture">
                <pic:pic xmlns:pic="http://schemas.openxmlformats.org/drawingml/2006/picture">
                  <pic:nvPicPr>
                    <pic:cNvPr id="3" name="image5.png"/>
                    <pic:cNvPicPr/>
                  </pic:nvPicPr>
                  <pic:blipFill>
                    <a:blip r:embed="rId11"/>
                    <a:stretch>
                      <a:fillRect/>
                    </a:stretch>
                  </pic:blipFill>
                  <pic:spPr>
                    <a:xfrm>
                      <a:off x="0" y="0"/>
                      <a:ext cx="4367213" cy="5505450"/>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24FA5A63"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Figure 5: Hierarchical structure of management team</w:t>
      </w:r>
    </w:p>
    <w:p w14:paraId="336A610F"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131A3A4E"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business is headed by a founder to establish the idea within UK. Thereafter, the business would be controlled by a managing director to ensure benefit and loss management through daily inspection (Editorial Team, 2022). Thereafter, the managing director is responsible to note the operations of management with additional directorial board setup. Under this structure, accounts, marketing operations and HR function. Hence, proper supervision of sales, marketing, manufacturing, advertisement and </w:t>
      </w:r>
      <w:r w:rsidR="009F0CBB">
        <w:rPr>
          <w:rFonts w:ascii="Times New Roman" w:eastAsia="Times New Roman" w:hAnsi="Times New Roman" w:cs="Times New Roman"/>
          <w:sz w:val="24"/>
          <w:szCs w:val="24"/>
        </w:rPr>
        <w:t>time-based</w:t>
      </w:r>
      <w:r>
        <w:rPr>
          <w:rFonts w:ascii="Times New Roman" w:eastAsia="Times New Roman" w:hAnsi="Times New Roman" w:cs="Times New Roman"/>
          <w:sz w:val="24"/>
          <w:szCs w:val="24"/>
        </w:rPr>
        <w:t xml:space="preserve"> subscriptions would also be running in this above chosen structure. It can be said that the uniqueness of hierarchical contribution in this business lies on 3 final levels of supervision, feedback and selling functions on permanent and </w:t>
      </w:r>
      <w:r w:rsidR="000D0F24">
        <w:rPr>
          <w:rFonts w:ascii="Times New Roman" w:eastAsia="Times New Roman" w:hAnsi="Times New Roman" w:cs="Times New Roman"/>
          <w:sz w:val="24"/>
          <w:szCs w:val="24"/>
        </w:rPr>
        <w:t>advertisement-</w:t>
      </w:r>
      <w:r w:rsidR="000D0F24">
        <w:rPr>
          <w:rFonts w:ascii="Times New Roman" w:eastAsia="Times New Roman" w:hAnsi="Times New Roman" w:cs="Times New Roman"/>
          <w:sz w:val="24"/>
          <w:szCs w:val="24"/>
        </w:rPr>
        <w:lastRenderedPageBreak/>
        <w:t>based</w:t>
      </w:r>
      <w:r>
        <w:rPr>
          <w:rFonts w:ascii="Times New Roman" w:eastAsia="Times New Roman" w:hAnsi="Times New Roman" w:cs="Times New Roman"/>
          <w:sz w:val="24"/>
          <w:szCs w:val="24"/>
        </w:rPr>
        <w:t xml:space="preserve"> levels of ensured trust and functional loyalty.  Here, profiling includes distribution, stakeholder management in local and regional levels. Accounts and marketing department is liable for business expansion, operations department is liable for accountability in daily operations and management of stocks and inventories. As opined by Gordon (2022), the formation of above hierarchical structure is found relevant because of the six major functional profiling as is stated in Figure 5. </w:t>
      </w:r>
    </w:p>
    <w:p w14:paraId="703B86DB"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best suited legal structure is general partnership (Pathwaylending.org, 2022). Under this proper formulation about business processes, actions and strategic measurements would help the organisation. Here, the distribution of concerns along with the management would also be simple because of dealing with Artificial intelligence, recycled materials and solar power. These three concerns are very popular in the UK context. The other options are Sole Partnership, Limited liability concerns and corporations. These three structures are either too short or are risky because of no cover plan because of liability risks within the business structure. According to Showers (2022), by accepting the legal terminology of general partnership over others, the “Health and Harmony Inc.” would gain quick status within the market with the help of special trade benefits and leading help from search functions as well.    </w:t>
      </w:r>
    </w:p>
    <w:p w14:paraId="36B170D0" w14:textId="77777777" w:rsidR="005821A6" w:rsidRDefault="00000000" w:rsidP="000D40B9">
      <w:pPr>
        <w:pStyle w:val="Heading1"/>
      </w:pPr>
      <w:bookmarkStart w:id="4" w:name="_Toc109513341"/>
      <w:r>
        <w:t>Marketing Plan</w:t>
      </w:r>
      <w:bookmarkEnd w:id="4"/>
    </w:p>
    <w:p w14:paraId="5041B759"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Product</w:t>
      </w:r>
      <w:r>
        <w:rPr>
          <w:rFonts w:ascii="Times New Roman" w:eastAsia="Times New Roman" w:hAnsi="Times New Roman" w:cs="Times New Roman"/>
          <w:sz w:val="24"/>
          <w:szCs w:val="24"/>
        </w:rPr>
        <w:t xml:space="preserve">: Here, the product is to manufacture a cycle using recycled materials operated through AI control, kinetic force and solar cells. In </w:t>
      </w:r>
      <w:r w:rsidR="000D40B9">
        <w:rPr>
          <w:rFonts w:ascii="Times New Roman" w:eastAsia="Times New Roman" w:hAnsi="Times New Roman" w:cs="Times New Roman"/>
          <w:sz w:val="24"/>
          <w:szCs w:val="24"/>
        </w:rPr>
        <w:t>addition, an</w:t>
      </w:r>
      <w:r>
        <w:rPr>
          <w:rFonts w:ascii="Times New Roman" w:eastAsia="Times New Roman" w:hAnsi="Times New Roman" w:cs="Times New Roman"/>
          <w:sz w:val="24"/>
          <w:szCs w:val="24"/>
        </w:rPr>
        <w:t xml:space="preserve"> easy chair is also in the list that would be manufactured by recycled materials, using AI controls and using solar cells to power the chair for massage and relaxation. </w:t>
      </w:r>
    </w:p>
    <w:p w14:paraId="0423BEBB"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Price</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cycle is priced at 500 GBP and the massage chair is priced at 1000 GBP. </w:t>
      </w:r>
    </w:p>
    <w:p w14:paraId="6A58C6E6"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Place</w:t>
      </w: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The business concerning these two products would be operated, manufactured and marketed within the UK. Distribution would be </w:t>
      </w:r>
      <w:r w:rsidR="00FF647D">
        <w:rPr>
          <w:rFonts w:ascii="Times New Roman" w:eastAsia="Times New Roman" w:hAnsi="Times New Roman" w:cs="Times New Roman"/>
          <w:sz w:val="24"/>
          <w:szCs w:val="24"/>
        </w:rPr>
        <w:t>inbounded</w:t>
      </w:r>
      <w:r>
        <w:rPr>
          <w:rFonts w:ascii="Times New Roman" w:eastAsia="Times New Roman" w:hAnsi="Times New Roman" w:cs="Times New Roman"/>
          <w:sz w:val="24"/>
          <w:szCs w:val="24"/>
        </w:rPr>
        <w:t xml:space="preserve"> within the country on a regional basis.</w:t>
      </w:r>
    </w:p>
    <w:p w14:paraId="6AD363E2"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Promotion</w:t>
      </w:r>
      <w:r>
        <w:rPr>
          <w:rFonts w:ascii="Times New Roman" w:eastAsia="Times New Roman" w:hAnsi="Times New Roman" w:cs="Times New Roman"/>
          <w:sz w:val="24"/>
          <w:szCs w:val="24"/>
        </w:rPr>
        <w:t xml:space="preserve">: According to Atreya (2020), using online event based promotion and by arranging for rental services as test samples would be the best suited promotional strategy. Through proper distribution of invitations and content based information into the public domain, the percentage of people who are generally into health and wellness would visit the distribution centres of the products. Thereby, through in hand testing and collecting results through direct gamification, the </w:t>
      </w:r>
      <w:r>
        <w:rPr>
          <w:rFonts w:ascii="Times New Roman" w:eastAsia="Times New Roman" w:hAnsi="Times New Roman" w:cs="Times New Roman"/>
          <w:sz w:val="24"/>
          <w:szCs w:val="24"/>
        </w:rPr>
        <w:lastRenderedPageBreak/>
        <w:t xml:space="preserve">feedback section can ensure proper response collection to understand the points of differentiation in between the competitive landscape as per the observed strategies. </w:t>
      </w:r>
    </w:p>
    <w:p w14:paraId="4AABB862" w14:textId="77777777" w:rsidR="005821A6" w:rsidRDefault="00000000" w:rsidP="00B060A9">
      <w:pPr>
        <w:pStyle w:val="Heading1"/>
      </w:pPr>
      <w:bookmarkStart w:id="5" w:name="_Toc109513342"/>
      <w:r>
        <w:t>Financial Plan</w:t>
      </w:r>
      <w:bookmarkEnd w:id="5"/>
    </w:p>
    <w:p w14:paraId="38CD5501"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6FDCBBFA" wp14:editId="02244CB3">
            <wp:extent cx="5943600" cy="3314700"/>
            <wp:effectExtent l="25400" t="25400" r="25400" b="2540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12"/>
                    <a:stretch>
                      <a:fillRect/>
                    </a:stretch>
                  </pic:blipFill>
                  <pic:spPr>
                    <a:xfrm>
                      <a:off x="0" y="0"/>
                      <a:ext cx="5943600" cy="3314700"/>
                    </a:xfrm>
                    <a:prstGeom prst="rect">
                      <a:avLst/>
                    </a:prstGeom>
                    <a:ln w="25400">
                      <a:solidFill>
                        <a:srgbClr val="000000"/>
                      </a:solidFill>
                      <a:prstDash val="solid"/>
                    </a:ln>
                  </pic:spPr>
                </pic:pic>
              </a:graphicData>
            </a:graphic>
          </wp:inline>
        </w:drawing>
      </w:r>
    </w:p>
    <w:p w14:paraId="3842D331" w14:textId="77777777" w:rsidR="005821A6"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6: Cash Budget Preparation</w:t>
      </w:r>
    </w:p>
    <w:p w14:paraId="76ACD1BE" w14:textId="77777777" w:rsidR="005821A6" w:rsidRDefault="0000000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Self Developed)</w:t>
      </w:r>
    </w:p>
    <w:p w14:paraId="5EF76925"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reflected in this cash budget, the money The money used in this cash budget is used over 12 integral business functions starting from manufacturing and hiring of experts to arranging for customer loyalty concerns. Sustainably, the cash budget projection has been evaluated in this chart in a </w:t>
      </w:r>
      <w:r w:rsidR="00C946A9">
        <w:rPr>
          <w:rFonts w:ascii="Times New Roman" w:eastAsia="Times New Roman" w:hAnsi="Times New Roman" w:cs="Times New Roman"/>
          <w:sz w:val="24"/>
          <w:szCs w:val="24"/>
        </w:rPr>
        <w:t>period</w:t>
      </w:r>
      <w:r>
        <w:rPr>
          <w:rFonts w:ascii="Times New Roman" w:eastAsia="Times New Roman" w:hAnsi="Times New Roman" w:cs="Times New Roman"/>
          <w:sz w:val="24"/>
          <w:szCs w:val="24"/>
        </w:rPr>
        <w:t xml:space="preserve"> of 6 months starting from January to June 2023. As opined by Ali (2020), financial forecasting in real terms would be helpful for ensured financial sustainability with the help of </w:t>
      </w:r>
      <w:r w:rsidR="001B6F4C">
        <w:rPr>
          <w:rFonts w:ascii="Times New Roman" w:eastAsia="Times New Roman" w:hAnsi="Times New Roman" w:cs="Times New Roman"/>
          <w:sz w:val="24"/>
          <w:szCs w:val="24"/>
        </w:rPr>
        <w:t>calendar-based</w:t>
      </w:r>
      <w:r>
        <w:rPr>
          <w:rFonts w:ascii="Times New Roman" w:eastAsia="Times New Roman" w:hAnsi="Times New Roman" w:cs="Times New Roman"/>
          <w:sz w:val="24"/>
          <w:szCs w:val="24"/>
        </w:rPr>
        <w:t xml:space="preserve"> resource allocation by evolving the rigid processes of payments calculation into flexible target dynamism through alteration of internal controlling variables.  </w:t>
      </w:r>
    </w:p>
    <w:p w14:paraId="5489ABD9" w14:textId="77777777" w:rsidR="005821A6" w:rsidRDefault="00000000" w:rsidP="00B060A9">
      <w:pPr>
        <w:pStyle w:val="Heading1"/>
      </w:pPr>
      <w:bookmarkStart w:id="6" w:name="_Toc109513343"/>
      <w:r>
        <w:lastRenderedPageBreak/>
        <w:t>Market Research</w:t>
      </w:r>
      <w:bookmarkEnd w:id="6"/>
    </w:p>
    <w:p w14:paraId="409283E4"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Political:</w:t>
      </w:r>
      <w:r>
        <w:rPr>
          <w:rFonts w:ascii="Times New Roman" w:eastAsia="Times New Roman" w:hAnsi="Times New Roman" w:cs="Times New Roman"/>
          <w:sz w:val="24"/>
          <w:szCs w:val="24"/>
        </w:rPr>
        <w:t xml:space="preserve"> Positive. Lesser official surveys happen in UK from the time of the Covid-19 pandemic. Country wise tension and mismanagement are generic post 2020 (Davies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Political stabilituy score as per business establishment is 75% (Ons.gov.uk, 2022). </w:t>
      </w:r>
    </w:p>
    <w:p w14:paraId="4FDA966C"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Economic: </w:t>
      </w:r>
      <w:r>
        <w:rPr>
          <w:rFonts w:ascii="Times New Roman" w:eastAsia="Times New Roman" w:hAnsi="Times New Roman" w:cs="Times New Roman"/>
          <w:sz w:val="24"/>
          <w:szCs w:val="24"/>
        </w:rPr>
        <w:t>Positive. In 2022, economic rank of UK is 72.7. Its global ranking in economic freeness is recorded as 24th in the entire global scenario (Heritage.org, 2022). Under top 45 countries, UK ranks 17th in economic viability.</w:t>
      </w:r>
    </w:p>
    <w:p w14:paraId="0FC989D9"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Social: </w:t>
      </w:r>
      <w:r>
        <w:rPr>
          <w:rFonts w:ascii="Times New Roman" w:eastAsia="Times New Roman" w:hAnsi="Times New Roman" w:cs="Times New Roman"/>
          <w:sz w:val="24"/>
          <w:szCs w:val="24"/>
        </w:rPr>
        <w:t>Positive. Labour freedom in UK is recorded as 62.1 points (Heritage.org, 2022). Total population is 68 million (Countrymeters.info, 2022). Male to female ratio is 49.2% to 50.8%.</w:t>
      </w:r>
    </w:p>
    <w:p w14:paraId="41BA10CA"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Technological:</w:t>
      </w:r>
      <w:r>
        <w:rPr>
          <w:rFonts w:ascii="Times New Roman" w:eastAsia="Times New Roman" w:hAnsi="Times New Roman" w:cs="Times New Roman"/>
          <w:sz w:val="24"/>
          <w:szCs w:val="24"/>
        </w:rPr>
        <w:t xml:space="preserve"> Positive. Major technical developments in UK in 2022 scenario are Blockchain improvements, AI integration (Harveynash.co.uk, 2022). Besides </w:t>
      </w:r>
      <w:r w:rsidR="00022473">
        <w:rPr>
          <w:rFonts w:ascii="Times New Roman" w:eastAsia="Times New Roman" w:hAnsi="Times New Roman" w:cs="Times New Roman"/>
          <w:sz w:val="24"/>
          <w:szCs w:val="24"/>
        </w:rPr>
        <w:t>that,</w:t>
      </w:r>
      <w:r>
        <w:rPr>
          <w:rFonts w:ascii="Times New Roman" w:eastAsia="Times New Roman" w:hAnsi="Times New Roman" w:cs="Times New Roman"/>
          <w:sz w:val="24"/>
          <w:szCs w:val="24"/>
        </w:rPr>
        <w:t xml:space="preserve"> blockchain, and “XaaS service integration” in human life. </w:t>
      </w:r>
    </w:p>
    <w:p w14:paraId="1A22EFC0"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Legal:</w:t>
      </w:r>
      <w:r>
        <w:rPr>
          <w:rFonts w:ascii="Times New Roman" w:eastAsia="Times New Roman" w:hAnsi="Times New Roman" w:cs="Times New Roman"/>
          <w:sz w:val="24"/>
          <w:szCs w:val="24"/>
        </w:rPr>
        <w:t xml:space="preserve"> Neutral. Implementation of “National Security Merger law”, “Corporation tax rates” and increase in national living wages in the UK would be mandatory for fluent operations and expansion of businesses (Duckworth, 2021). National security concern is the main highlighted cause here. </w:t>
      </w:r>
    </w:p>
    <w:p w14:paraId="49544E79" w14:textId="77777777" w:rsidR="005821A6"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Environmental:</w:t>
      </w:r>
      <w:r>
        <w:rPr>
          <w:rFonts w:ascii="Times New Roman" w:eastAsia="Times New Roman" w:hAnsi="Times New Roman" w:cs="Times New Roman"/>
          <w:sz w:val="24"/>
          <w:szCs w:val="24"/>
        </w:rPr>
        <w:t xml:space="preserve"> Positive.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Innovative business with a cultural mindset through decisive approach of businesses are identified positive factors towards customer's acceptance of new businesses in the UK (Assets.publishing.service.gov.uk, 2019). </w:t>
      </w:r>
      <w:r w:rsidR="00022473">
        <w:rPr>
          <w:rFonts w:ascii="Times New Roman" w:eastAsia="Times New Roman" w:hAnsi="Times New Roman" w:cs="Times New Roman"/>
          <w:sz w:val="24"/>
          <w:szCs w:val="24"/>
        </w:rPr>
        <w:t>Start-ups</w:t>
      </w:r>
      <w:r>
        <w:rPr>
          <w:rFonts w:ascii="Times New Roman" w:eastAsia="Times New Roman" w:hAnsi="Times New Roman" w:cs="Times New Roman"/>
          <w:sz w:val="24"/>
          <w:szCs w:val="24"/>
        </w:rPr>
        <w:t xml:space="preserve"> are also preferred by the public because of rapid business promising rate through progression.</w:t>
      </w:r>
    </w:p>
    <w:p w14:paraId="42535ADD" w14:textId="77777777" w:rsidR="005821A6" w:rsidRDefault="00000000" w:rsidP="00FD6C6A">
      <w:pPr>
        <w:pStyle w:val="Heading1"/>
      </w:pPr>
      <w:bookmarkStart w:id="7" w:name="_Toc109513344"/>
      <w:r>
        <w:t>Conclusion</w:t>
      </w:r>
      <w:bookmarkEnd w:id="7"/>
    </w:p>
    <w:p w14:paraId="12D1A123" w14:textId="77777777" w:rsidR="00B65D8F"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said that the business plan named “Health and Harmony Inc.” would be successful in the UK context considering the fact of proper inclusion and implementation of solar power and artificial intelligence at large. Healthcare and wellness are the two valid factors that have ensured functional positivism towards proper placement of the business model in UK’s scenario using the models like PESTLE analysis, Porter’s 5 Forces and 4P’s of marketing. </w:t>
      </w:r>
      <w:r w:rsidR="00022473">
        <w:rPr>
          <w:rFonts w:ascii="Times New Roman" w:eastAsia="Times New Roman" w:hAnsi="Times New Roman" w:cs="Times New Roman"/>
          <w:sz w:val="24"/>
          <w:szCs w:val="24"/>
        </w:rPr>
        <w:t>Proper</w:t>
      </w:r>
      <w:r>
        <w:rPr>
          <w:rFonts w:ascii="Times New Roman" w:eastAsia="Times New Roman" w:hAnsi="Times New Roman" w:cs="Times New Roman"/>
          <w:sz w:val="24"/>
          <w:szCs w:val="24"/>
        </w:rPr>
        <w:t xml:space="preserve"> budget fixation is also a major prospect that has been identified in this report as a coining mechanism into no rivalry or competition within the market. Besides that, absence of implementation and realisation of healthcare concern in a </w:t>
      </w:r>
      <w:r w:rsidR="00022473">
        <w:rPr>
          <w:rFonts w:ascii="Times New Roman" w:eastAsia="Times New Roman" w:hAnsi="Times New Roman" w:cs="Times New Roman"/>
          <w:sz w:val="24"/>
          <w:szCs w:val="24"/>
        </w:rPr>
        <w:t>start-up</w:t>
      </w:r>
      <w:r>
        <w:rPr>
          <w:rFonts w:ascii="Times New Roman" w:eastAsia="Times New Roman" w:hAnsi="Times New Roman" w:cs="Times New Roman"/>
          <w:sz w:val="24"/>
          <w:szCs w:val="24"/>
        </w:rPr>
        <w:t xml:space="preserve"> business scenario in UK has also been the core focus in this </w:t>
      </w:r>
      <w:r>
        <w:rPr>
          <w:rFonts w:ascii="Times New Roman" w:eastAsia="Times New Roman" w:hAnsi="Times New Roman" w:cs="Times New Roman"/>
          <w:sz w:val="24"/>
          <w:szCs w:val="24"/>
        </w:rPr>
        <w:lastRenderedPageBreak/>
        <w:t xml:space="preserve">research to identify majoritarian issues of public problems faced due to age. Lastly, an elaborated financial projection has also helped the reporter to understand functional usability of the budget behind investment and actual </w:t>
      </w:r>
      <w:r w:rsidR="00022473">
        <w:rPr>
          <w:rFonts w:ascii="Times New Roman" w:eastAsia="Times New Roman" w:hAnsi="Times New Roman" w:cs="Times New Roman"/>
          <w:sz w:val="24"/>
          <w:szCs w:val="24"/>
        </w:rPr>
        <w:t>concerns</w:t>
      </w:r>
      <w:r>
        <w:rPr>
          <w:rFonts w:ascii="Times New Roman" w:eastAsia="Times New Roman" w:hAnsi="Times New Roman" w:cs="Times New Roman"/>
          <w:sz w:val="24"/>
          <w:szCs w:val="24"/>
        </w:rPr>
        <w:t xml:space="preserve"> in the business operations.</w:t>
      </w:r>
    </w:p>
    <w:p w14:paraId="0F1F6ED2" w14:textId="77777777" w:rsidR="00B65D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3EB1D1F" w14:textId="77777777" w:rsidR="00B65D8F" w:rsidRPr="00BA52E9" w:rsidRDefault="00000000" w:rsidP="00AE6328">
      <w:pPr>
        <w:pStyle w:val="Heading1"/>
        <w:jc w:val="center"/>
        <w:rPr>
          <w:lang w:val="en-US"/>
        </w:rPr>
      </w:pPr>
      <w:bookmarkStart w:id="8" w:name="_Toc109513345"/>
      <w:r w:rsidRPr="00BA52E9">
        <w:rPr>
          <w:lang w:val="en-US"/>
        </w:rPr>
        <w:lastRenderedPageBreak/>
        <w:t>References</w:t>
      </w:r>
      <w:bookmarkEnd w:id="8"/>
    </w:p>
    <w:p w14:paraId="2DC8F5E5" w14:textId="77777777" w:rsidR="00B65D8F" w:rsidRPr="00BA52E9" w:rsidRDefault="00000000" w:rsidP="00B65D8F">
      <w:pPr>
        <w:spacing w:line="360" w:lineRule="auto"/>
        <w:jc w:val="both"/>
        <w:rPr>
          <w:rFonts w:ascii="Times New Roman" w:hAnsi="Times New Roman" w:cs="Times New Roman"/>
          <w:color w:val="000000" w:themeColor="text1"/>
          <w:sz w:val="24"/>
          <w:szCs w:val="24"/>
        </w:rPr>
      </w:pPr>
      <w:r w:rsidRPr="00BA52E9">
        <w:rPr>
          <w:rFonts w:ascii="Times New Roman" w:hAnsi="Times New Roman" w:cs="Times New Roman"/>
          <w:color w:val="000000" w:themeColor="text1"/>
          <w:sz w:val="24"/>
          <w:szCs w:val="24"/>
          <w:lang w:val="en-US"/>
        </w:rPr>
        <w:t xml:space="preserve">Alarcón, F., Cortés-Pellicer, P., Pérez-Perales, D. and Mengual-Recuerda, A., 2021. A reference model of reverse logistics process for improving sustainability in the supply chain. Sustainability, 13(18), p.10383. DOI: </w:t>
      </w:r>
      <w:hyperlink r:id="rId13" w:history="1">
        <w:r w:rsidRPr="00BA52E9">
          <w:rPr>
            <w:rStyle w:val="Hyperlink"/>
            <w:rFonts w:ascii="Times New Roman" w:hAnsi="Times New Roman" w:cs="Times New Roman"/>
            <w:color w:val="000000" w:themeColor="text1"/>
            <w:sz w:val="24"/>
            <w:szCs w:val="24"/>
            <w:shd w:val="clear" w:color="auto" w:fill="FFFFFF"/>
          </w:rPr>
          <w:t>https://doi.org/10.3390/su131810383</w:t>
        </w:r>
      </w:hyperlink>
    </w:p>
    <w:p w14:paraId="118E1E8C"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Ali, R., 2020. </w:t>
      </w:r>
      <w:r w:rsidRPr="00BA52E9">
        <w:rPr>
          <w:i/>
          <w:iCs/>
          <w:color w:val="000000" w:themeColor="text1"/>
        </w:rPr>
        <w:t>The Why Behind Financial Forecasting</w:t>
      </w:r>
      <w:r w:rsidRPr="00BA52E9">
        <w:rPr>
          <w:color w:val="000000" w:themeColor="text1"/>
        </w:rPr>
        <w:t>. Oracle NetSuite. Available at: https://www.netsuite.com/portal/resource/articles/financial-management/importance-financial-forecasting.shtml [Accessed 22 July 2022].</w:t>
      </w:r>
    </w:p>
    <w:p w14:paraId="143697DC"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Assets.publishing.service.gov.uk, 2019. </w:t>
      </w:r>
      <w:r w:rsidRPr="00BA52E9">
        <w:rPr>
          <w:i/>
          <w:iCs/>
          <w:color w:val="000000" w:themeColor="text1"/>
        </w:rPr>
        <w:t>BUSINESS BASICS: ATTITUDES TO ADOPTION</w:t>
      </w:r>
      <w:r w:rsidRPr="00BA52E9">
        <w:rPr>
          <w:color w:val="000000" w:themeColor="text1"/>
        </w:rPr>
        <w:t>. Available at: https://assets.publishing.service.gov.uk/government/uploads/system/uploads/attachment_data/file/838473/attitudes-to-adoption.pdf [Accessed 22 July 2022].</w:t>
      </w:r>
    </w:p>
    <w:p w14:paraId="0D6C92D7"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Atreya, R., 2020. </w:t>
      </w:r>
      <w:r w:rsidRPr="00BA52E9">
        <w:rPr>
          <w:i/>
          <w:iCs/>
          <w:color w:val="000000" w:themeColor="text1"/>
        </w:rPr>
        <w:t>11 Unique Health And Wellness Marketing Ideas You Can’t Ignore</w:t>
      </w:r>
      <w:r w:rsidRPr="00BA52E9">
        <w:rPr>
          <w:color w:val="000000" w:themeColor="text1"/>
        </w:rPr>
        <w:t>. Vantage Fit. Available at: https://blog.vantagefit.io/health-wellness-marketing-ideas/ [Accessed 22 July 2022].</w:t>
      </w:r>
    </w:p>
    <w:p w14:paraId="1949F343"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Campbell, D., 2021. </w:t>
      </w:r>
      <w:r w:rsidRPr="00BA52E9">
        <w:rPr>
          <w:i/>
          <w:iCs/>
          <w:color w:val="000000" w:themeColor="text1"/>
        </w:rPr>
        <w:t>More than half of young people have trouble sleeping – NHS</w:t>
      </w:r>
      <w:r w:rsidRPr="00BA52E9">
        <w:rPr>
          <w:color w:val="000000" w:themeColor="text1"/>
        </w:rPr>
        <w:t>. Theguardian.com. Available at: https://www.theguardian.com/society/2021/sep/30/more-than-half-of-young-people-have-trouble-sleeping-nhs-says [Accessed 22 July 2022].</w:t>
      </w:r>
    </w:p>
    <w:p w14:paraId="45060ACF"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Countrymeters.info, 2022. </w:t>
      </w:r>
      <w:r w:rsidRPr="00BA52E9">
        <w:rPr>
          <w:i/>
          <w:iCs/>
          <w:color w:val="000000" w:themeColor="text1"/>
        </w:rPr>
        <w:t>United Kingdom (UK) Population</w:t>
      </w:r>
      <w:r w:rsidRPr="00BA52E9">
        <w:rPr>
          <w:color w:val="000000" w:themeColor="text1"/>
        </w:rPr>
        <w:t>. Available at: https://countrymeters.info/en/United_Kingdom_(UK) [Accessed 22 July 2022].</w:t>
      </w:r>
    </w:p>
    <w:p w14:paraId="13D98D41"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Curley, E., 2021. </w:t>
      </w:r>
      <w:r w:rsidRPr="00BA52E9">
        <w:rPr>
          <w:i/>
          <w:iCs/>
          <w:color w:val="000000" w:themeColor="text1"/>
        </w:rPr>
        <w:t>8 revenue stream examples for your business</w:t>
      </w:r>
      <w:r w:rsidRPr="00BA52E9">
        <w:rPr>
          <w:color w:val="000000" w:themeColor="text1"/>
        </w:rPr>
        <w:t>. Glofox.com. Available at: https://www.glofox.com/blog/revenue-stream-examples/ [Accessed 22 July 2022].</w:t>
      </w:r>
    </w:p>
    <w:p w14:paraId="1C0CB93A"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Davies, B., Lalot, F., Peitz, L., Heering, M.S., Ozkececi, H., Babaian, J., Davies Hayon, K., Broadwood, J. and Abrams, D., 2021. Changes in political trust in Britain during the COVID-19 pandemic in 2020: integrated public opinion evidence and implications. Humanities and Social Sciences Communications, 8(1), pp.1-9. DOI: </w:t>
      </w:r>
      <w:hyperlink r:id="rId14" w:history="1">
        <w:r w:rsidRPr="00BA52E9">
          <w:rPr>
            <w:rStyle w:val="Hyperlink"/>
            <w:color w:val="000000" w:themeColor="text1"/>
          </w:rPr>
          <w:t>https://doi.org/10.1057/s41599-021-00850-6</w:t>
        </w:r>
      </w:hyperlink>
    </w:p>
    <w:p w14:paraId="2F2AABE8"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District, M. (2019). </w:t>
      </w:r>
      <w:r w:rsidRPr="00BA52E9">
        <w:rPr>
          <w:i/>
          <w:iCs/>
          <w:color w:val="000000" w:themeColor="text1"/>
        </w:rPr>
        <w:t>Sustainable bikes made of recycled plastic, bamboo and wood</w:t>
      </w:r>
      <w:r w:rsidRPr="00BA52E9">
        <w:rPr>
          <w:color w:val="000000" w:themeColor="text1"/>
        </w:rPr>
        <w:t>. MaterialDistrict. Available at: https://materialdistrict.com/article/bikes-recycled-plastic-bamboo-wood/ [Accessed 22 July 2022].</w:t>
      </w:r>
    </w:p>
    <w:p w14:paraId="1311A1D9"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lastRenderedPageBreak/>
        <w:t xml:space="preserve">Duckworth, H., 2021. </w:t>
      </w:r>
      <w:r w:rsidRPr="00BA52E9">
        <w:rPr>
          <w:i/>
          <w:iCs/>
          <w:color w:val="000000" w:themeColor="text1"/>
        </w:rPr>
        <w:t>Make sure you’re prepared for new laws coming in 2022</w:t>
      </w:r>
      <w:r w:rsidRPr="00BA52E9">
        <w:rPr>
          <w:color w:val="000000" w:themeColor="text1"/>
        </w:rPr>
        <w:t>. [online] Haroldduckworth.co.uk. Available at: https://haroldduckworth.co.uk/make-sure-youre-prepared-for-new-laws-coming-in-2022/ [Accessed 22 July 2022].</w:t>
      </w:r>
    </w:p>
    <w:p w14:paraId="267ACF03"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Editorial Team, I., 2022. </w:t>
      </w:r>
      <w:r w:rsidRPr="00BA52E9">
        <w:rPr>
          <w:i/>
          <w:iCs/>
          <w:color w:val="000000" w:themeColor="text1"/>
        </w:rPr>
        <w:t>Hierarchical Structures: Definition, How it Works and Examples</w:t>
      </w:r>
      <w:r w:rsidRPr="00BA52E9">
        <w:rPr>
          <w:color w:val="000000" w:themeColor="text1"/>
        </w:rPr>
        <w:t>. Indeed Career Guide. Available at: https://uk.indeed.com/career-advice/career-development/hierarchical-structure [Accessed 22 July 2022].</w:t>
      </w:r>
    </w:p>
    <w:p w14:paraId="50645D03"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Fontanella, C., 2022. </w:t>
      </w:r>
      <w:r w:rsidRPr="00BA52E9">
        <w:rPr>
          <w:i/>
          <w:iCs/>
          <w:color w:val="000000" w:themeColor="text1"/>
        </w:rPr>
        <w:t>What’s a Subscription Business Model &amp; How Does It Work?</w:t>
      </w:r>
      <w:r w:rsidRPr="00BA52E9">
        <w:rPr>
          <w:color w:val="000000" w:themeColor="text1"/>
        </w:rPr>
        <w:t xml:space="preserve"> Hubspot. Available at: https://blog.hubspot.com/service/subscription-business-model#:~:text=In%20a%20subscription%20model%2C%20customers [Accessed 22 July 2022].</w:t>
      </w:r>
    </w:p>
    <w:p w14:paraId="35511B66"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Gordon, J., 2022. </w:t>
      </w:r>
      <w:r w:rsidRPr="00BA52E9">
        <w:rPr>
          <w:i/>
          <w:iCs/>
          <w:color w:val="000000" w:themeColor="text1"/>
        </w:rPr>
        <w:t>Team Management Profile - Explained</w:t>
      </w:r>
      <w:r w:rsidRPr="00BA52E9">
        <w:rPr>
          <w:color w:val="000000" w:themeColor="text1"/>
        </w:rPr>
        <w:t>. [online] The Business Professor, LLC. Available at: https://thebusinessprofessor.com/en_US/management-leadership-organizational-behavior/team-management-profile-explained [Accessed 22 July 2022].</w:t>
      </w:r>
    </w:p>
    <w:p w14:paraId="0394F3B2"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Gov.uk, 2021. </w:t>
      </w:r>
      <w:r w:rsidRPr="00BA52E9">
        <w:rPr>
          <w:i/>
          <w:iCs/>
          <w:color w:val="000000" w:themeColor="text1"/>
        </w:rPr>
        <w:t>Walking and cycling statistics, England: 2020</w:t>
      </w:r>
      <w:r w:rsidRPr="00BA52E9">
        <w:rPr>
          <w:color w:val="000000" w:themeColor="text1"/>
        </w:rPr>
        <w:t>. Available at: https://www.gov.uk/government/statistics/walking-and-cycling-statistics-england-2020/walking-and-cycling-statistics-england-2020#:~:text=Factors%20influencing%20cycling%20rates [Accessed 22 July 2022].</w:t>
      </w:r>
    </w:p>
    <w:p w14:paraId="0455ACC3"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Gov.uk. (2022). </w:t>
      </w:r>
      <w:r w:rsidRPr="00BA52E9">
        <w:rPr>
          <w:i/>
          <w:iCs/>
          <w:color w:val="000000" w:themeColor="text1"/>
        </w:rPr>
        <w:t>AI activity in UK businesses: Executive Summary</w:t>
      </w:r>
      <w:r w:rsidRPr="00BA52E9">
        <w:rPr>
          <w:color w:val="000000" w:themeColor="text1"/>
        </w:rPr>
        <w:t>. Available at: https://www.gov.uk/government/publications/ai-activity-in-uk-businesses/ai-activity-in-uk-businesses-executive-summary#:~:text=In%202020%2C%20the%20432%2C000%20companies [Accessed 22 July 2022].</w:t>
      </w:r>
    </w:p>
    <w:p w14:paraId="65D1780C"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Harveynash.co.uk, 2022. </w:t>
      </w:r>
      <w:r w:rsidRPr="00BA52E9">
        <w:rPr>
          <w:i/>
          <w:iCs/>
          <w:color w:val="000000" w:themeColor="text1"/>
        </w:rPr>
        <w:t>2022 Technology Trends to watch</w:t>
      </w:r>
      <w:r w:rsidRPr="00BA52E9">
        <w:rPr>
          <w:color w:val="000000" w:themeColor="text1"/>
        </w:rPr>
        <w:t>. Available at: https://www.harveynash.co.uk/latest-news/2022-1/2022-technology-trends [Accessed 23 July 2022].</w:t>
      </w:r>
    </w:p>
    <w:p w14:paraId="2FF761F1"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Heritage.org, 2022. </w:t>
      </w:r>
      <w:r w:rsidRPr="00BA52E9">
        <w:rPr>
          <w:i/>
          <w:iCs/>
          <w:color w:val="000000" w:themeColor="text1"/>
        </w:rPr>
        <w:t>United Kingdom</w:t>
      </w:r>
      <w:r w:rsidRPr="00BA52E9">
        <w:rPr>
          <w:color w:val="000000" w:themeColor="text1"/>
        </w:rPr>
        <w:t>. Available at: https://www.heritage.org/index/country/unitedkingdom#:~:text=The%20United%20Kingdom [Accessed 22 July 2022].</w:t>
      </w:r>
    </w:p>
    <w:p w14:paraId="40751E83"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lastRenderedPageBreak/>
        <w:t xml:space="preserve">Johnson, G.-R., 2021. </w:t>
      </w:r>
      <w:r w:rsidRPr="00BA52E9">
        <w:rPr>
          <w:i/>
          <w:iCs/>
          <w:color w:val="000000" w:themeColor="text1"/>
        </w:rPr>
        <w:t>Cycling statistics 2019</w:t>
      </w:r>
      <w:r w:rsidRPr="00BA52E9">
        <w:rPr>
          <w:color w:val="000000" w:themeColor="text1"/>
        </w:rPr>
        <w:t>. Finder UK. Available at: https://www.finder.com/uk/cycling-statistics [Accessed 22 July 2022].</w:t>
      </w:r>
    </w:p>
    <w:p w14:paraId="682057C3" w14:textId="77777777" w:rsidR="00B65D8F" w:rsidRPr="00BA52E9" w:rsidRDefault="00000000" w:rsidP="00B65D8F">
      <w:pPr>
        <w:spacing w:line="360" w:lineRule="auto"/>
        <w:jc w:val="both"/>
        <w:rPr>
          <w:rFonts w:ascii="Times New Roman" w:hAnsi="Times New Roman" w:cs="Times New Roman"/>
          <w:color w:val="000000" w:themeColor="text1"/>
          <w:sz w:val="24"/>
          <w:szCs w:val="24"/>
          <w:lang w:val="en-US"/>
        </w:rPr>
      </w:pPr>
      <w:r w:rsidRPr="00BA52E9">
        <w:rPr>
          <w:rFonts w:ascii="Times New Roman" w:hAnsi="Times New Roman" w:cs="Times New Roman"/>
          <w:color w:val="000000" w:themeColor="text1"/>
          <w:sz w:val="24"/>
          <w:szCs w:val="24"/>
          <w:lang w:val="en-US"/>
        </w:rPr>
        <w:t>Jones, L., 2018. Saving pounds: The rise of the budget gym. BBC News. 16 July Available at: https://www.bbc.com/news/business-44766250 [Accessed 22 July 2022].</w:t>
      </w:r>
    </w:p>
    <w:p w14:paraId="3BD3BB51"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Keller, H. (2021). </w:t>
      </w:r>
      <w:r w:rsidRPr="00BA52E9">
        <w:rPr>
          <w:i/>
          <w:iCs/>
          <w:color w:val="000000" w:themeColor="text1"/>
        </w:rPr>
        <w:t>Wait, What’s an Eames Chair? And 49 Other Iconic Chairs, Explained</w:t>
      </w:r>
      <w:r w:rsidRPr="00BA52E9">
        <w:rPr>
          <w:color w:val="000000" w:themeColor="text1"/>
        </w:rPr>
        <w:t>. Housebeautiful.com. Available at: https://www.housebeautiful.com/design-inspiration/g30750815/chair-types-styles-designs/ [Accessed 22 July 2022].</w:t>
      </w:r>
    </w:p>
    <w:p w14:paraId="44C5E658"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Kelley, J., 2020. </w:t>
      </w:r>
      <w:r w:rsidRPr="00BA52E9">
        <w:rPr>
          <w:i/>
          <w:iCs/>
          <w:color w:val="000000" w:themeColor="text1"/>
        </w:rPr>
        <w:t>How Your Supply Chain Changes When Migrating to a Subscription Pricing Model</w:t>
      </w:r>
      <w:r w:rsidRPr="00BA52E9">
        <w:rPr>
          <w:color w:val="000000" w:themeColor="text1"/>
        </w:rPr>
        <w:t>. Supply and Demand Chain Executive. Available at: https://www.sdcexec.com/warehousing/article/21195550/oracle-how-your-supply-chain-changes-when-migrating-to-a-subscription-pricing-model [Accessed 22 July 2022].</w:t>
      </w:r>
    </w:p>
    <w:p w14:paraId="7722A897" w14:textId="77777777" w:rsidR="00B65D8F" w:rsidRPr="00BA52E9" w:rsidRDefault="00000000" w:rsidP="00B65D8F">
      <w:pPr>
        <w:spacing w:line="360" w:lineRule="auto"/>
        <w:jc w:val="both"/>
        <w:rPr>
          <w:rFonts w:ascii="Times New Roman" w:hAnsi="Times New Roman" w:cs="Times New Roman"/>
          <w:color w:val="000000" w:themeColor="text1"/>
          <w:sz w:val="24"/>
          <w:szCs w:val="24"/>
          <w:lang w:val="en-US"/>
        </w:rPr>
      </w:pPr>
      <w:r w:rsidRPr="00BA52E9">
        <w:rPr>
          <w:rFonts w:ascii="Times New Roman" w:hAnsi="Times New Roman" w:cs="Times New Roman"/>
          <w:color w:val="000000" w:themeColor="text1"/>
          <w:sz w:val="24"/>
          <w:szCs w:val="24"/>
          <w:lang w:val="en-US"/>
        </w:rPr>
        <w:t>Lopes, S., Eccles, R., Horton, A., Williamson, R., Dixon, A., Sekine, Y., Heap, N., Rink, A., Giles, C. and Green, N. (2020). Practical Law UK Signon. Thomsonreuters.com. Available at: https://uk.practicallaw.thomsonreuters.com/5-500-5090?transitionType=Default&amp;contextData=(sc.Default)&amp;firstPage=true [Accessed 22 July 2022].</w:t>
      </w:r>
    </w:p>
    <w:p w14:paraId="07AA94E8" w14:textId="77777777" w:rsidR="00B65D8F" w:rsidRPr="00BA52E9" w:rsidRDefault="00000000" w:rsidP="00B65D8F">
      <w:pPr>
        <w:spacing w:line="360" w:lineRule="auto"/>
        <w:jc w:val="both"/>
        <w:rPr>
          <w:rFonts w:ascii="Times New Roman" w:hAnsi="Times New Roman" w:cs="Times New Roman"/>
          <w:color w:val="000000" w:themeColor="text1"/>
          <w:sz w:val="24"/>
          <w:szCs w:val="24"/>
          <w:lang w:val="en-US"/>
        </w:rPr>
      </w:pPr>
      <w:r w:rsidRPr="00BA52E9">
        <w:rPr>
          <w:rFonts w:ascii="Times New Roman" w:hAnsi="Times New Roman" w:cs="Times New Roman"/>
          <w:color w:val="000000" w:themeColor="text1"/>
          <w:sz w:val="24"/>
          <w:szCs w:val="24"/>
          <w:lang w:val="en-US"/>
        </w:rPr>
        <w:t xml:space="preserve">Miyachi, T., Iga, S. and Furuhata, T., 2018. Rolls of facilitator in collaborative active learning for relaxing life. Procedia Computer Science, 126, pp.1415-1423. DOI: </w:t>
      </w:r>
      <w:hyperlink r:id="rId15" w:history="1">
        <w:r w:rsidRPr="00BA52E9">
          <w:rPr>
            <w:rStyle w:val="Hyperlink"/>
            <w:rFonts w:ascii="Times New Roman" w:hAnsi="Times New Roman" w:cs="Times New Roman"/>
            <w:color w:val="000000" w:themeColor="text1"/>
            <w:sz w:val="24"/>
            <w:szCs w:val="24"/>
            <w:lang w:val="en-US"/>
          </w:rPr>
          <w:t>https://doi.org/10.1016/j.procs.2018.08.113</w:t>
        </w:r>
      </w:hyperlink>
    </w:p>
    <w:p w14:paraId="361F390F"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Newman, S., 2022. </w:t>
      </w:r>
      <w:r w:rsidRPr="00BA52E9">
        <w:rPr>
          <w:i/>
          <w:iCs/>
          <w:color w:val="000000" w:themeColor="text1"/>
        </w:rPr>
        <w:t>8 legal considerations when setting up a business</w:t>
      </w:r>
      <w:r w:rsidRPr="00BA52E9">
        <w:rPr>
          <w:color w:val="000000" w:themeColor="text1"/>
        </w:rPr>
        <w:t>. Small Business UK. Available at: https://smallbusiness.co.uk/8-legal-considerations-when-setting-up-a-business-2560686/ [Accessed 22 July 2022].</w:t>
      </w:r>
    </w:p>
    <w:p w14:paraId="66DCD7CD"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Ons.gov.uk, 2022. </w:t>
      </w:r>
      <w:r w:rsidRPr="00BA52E9">
        <w:rPr>
          <w:i/>
          <w:iCs/>
          <w:color w:val="000000" w:themeColor="text1"/>
        </w:rPr>
        <w:t>Trust in government, UK - Office for National Statistics</w:t>
      </w:r>
      <w:r w:rsidRPr="00BA52E9">
        <w:rPr>
          <w:color w:val="000000" w:themeColor="text1"/>
        </w:rPr>
        <w:t>. Available at: https://www.ons.gov.uk/peoplepopulationandcommunity/wellbeing/bulletins/trustingovernmentuk/2022 [Accessed 23 July 2022].</w:t>
      </w:r>
    </w:p>
    <w:p w14:paraId="414FCE21" w14:textId="77777777" w:rsidR="00B65D8F" w:rsidRPr="00BA52E9" w:rsidRDefault="00000000" w:rsidP="00B65D8F">
      <w:pPr>
        <w:spacing w:line="360" w:lineRule="auto"/>
        <w:jc w:val="both"/>
        <w:rPr>
          <w:rFonts w:ascii="Times New Roman" w:hAnsi="Times New Roman" w:cs="Times New Roman"/>
          <w:color w:val="000000" w:themeColor="text1"/>
          <w:sz w:val="24"/>
          <w:szCs w:val="24"/>
          <w:lang w:val="en-US"/>
        </w:rPr>
      </w:pPr>
      <w:r w:rsidRPr="00BA52E9">
        <w:rPr>
          <w:rFonts w:ascii="Times New Roman" w:hAnsi="Times New Roman" w:cs="Times New Roman"/>
          <w:color w:val="000000" w:themeColor="text1"/>
          <w:sz w:val="24"/>
          <w:szCs w:val="24"/>
          <w:lang w:val="en-US"/>
        </w:rPr>
        <w:t xml:space="preserve">Özdemir, V., 2019. The big picture on the “AI turn” for digital health: the internet of things and cyber-physical systems. OMICS: A Journal of Integrative Biology, 23(6), pp.308-311. DOI: </w:t>
      </w:r>
      <w:hyperlink r:id="rId16" w:history="1">
        <w:r w:rsidRPr="00BA52E9">
          <w:rPr>
            <w:rStyle w:val="Hyperlink"/>
            <w:rFonts w:ascii="Times New Roman" w:hAnsi="Times New Roman" w:cs="Times New Roman"/>
            <w:color w:val="000000" w:themeColor="text1"/>
            <w:sz w:val="24"/>
            <w:szCs w:val="24"/>
            <w:lang w:val="en-US"/>
          </w:rPr>
          <w:t>https://doi.org/10.1089/omi.2019.0069</w:t>
        </w:r>
      </w:hyperlink>
    </w:p>
    <w:p w14:paraId="2DA3AF17"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lastRenderedPageBreak/>
        <w:t xml:space="preserve">Pathwaylending.org, 2022. </w:t>
      </w:r>
      <w:r w:rsidRPr="00BA52E9">
        <w:rPr>
          <w:i/>
          <w:iCs/>
          <w:color w:val="000000" w:themeColor="text1"/>
        </w:rPr>
        <w:t>4 Most Common Business Legal Structures</w:t>
      </w:r>
      <w:r w:rsidRPr="00BA52E9">
        <w:rPr>
          <w:color w:val="000000" w:themeColor="text1"/>
        </w:rPr>
        <w:t>. Available at: https://www.pathwaylending.org/news-and-blog/news/business-legal-structures/ [Accessed 22 July 2022].</w:t>
      </w:r>
    </w:p>
    <w:p w14:paraId="7B80DCCB"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Solarfeeds.com, 2022. </w:t>
      </w:r>
      <w:r w:rsidRPr="00BA52E9">
        <w:rPr>
          <w:i/>
          <w:iCs/>
          <w:color w:val="000000" w:themeColor="text1"/>
        </w:rPr>
        <w:t>Solar Power Statistics in the United Kingdom 2021</w:t>
      </w:r>
      <w:r w:rsidRPr="00BA52E9">
        <w:rPr>
          <w:color w:val="000000" w:themeColor="text1"/>
        </w:rPr>
        <w:t>. Available at: https://www.solarfeeds.com/mag/solar-power-statistics-in-united-kingdom-2021/ [Accessed 22 July 2022].</w:t>
      </w:r>
    </w:p>
    <w:p w14:paraId="19A356FA"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Stowers, J., 2022. </w:t>
      </w:r>
      <w:r w:rsidRPr="00BA52E9">
        <w:rPr>
          <w:i/>
          <w:iCs/>
          <w:color w:val="000000" w:themeColor="text1"/>
        </w:rPr>
        <w:t>How to Choose the Best Legal Structure for Your Business</w:t>
      </w:r>
      <w:r w:rsidRPr="00BA52E9">
        <w:rPr>
          <w:color w:val="000000" w:themeColor="text1"/>
        </w:rPr>
        <w:t>. Business News Daily. Available at: https://www.businessnewsdaily.com/8163-choose-legal-business-structure.html [Accessed 22 July 2022].</w:t>
      </w:r>
    </w:p>
    <w:p w14:paraId="2A4C78C8" w14:textId="77777777" w:rsidR="00B65D8F" w:rsidRPr="00BA52E9" w:rsidRDefault="00000000" w:rsidP="00B65D8F">
      <w:pPr>
        <w:pStyle w:val="NormalWeb"/>
        <w:spacing w:before="0" w:beforeAutospacing="0" w:after="240" w:afterAutospacing="0" w:line="360" w:lineRule="auto"/>
        <w:jc w:val="both"/>
        <w:rPr>
          <w:color w:val="000000" w:themeColor="text1"/>
        </w:rPr>
      </w:pPr>
      <w:r w:rsidRPr="00BA52E9">
        <w:rPr>
          <w:color w:val="000000" w:themeColor="text1"/>
        </w:rPr>
        <w:t xml:space="preserve">Toll, M., 2018. </w:t>
      </w:r>
      <w:r w:rsidRPr="00BA52E9">
        <w:rPr>
          <w:i/>
          <w:iCs/>
          <w:color w:val="000000" w:themeColor="text1"/>
        </w:rPr>
        <w:t>This solar powered electric bicycle went 12,800 km in 64 days!</w:t>
      </w:r>
      <w:r w:rsidRPr="00BA52E9">
        <w:rPr>
          <w:color w:val="000000" w:themeColor="text1"/>
        </w:rPr>
        <w:t xml:space="preserve"> Electrek. Available at: https://electrek.co/2018/09/27/solar-powered-electric-bicycle-journey/ [Accessed 22 July 2022].</w:t>
      </w:r>
    </w:p>
    <w:p w14:paraId="52C260D4" w14:textId="77777777" w:rsidR="00B65D8F" w:rsidRPr="00BA52E9" w:rsidRDefault="00B65D8F" w:rsidP="00B65D8F">
      <w:pPr>
        <w:pStyle w:val="NormalWeb"/>
        <w:spacing w:before="0" w:beforeAutospacing="0" w:after="240" w:afterAutospacing="0" w:line="360" w:lineRule="auto"/>
        <w:jc w:val="both"/>
        <w:rPr>
          <w:b/>
          <w:bCs/>
          <w:color w:val="000000" w:themeColor="text1"/>
        </w:rPr>
      </w:pPr>
    </w:p>
    <w:p w14:paraId="06098C7F" w14:textId="77777777" w:rsidR="00B65D8F" w:rsidRPr="00BA52E9" w:rsidRDefault="00B65D8F" w:rsidP="00B65D8F">
      <w:pPr>
        <w:pStyle w:val="NormalWeb"/>
        <w:spacing w:before="0" w:beforeAutospacing="0" w:after="240" w:afterAutospacing="0" w:line="360" w:lineRule="auto"/>
        <w:jc w:val="both"/>
        <w:rPr>
          <w:color w:val="000000" w:themeColor="text1"/>
        </w:rPr>
      </w:pPr>
    </w:p>
    <w:p w14:paraId="375F91B2" w14:textId="77777777" w:rsidR="005821A6"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 xml:space="preserve"> </w:t>
      </w:r>
    </w:p>
    <w:sectPr w:rsidR="005821A6" w:rsidSect="00AE6328">
      <w:footerReference w:type="default" r:id="rId17"/>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9D289" w14:textId="77777777" w:rsidR="00876377" w:rsidRDefault="00876377">
      <w:pPr>
        <w:spacing w:line="240" w:lineRule="auto"/>
      </w:pPr>
      <w:r>
        <w:separator/>
      </w:r>
    </w:p>
  </w:endnote>
  <w:endnote w:type="continuationSeparator" w:id="0">
    <w:p w14:paraId="074040DA" w14:textId="77777777" w:rsidR="00876377" w:rsidRDefault="008763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228740"/>
      <w:docPartObj>
        <w:docPartGallery w:val="Page Numbers (Bottom of Page)"/>
        <w:docPartUnique/>
      </w:docPartObj>
    </w:sdtPr>
    <w:sdtEndPr>
      <w:rPr>
        <w:rFonts w:ascii="Times New Roman" w:hAnsi="Times New Roman" w:cs="Times New Roman"/>
        <w:noProof/>
        <w:sz w:val="20"/>
        <w:szCs w:val="20"/>
      </w:rPr>
    </w:sdtEndPr>
    <w:sdtContent>
      <w:p w14:paraId="6D4AD1DF" w14:textId="77777777" w:rsidR="00110A06" w:rsidRPr="00110A06" w:rsidRDefault="00000000" w:rsidP="00110A06">
        <w:pPr>
          <w:pStyle w:val="Footer"/>
          <w:spacing w:line="360" w:lineRule="auto"/>
          <w:jc w:val="right"/>
          <w:rPr>
            <w:rFonts w:ascii="Times New Roman" w:hAnsi="Times New Roman" w:cs="Times New Roman"/>
            <w:sz w:val="20"/>
            <w:szCs w:val="20"/>
          </w:rPr>
        </w:pPr>
        <w:r w:rsidRPr="00110A06">
          <w:rPr>
            <w:rFonts w:ascii="Times New Roman" w:hAnsi="Times New Roman" w:cs="Times New Roman"/>
            <w:sz w:val="20"/>
            <w:szCs w:val="20"/>
          </w:rPr>
          <w:fldChar w:fldCharType="begin"/>
        </w:r>
        <w:r w:rsidRPr="00110A06">
          <w:rPr>
            <w:rFonts w:ascii="Times New Roman" w:hAnsi="Times New Roman" w:cs="Times New Roman"/>
            <w:sz w:val="20"/>
            <w:szCs w:val="20"/>
          </w:rPr>
          <w:instrText xml:space="preserve"> PAGE   \* MERGEFORMAT </w:instrText>
        </w:r>
        <w:r w:rsidRPr="00110A06">
          <w:rPr>
            <w:rFonts w:ascii="Times New Roman" w:hAnsi="Times New Roman" w:cs="Times New Roman"/>
            <w:sz w:val="20"/>
            <w:szCs w:val="20"/>
          </w:rPr>
          <w:fldChar w:fldCharType="separate"/>
        </w:r>
        <w:r w:rsidRPr="00110A06">
          <w:rPr>
            <w:rFonts w:ascii="Times New Roman" w:hAnsi="Times New Roman" w:cs="Times New Roman"/>
            <w:noProof/>
            <w:sz w:val="20"/>
            <w:szCs w:val="20"/>
          </w:rPr>
          <w:t>2</w:t>
        </w:r>
        <w:r w:rsidRPr="00110A06">
          <w:rPr>
            <w:rFonts w:ascii="Times New Roman" w:hAnsi="Times New Roman" w:cs="Times New Roman"/>
            <w:noProof/>
            <w:sz w:val="20"/>
            <w:szCs w:val="20"/>
          </w:rPr>
          <w:fldChar w:fldCharType="end"/>
        </w:r>
      </w:p>
    </w:sdtContent>
  </w:sdt>
  <w:p w14:paraId="6A6250DE" w14:textId="77777777" w:rsidR="00110A06" w:rsidRDefault="00110A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B292C4" w14:textId="77777777" w:rsidR="00876377" w:rsidRDefault="00876377">
      <w:pPr>
        <w:spacing w:line="240" w:lineRule="auto"/>
      </w:pPr>
      <w:r>
        <w:separator/>
      </w:r>
    </w:p>
  </w:footnote>
  <w:footnote w:type="continuationSeparator" w:id="0">
    <w:p w14:paraId="404A97AA" w14:textId="77777777" w:rsidR="00876377" w:rsidRDefault="0087637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A6"/>
    <w:rsid w:val="00022473"/>
    <w:rsid w:val="0005432C"/>
    <w:rsid w:val="000D0F24"/>
    <w:rsid w:val="000D22D1"/>
    <w:rsid w:val="000D40B9"/>
    <w:rsid w:val="00110A06"/>
    <w:rsid w:val="001B6F4C"/>
    <w:rsid w:val="003045C7"/>
    <w:rsid w:val="0046345A"/>
    <w:rsid w:val="005821A6"/>
    <w:rsid w:val="006514CD"/>
    <w:rsid w:val="00876377"/>
    <w:rsid w:val="009F0CBB"/>
    <w:rsid w:val="00AE6328"/>
    <w:rsid w:val="00B060A9"/>
    <w:rsid w:val="00B5226B"/>
    <w:rsid w:val="00B65D8F"/>
    <w:rsid w:val="00B73E7A"/>
    <w:rsid w:val="00BA52E9"/>
    <w:rsid w:val="00C946A9"/>
    <w:rsid w:val="00D021D3"/>
    <w:rsid w:val="00D57FEE"/>
    <w:rsid w:val="00E96495"/>
    <w:rsid w:val="00FD6C6A"/>
    <w:rsid w:val="00FF647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52A4"/>
  <w15:docId w15:val="{E891AF8B-EEF1-4DFA-99AD-7CCC171B9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73E7A"/>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10A06"/>
    <w:pPr>
      <w:tabs>
        <w:tab w:val="center" w:pos="4513"/>
        <w:tab w:val="right" w:pos="9026"/>
      </w:tabs>
      <w:spacing w:line="240" w:lineRule="auto"/>
    </w:pPr>
  </w:style>
  <w:style w:type="character" w:customStyle="1" w:styleId="HeaderChar">
    <w:name w:val="Header Char"/>
    <w:basedOn w:val="DefaultParagraphFont"/>
    <w:link w:val="Header"/>
    <w:uiPriority w:val="99"/>
    <w:rsid w:val="00110A06"/>
  </w:style>
  <w:style w:type="paragraph" w:styleId="Footer">
    <w:name w:val="footer"/>
    <w:basedOn w:val="Normal"/>
    <w:link w:val="FooterChar"/>
    <w:uiPriority w:val="99"/>
    <w:unhideWhenUsed/>
    <w:rsid w:val="00110A06"/>
    <w:pPr>
      <w:tabs>
        <w:tab w:val="center" w:pos="4513"/>
        <w:tab w:val="right" w:pos="9026"/>
      </w:tabs>
      <w:spacing w:line="240" w:lineRule="auto"/>
    </w:pPr>
  </w:style>
  <w:style w:type="character" w:customStyle="1" w:styleId="FooterChar">
    <w:name w:val="Footer Char"/>
    <w:basedOn w:val="DefaultParagraphFont"/>
    <w:link w:val="Footer"/>
    <w:uiPriority w:val="99"/>
    <w:rsid w:val="00110A06"/>
  </w:style>
  <w:style w:type="paragraph" w:styleId="NormalWeb">
    <w:name w:val="Normal (Web)"/>
    <w:basedOn w:val="Normal"/>
    <w:uiPriority w:val="99"/>
    <w:unhideWhenUsed/>
    <w:rsid w:val="00B65D8F"/>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B65D8F"/>
    <w:rPr>
      <w:color w:val="0000FF"/>
      <w:u w:val="single"/>
    </w:rPr>
  </w:style>
  <w:style w:type="paragraph" w:styleId="TOCHeading">
    <w:name w:val="TOC Heading"/>
    <w:basedOn w:val="Heading1"/>
    <w:next w:val="Normal"/>
    <w:uiPriority w:val="39"/>
    <w:unhideWhenUsed/>
    <w:qFormat/>
    <w:rsid w:val="00FD6C6A"/>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D6C6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390/su131810383"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9/omi.2019.006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doi.org/10.1016/j.procs.2018.08.113"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57/s41599-021-0085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44FCE-65E6-4280-BF68-1AE902C43B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1</Pages>
  <Words>3383</Words>
  <Characters>19284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Angela Celac</cp:lastModifiedBy>
  <cp:revision>28</cp:revision>
  <dcterms:created xsi:type="dcterms:W3CDTF">2022-07-23T18:28:00Z</dcterms:created>
  <dcterms:modified xsi:type="dcterms:W3CDTF">2022-08-16T18:16:00Z</dcterms:modified>
</cp:coreProperties>
</file>