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webextensions/taskpanes.xml" ContentType="application/vnd.ms-office.webextensiontaskpanes+xml"/>
  <Override PartName="/word/webextensions/webextension1.xml" ContentType="application/vnd.ms-office.webextensio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microsoft.com/office/2011/relationships/webextensiontaskpanes" Target="word/webextensions/taskpanes.xml"/><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4648385" w14:textId="77777777" w:rsidR="00962DD5" w:rsidRPr="00597F69" w:rsidRDefault="0098055F" w:rsidP="0098055F">
      <w:pPr>
        <w:pStyle w:val="Title"/>
        <w:jc w:val="center"/>
        <w:rPr>
          <w:b/>
          <w:bCs/>
          <w:u w:val="single"/>
        </w:rPr>
      </w:pPr>
      <w:r w:rsidRPr="00597F69">
        <w:rPr>
          <w:b/>
          <w:bCs/>
          <w:u w:val="single"/>
        </w:rPr>
        <w:t>Mechanisms of Material Failure</w:t>
      </w:r>
    </w:p>
    <w:p w14:paraId="7F167D59" w14:textId="77777777" w:rsidR="0098055F" w:rsidRDefault="0098055F" w:rsidP="0098055F"/>
    <w:p w14:paraId="1CD3BF16" w14:textId="77777777" w:rsidR="0098055F" w:rsidRDefault="0098055F" w:rsidP="0098055F"/>
    <w:p w14:paraId="02567D4C" w14:textId="77777777" w:rsidR="00075625" w:rsidRPr="00597F69" w:rsidRDefault="00075625" w:rsidP="00075625">
      <w:pPr>
        <w:pStyle w:val="Title"/>
        <w:jc w:val="center"/>
        <w:rPr>
          <w:b/>
          <w:bCs/>
          <w:u w:val="single"/>
        </w:rPr>
      </w:pPr>
      <w:r w:rsidRPr="00597F69">
        <w:rPr>
          <w:b/>
          <w:bCs/>
          <w:u w:val="single"/>
        </w:rPr>
        <w:t>An investigation into the distortion of fabrications due to welding</w:t>
      </w:r>
    </w:p>
    <w:p w14:paraId="4B1178F7" w14:textId="77777777" w:rsidR="00597F69" w:rsidRDefault="00597F69" w:rsidP="00597F69"/>
    <w:p w14:paraId="785A89F3" w14:textId="77777777" w:rsidR="00597F69" w:rsidRDefault="00597F69" w:rsidP="00597F69"/>
    <w:p w14:paraId="446B278A" w14:textId="77777777" w:rsidR="00597F69" w:rsidRDefault="00597F69" w:rsidP="00597F69"/>
    <w:p w14:paraId="5DD8A123" w14:textId="77777777" w:rsidR="00597F69" w:rsidRDefault="00597F69" w:rsidP="00597F69"/>
    <w:p w14:paraId="5AAAAAE8" w14:textId="77777777" w:rsidR="00597F69" w:rsidRDefault="00597F69" w:rsidP="00597F69"/>
    <w:p w14:paraId="606B7566" w14:textId="77777777" w:rsidR="00597F69" w:rsidRDefault="00597F69" w:rsidP="00597F69">
      <w:r>
        <w:rPr>
          <w:noProof/>
        </w:rPr>
        <w:drawing>
          <wp:inline distT="0" distB="0" distL="0" distR="0" wp14:anchorId="19B43EBD" wp14:editId="32D7A84F">
            <wp:extent cx="5715000" cy="3810000"/>
            <wp:effectExtent l="0" t="0" r="0" b="0"/>
            <wp:docPr id="70911771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5715000" cy="3810000"/>
                    </a:xfrm>
                    <a:prstGeom prst="rect">
                      <a:avLst/>
                    </a:prstGeom>
                    <a:noFill/>
                  </pic:spPr>
                </pic:pic>
              </a:graphicData>
            </a:graphic>
          </wp:inline>
        </w:drawing>
      </w:r>
    </w:p>
    <w:p w14:paraId="1583B235" w14:textId="77777777" w:rsidR="00597F69" w:rsidRDefault="00597F69" w:rsidP="00597F69"/>
    <w:p w14:paraId="78586129" w14:textId="77777777" w:rsidR="00597F69" w:rsidRDefault="00597F69" w:rsidP="00597F69"/>
    <w:p w14:paraId="71944DCA" w14:textId="77777777" w:rsidR="00D85581" w:rsidRDefault="00D85581" w:rsidP="00597F69"/>
    <w:p w14:paraId="61792DCD" w14:textId="77777777" w:rsidR="00D85581" w:rsidRDefault="00D85581" w:rsidP="00597F69"/>
    <w:p w14:paraId="00DEEF36" w14:textId="77777777" w:rsidR="00D85581" w:rsidRDefault="00D85581" w:rsidP="00597F69"/>
    <w:sdt>
      <w:sdtPr>
        <w:rPr>
          <w:rFonts w:asciiTheme="minorHAnsi" w:eastAsiaTheme="minorHAnsi" w:hAnsiTheme="minorHAnsi" w:cstheme="minorBidi"/>
          <w:color w:val="auto"/>
          <w:kern w:val="2"/>
          <w:sz w:val="22"/>
          <w:szCs w:val="22"/>
          <w:lang w:eastAsia="en-US"/>
          <w14:ligatures w14:val="standardContextual"/>
        </w:rPr>
        <w:id w:val="940725443"/>
        <w:docPartObj>
          <w:docPartGallery w:val="Table of Contents"/>
          <w:docPartUnique/>
        </w:docPartObj>
      </w:sdtPr>
      <w:sdtEndPr>
        <w:rPr>
          <w:b/>
          <w:bCs/>
        </w:rPr>
      </w:sdtEndPr>
      <w:sdtContent>
        <w:p w14:paraId="038BA703" w14:textId="77777777" w:rsidR="001B26A1" w:rsidRDefault="001B26A1">
          <w:pPr>
            <w:pStyle w:val="TOCHeading"/>
          </w:pPr>
          <w:r>
            <w:t>Contents</w:t>
          </w:r>
        </w:p>
        <w:p w14:paraId="2FA8E7A5" w14:textId="3CC49A73" w:rsidR="00766D99" w:rsidRDefault="001B26A1">
          <w:pPr>
            <w:pStyle w:val="TOC2"/>
            <w:tabs>
              <w:tab w:val="right" w:leader="dot" w:pos="9016"/>
            </w:tabs>
            <w:rPr>
              <w:rFonts w:eastAsiaTheme="minorEastAsia"/>
              <w:noProof/>
              <w:sz w:val="24"/>
              <w:szCs w:val="24"/>
              <w:lang w:eastAsia="en-GB"/>
            </w:rPr>
          </w:pPr>
          <w:r>
            <w:fldChar w:fldCharType="begin"/>
          </w:r>
          <w:r>
            <w:instrText xml:space="preserve"> TOC \o "1-3" \h \z \u </w:instrText>
          </w:r>
          <w:r>
            <w:fldChar w:fldCharType="separate"/>
          </w:r>
          <w:hyperlink w:anchor="_Toc219073098" w:history="1">
            <w:r w:rsidR="00766D99" w:rsidRPr="00274C2F">
              <w:rPr>
                <w:rStyle w:val="Hyperlink"/>
                <w:b/>
                <w:bCs/>
                <w:noProof/>
              </w:rPr>
              <w:t>Introduction</w:t>
            </w:r>
            <w:r w:rsidR="00766D99">
              <w:rPr>
                <w:noProof/>
                <w:webHidden/>
              </w:rPr>
              <w:tab/>
            </w:r>
            <w:r w:rsidR="00766D99">
              <w:rPr>
                <w:noProof/>
                <w:webHidden/>
              </w:rPr>
              <w:fldChar w:fldCharType="begin"/>
            </w:r>
            <w:r w:rsidR="00766D99">
              <w:rPr>
                <w:noProof/>
                <w:webHidden/>
              </w:rPr>
              <w:instrText xml:space="preserve"> PAGEREF _Toc219073098 \h </w:instrText>
            </w:r>
            <w:r w:rsidR="00766D99">
              <w:rPr>
                <w:noProof/>
                <w:webHidden/>
              </w:rPr>
            </w:r>
            <w:r w:rsidR="00766D99">
              <w:rPr>
                <w:noProof/>
                <w:webHidden/>
              </w:rPr>
              <w:fldChar w:fldCharType="separate"/>
            </w:r>
            <w:r w:rsidR="00766D99">
              <w:rPr>
                <w:noProof/>
                <w:webHidden/>
              </w:rPr>
              <w:t>3</w:t>
            </w:r>
            <w:r w:rsidR="00766D99">
              <w:rPr>
                <w:noProof/>
                <w:webHidden/>
              </w:rPr>
              <w:fldChar w:fldCharType="end"/>
            </w:r>
          </w:hyperlink>
        </w:p>
        <w:p w14:paraId="7DCB8093" w14:textId="2B762A25" w:rsidR="00766D99" w:rsidRDefault="00766D99">
          <w:pPr>
            <w:pStyle w:val="TOC2"/>
            <w:tabs>
              <w:tab w:val="right" w:leader="dot" w:pos="9016"/>
            </w:tabs>
            <w:rPr>
              <w:rFonts w:eastAsiaTheme="minorEastAsia"/>
              <w:noProof/>
              <w:sz w:val="24"/>
              <w:szCs w:val="24"/>
              <w:lang w:eastAsia="en-GB"/>
            </w:rPr>
          </w:pPr>
          <w:hyperlink w:anchor="_Toc219073099" w:history="1">
            <w:r w:rsidRPr="00274C2F">
              <w:rPr>
                <w:rStyle w:val="Hyperlink"/>
                <w:b/>
                <w:bCs/>
                <w:noProof/>
              </w:rPr>
              <w:t>Selection of Solid-State Welding Process and Defence Application</w:t>
            </w:r>
            <w:r>
              <w:rPr>
                <w:noProof/>
                <w:webHidden/>
              </w:rPr>
              <w:tab/>
            </w:r>
            <w:r>
              <w:rPr>
                <w:noProof/>
                <w:webHidden/>
              </w:rPr>
              <w:fldChar w:fldCharType="begin"/>
            </w:r>
            <w:r>
              <w:rPr>
                <w:noProof/>
                <w:webHidden/>
              </w:rPr>
              <w:instrText xml:space="preserve"> PAGEREF _Toc219073099 \h </w:instrText>
            </w:r>
            <w:r>
              <w:rPr>
                <w:noProof/>
                <w:webHidden/>
              </w:rPr>
            </w:r>
            <w:r>
              <w:rPr>
                <w:noProof/>
                <w:webHidden/>
              </w:rPr>
              <w:fldChar w:fldCharType="separate"/>
            </w:r>
            <w:r>
              <w:rPr>
                <w:noProof/>
                <w:webHidden/>
              </w:rPr>
              <w:t>4</w:t>
            </w:r>
            <w:r>
              <w:rPr>
                <w:noProof/>
                <w:webHidden/>
              </w:rPr>
              <w:fldChar w:fldCharType="end"/>
            </w:r>
          </w:hyperlink>
        </w:p>
        <w:p w14:paraId="03108D3A" w14:textId="5C6B1F66" w:rsidR="00766D99" w:rsidRDefault="00766D99">
          <w:pPr>
            <w:pStyle w:val="TOC3"/>
            <w:tabs>
              <w:tab w:val="right" w:leader="dot" w:pos="9016"/>
            </w:tabs>
            <w:rPr>
              <w:rFonts w:eastAsiaTheme="minorEastAsia"/>
              <w:noProof/>
              <w:sz w:val="24"/>
              <w:szCs w:val="24"/>
              <w:lang w:eastAsia="en-GB"/>
            </w:rPr>
          </w:pPr>
          <w:hyperlink w:anchor="_Toc219073100" w:history="1">
            <w:r w:rsidRPr="00274C2F">
              <w:rPr>
                <w:rStyle w:val="Hyperlink"/>
                <w:noProof/>
              </w:rPr>
              <w:t>Fundamentals of Friction Stir Welding</w:t>
            </w:r>
            <w:r>
              <w:rPr>
                <w:noProof/>
                <w:webHidden/>
              </w:rPr>
              <w:tab/>
            </w:r>
            <w:r>
              <w:rPr>
                <w:noProof/>
                <w:webHidden/>
              </w:rPr>
              <w:fldChar w:fldCharType="begin"/>
            </w:r>
            <w:r>
              <w:rPr>
                <w:noProof/>
                <w:webHidden/>
              </w:rPr>
              <w:instrText xml:space="preserve"> PAGEREF _Toc219073100 \h </w:instrText>
            </w:r>
            <w:r>
              <w:rPr>
                <w:noProof/>
                <w:webHidden/>
              </w:rPr>
            </w:r>
            <w:r>
              <w:rPr>
                <w:noProof/>
                <w:webHidden/>
              </w:rPr>
              <w:fldChar w:fldCharType="separate"/>
            </w:r>
            <w:r>
              <w:rPr>
                <w:noProof/>
                <w:webHidden/>
              </w:rPr>
              <w:t>4</w:t>
            </w:r>
            <w:r>
              <w:rPr>
                <w:noProof/>
                <w:webHidden/>
              </w:rPr>
              <w:fldChar w:fldCharType="end"/>
            </w:r>
          </w:hyperlink>
        </w:p>
        <w:p w14:paraId="2D06AD6F" w14:textId="6ABC397A" w:rsidR="00766D99" w:rsidRDefault="00766D99">
          <w:pPr>
            <w:pStyle w:val="TOC3"/>
            <w:tabs>
              <w:tab w:val="right" w:leader="dot" w:pos="9016"/>
            </w:tabs>
            <w:rPr>
              <w:rFonts w:eastAsiaTheme="minorEastAsia"/>
              <w:noProof/>
              <w:sz w:val="24"/>
              <w:szCs w:val="24"/>
              <w:lang w:eastAsia="en-GB"/>
            </w:rPr>
          </w:pPr>
          <w:hyperlink w:anchor="_Toc219073101" w:history="1">
            <w:r w:rsidRPr="00274C2F">
              <w:rPr>
                <w:rStyle w:val="Hyperlink"/>
                <w:noProof/>
              </w:rPr>
              <w:t>Relevance to MoD and DE&amp;S Defence Vehicle Structures</w:t>
            </w:r>
            <w:r>
              <w:rPr>
                <w:noProof/>
                <w:webHidden/>
              </w:rPr>
              <w:tab/>
            </w:r>
            <w:r>
              <w:rPr>
                <w:noProof/>
                <w:webHidden/>
              </w:rPr>
              <w:fldChar w:fldCharType="begin"/>
            </w:r>
            <w:r>
              <w:rPr>
                <w:noProof/>
                <w:webHidden/>
              </w:rPr>
              <w:instrText xml:space="preserve"> PAGEREF _Toc219073101 \h </w:instrText>
            </w:r>
            <w:r>
              <w:rPr>
                <w:noProof/>
                <w:webHidden/>
              </w:rPr>
            </w:r>
            <w:r>
              <w:rPr>
                <w:noProof/>
                <w:webHidden/>
              </w:rPr>
              <w:fldChar w:fldCharType="separate"/>
            </w:r>
            <w:r>
              <w:rPr>
                <w:noProof/>
                <w:webHidden/>
              </w:rPr>
              <w:t>5</w:t>
            </w:r>
            <w:r>
              <w:rPr>
                <w:noProof/>
                <w:webHidden/>
              </w:rPr>
              <w:fldChar w:fldCharType="end"/>
            </w:r>
          </w:hyperlink>
        </w:p>
        <w:p w14:paraId="74383A1D" w14:textId="65790A6F" w:rsidR="00766D99" w:rsidRDefault="00766D99">
          <w:pPr>
            <w:pStyle w:val="TOC2"/>
            <w:tabs>
              <w:tab w:val="right" w:leader="dot" w:pos="9016"/>
            </w:tabs>
            <w:rPr>
              <w:rFonts w:eastAsiaTheme="minorEastAsia"/>
              <w:noProof/>
              <w:sz w:val="24"/>
              <w:szCs w:val="24"/>
              <w:lang w:eastAsia="en-GB"/>
            </w:rPr>
          </w:pPr>
          <w:hyperlink w:anchor="_Toc219073102" w:history="1">
            <w:r w:rsidRPr="00274C2F">
              <w:rPr>
                <w:rStyle w:val="Hyperlink"/>
                <w:b/>
                <w:bCs/>
                <w:noProof/>
              </w:rPr>
              <w:t>Distortion Control and Elimination of Dilution</w:t>
            </w:r>
            <w:r>
              <w:rPr>
                <w:noProof/>
                <w:webHidden/>
              </w:rPr>
              <w:tab/>
            </w:r>
            <w:r>
              <w:rPr>
                <w:noProof/>
                <w:webHidden/>
              </w:rPr>
              <w:fldChar w:fldCharType="begin"/>
            </w:r>
            <w:r>
              <w:rPr>
                <w:noProof/>
                <w:webHidden/>
              </w:rPr>
              <w:instrText xml:space="preserve"> PAGEREF _Toc219073102 \h </w:instrText>
            </w:r>
            <w:r>
              <w:rPr>
                <w:noProof/>
                <w:webHidden/>
              </w:rPr>
            </w:r>
            <w:r>
              <w:rPr>
                <w:noProof/>
                <w:webHidden/>
              </w:rPr>
              <w:fldChar w:fldCharType="separate"/>
            </w:r>
            <w:r>
              <w:rPr>
                <w:noProof/>
                <w:webHidden/>
              </w:rPr>
              <w:t>6</w:t>
            </w:r>
            <w:r>
              <w:rPr>
                <w:noProof/>
                <w:webHidden/>
              </w:rPr>
              <w:fldChar w:fldCharType="end"/>
            </w:r>
          </w:hyperlink>
        </w:p>
        <w:p w14:paraId="2C1A639F" w14:textId="58D1C6EC" w:rsidR="00766D99" w:rsidRDefault="00766D99">
          <w:pPr>
            <w:pStyle w:val="TOC3"/>
            <w:tabs>
              <w:tab w:val="right" w:leader="dot" w:pos="9016"/>
            </w:tabs>
            <w:rPr>
              <w:rFonts w:eastAsiaTheme="minorEastAsia"/>
              <w:noProof/>
              <w:sz w:val="24"/>
              <w:szCs w:val="24"/>
              <w:lang w:eastAsia="en-GB"/>
            </w:rPr>
          </w:pPr>
          <w:hyperlink w:anchor="_Toc219073103" w:history="1">
            <w:r w:rsidRPr="00274C2F">
              <w:rPr>
                <w:rStyle w:val="Hyperlink"/>
                <w:noProof/>
              </w:rPr>
              <w:t>Mechanisms of Distortion in Welded Defence Structures</w:t>
            </w:r>
            <w:r>
              <w:rPr>
                <w:noProof/>
                <w:webHidden/>
              </w:rPr>
              <w:tab/>
            </w:r>
            <w:r>
              <w:rPr>
                <w:noProof/>
                <w:webHidden/>
              </w:rPr>
              <w:fldChar w:fldCharType="begin"/>
            </w:r>
            <w:r>
              <w:rPr>
                <w:noProof/>
                <w:webHidden/>
              </w:rPr>
              <w:instrText xml:space="preserve"> PAGEREF _Toc219073103 \h </w:instrText>
            </w:r>
            <w:r>
              <w:rPr>
                <w:noProof/>
                <w:webHidden/>
              </w:rPr>
            </w:r>
            <w:r>
              <w:rPr>
                <w:noProof/>
                <w:webHidden/>
              </w:rPr>
              <w:fldChar w:fldCharType="separate"/>
            </w:r>
            <w:r>
              <w:rPr>
                <w:noProof/>
                <w:webHidden/>
              </w:rPr>
              <w:t>6</w:t>
            </w:r>
            <w:r>
              <w:rPr>
                <w:noProof/>
                <w:webHidden/>
              </w:rPr>
              <w:fldChar w:fldCharType="end"/>
            </w:r>
          </w:hyperlink>
        </w:p>
        <w:p w14:paraId="0B6C929F" w14:textId="7A8DC03E" w:rsidR="00766D99" w:rsidRDefault="00766D99">
          <w:pPr>
            <w:pStyle w:val="TOC3"/>
            <w:tabs>
              <w:tab w:val="right" w:leader="dot" w:pos="9016"/>
            </w:tabs>
            <w:rPr>
              <w:rFonts w:eastAsiaTheme="minorEastAsia"/>
              <w:noProof/>
              <w:sz w:val="24"/>
              <w:szCs w:val="24"/>
              <w:lang w:eastAsia="en-GB"/>
            </w:rPr>
          </w:pPr>
          <w:hyperlink w:anchor="_Toc219073104" w:history="1">
            <w:r w:rsidRPr="00274C2F">
              <w:rPr>
                <w:rStyle w:val="Hyperlink"/>
                <w:noProof/>
              </w:rPr>
              <w:t>Distortion Control in Friction Stir Welding</w:t>
            </w:r>
            <w:r>
              <w:rPr>
                <w:noProof/>
                <w:webHidden/>
              </w:rPr>
              <w:tab/>
            </w:r>
            <w:r>
              <w:rPr>
                <w:noProof/>
                <w:webHidden/>
              </w:rPr>
              <w:fldChar w:fldCharType="begin"/>
            </w:r>
            <w:r>
              <w:rPr>
                <w:noProof/>
                <w:webHidden/>
              </w:rPr>
              <w:instrText xml:space="preserve"> PAGEREF _Toc219073104 \h </w:instrText>
            </w:r>
            <w:r>
              <w:rPr>
                <w:noProof/>
                <w:webHidden/>
              </w:rPr>
            </w:r>
            <w:r>
              <w:rPr>
                <w:noProof/>
                <w:webHidden/>
              </w:rPr>
              <w:fldChar w:fldCharType="separate"/>
            </w:r>
            <w:r>
              <w:rPr>
                <w:noProof/>
                <w:webHidden/>
              </w:rPr>
              <w:t>6</w:t>
            </w:r>
            <w:r>
              <w:rPr>
                <w:noProof/>
                <w:webHidden/>
              </w:rPr>
              <w:fldChar w:fldCharType="end"/>
            </w:r>
          </w:hyperlink>
        </w:p>
        <w:p w14:paraId="5F4198A7" w14:textId="6046B5E2" w:rsidR="00766D99" w:rsidRDefault="00766D99">
          <w:pPr>
            <w:pStyle w:val="TOC3"/>
            <w:tabs>
              <w:tab w:val="right" w:leader="dot" w:pos="9016"/>
            </w:tabs>
            <w:rPr>
              <w:rFonts w:eastAsiaTheme="minorEastAsia"/>
              <w:noProof/>
              <w:sz w:val="24"/>
              <w:szCs w:val="24"/>
              <w:lang w:eastAsia="en-GB"/>
            </w:rPr>
          </w:pPr>
          <w:hyperlink w:anchor="_Toc219073105" w:history="1">
            <w:r w:rsidRPr="00274C2F">
              <w:rPr>
                <w:rStyle w:val="Hyperlink"/>
                <w:noProof/>
              </w:rPr>
              <w:t>Elimination of Dilution and Its Structural Implications</w:t>
            </w:r>
            <w:r>
              <w:rPr>
                <w:noProof/>
                <w:webHidden/>
              </w:rPr>
              <w:tab/>
            </w:r>
            <w:r>
              <w:rPr>
                <w:noProof/>
                <w:webHidden/>
              </w:rPr>
              <w:fldChar w:fldCharType="begin"/>
            </w:r>
            <w:r>
              <w:rPr>
                <w:noProof/>
                <w:webHidden/>
              </w:rPr>
              <w:instrText xml:space="preserve"> PAGEREF _Toc219073105 \h </w:instrText>
            </w:r>
            <w:r>
              <w:rPr>
                <w:noProof/>
                <w:webHidden/>
              </w:rPr>
            </w:r>
            <w:r>
              <w:rPr>
                <w:noProof/>
                <w:webHidden/>
              </w:rPr>
              <w:fldChar w:fldCharType="separate"/>
            </w:r>
            <w:r>
              <w:rPr>
                <w:noProof/>
                <w:webHidden/>
              </w:rPr>
              <w:t>7</w:t>
            </w:r>
            <w:r>
              <w:rPr>
                <w:noProof/>
                <w:webHidden/>
              </w:rPr>
              <w:fldChar w:fldCharType="end"/>
            </w:r>
          </w:hyperlink>
        </w:p>
        <w:p w14:paraId="728A3607" w14:textId="42E28B6B" w:rsidR="00766D99" w:rsidRDefault="00766D99">
          <w:pPr>
            <w:pStyle w:val="TOC2"/>
            <w:tabs>
              <w:tab w:val="right" w:leader="dot" w:pos="9016"/>
            </w:tabs>
            <w:rPr>
              <w:rFonts w:eastAsiaTheme="minorEastAsia"/>
              <w:noProof/>
              <w:sz w:val="24"/>
              <w:szCs w:val="24"/>
              <w:lang w:eastAsia="en-GB"/>
            </w:rPr>
          </w:pPr>
          <w:hyperlink w:anchor="_Toc219073106" w:history="1">
            <w:r w:rsidRPr="00274C2F">
              <w:rPr>
                <w:rStyle w:val="Hyperlink"/>
                <w:b/>
                <w:bCs/>
                <w:noProof/>
              </w:rPr>
              <w:t>Welding Preparations, Fixtures, and Restraint</w:t>
            </w:r>
            <w:r>
              <w:rPr>
                <w:noProof/>
                <w:webHidden/>
              </w:rPr>
              <w:tab/>
            </w:r>
            <w:r>
              <w:rPr>
                <w:noProof/>
                <w:webHidden/>
              </w:rPr>
              <w:fldChar w:fldCharType="begin"/>
            </w:r>
            <w:r>
              <w:rPr>
                <w:noProof/>
                <w:webHidden/>
              </w:rPr>
              <w:instrText xml:space="preserve"> PAGEREF _Toc219073106 \h </w:instrText>
            </w:r>
            <w:r>
              <w:rPr>
                <w:noProof/>
                <w:webHidden/>
              </w:rPr>
            </w:r>
            <w:r>
              <w:rPr>
                <w:noProof/>
                <w:webHidden/>
              </w:rPr>
              <w:fldChar w:fldCharType="separate"/>
            </w:r>
            <w:r>
              <w:rPr>
                <w:noProof/>
                <w:webHidden/>
              </w:rPr>
              <w:t>7</w:t>
            </w:r>
            <w:r>
              <w:rPr>
                <w:noProof/>
                <w:webHidden/>
              </w:rPr>
              <w:fldChar w:fldCharType="end"/>
            </w:r>
          </w:hyperlink>
        </w:p>
        <w:p w14:paraId="3B4791F2" w14:textId="37123BE7" w:rsidR="00766D99" w:rsidRDefault="00766D99">
          <w:pPr>
            <w:pStyle w:val="TOC2"/>
            <w:tabs>
              <w:tab w:val="right" w:leader="dot" w:pos="9016"/>
            </w:tabs>
            <w:rPr>
              <w:rFonts w:eastAsiaTheme="minorEastAsia"/>
              <w:noProof/>
              <w:sz w:val="24"/>
              <w:szCs w:val="24"/>
              <w:lang w:eastAsia="en-GB"/>
            </w:rPr>
          </w:pPr>
          <w:hyperlink w:anchor="_Toc219073107" w:history="1">
            <w:r w:rsidRPr="00274C2F">
              <w:rPr>
                <w:rStyle w:val="Hyperlink"/>
                <w:b/>
                <w:bCs/>
                <w:noProof/>
              </w:rPr>
              <w:t>Welding Procedure and Thermal Management</w:t>
            </w:r>
            <w:r>
              <w:rPr>
                <w:noProof/>
                <w:webHidden/>
              </w:rPr>
              <w:tab/>
            </w:r>
            <w:r>
              <w:rPr>
                <w:noProof/>
                <w:webHidden/>
              </w:rPr>
              <w:fldChar w:fldCharType="begin"/>
            </w:r>
            <w:r>
              <w:rPr>
                <w:noProof/>
                <w:webHidden/>
              </w:rPr>
              <w:instrText xml:space="preserve"> PAGEREF _Toc219073107 \h </w:instrText>
            </w:r>
            <w:r>
              <w:rPr>
                <w:noProof/>
                <w:webHidden/>
              </w:rPr>
            </w:r>
            <w:r>
              <w:rPr>
                <w:noProof/>
                <w:webHidden/>
              </w:rPr>
              <w:fldChar w:fldCharType="separate"/>
            </w:r>
            <w:r>
              <w:rPr>
                <w:noProof/>
                <w:webHidden/>
              </w:rPr>
              <w:t>8</w:t>
            </w:r>
            <w:r>
              <w:rPr>
                <w:noProof/>
                <w:webHidden/>
              </w:rPr>
              <w:fldChar w:fldCharType="end"/>
            </w:r>
          </w:hyperlink>
        </w:p>
        <w:p w14:paraId="43B6BDDE" w14:textId="3E591901" w:rsidR="00766D99" w:rsidRDefault="00766D99">
          <w:pPr>
            <w:pStyle w:val="TOC2"/>
            <w:tabs>
              <w:tab w:val="right" w:leader="dot" w:pos="9016"/>
            </w:tabs>
            <w:rPr>
              <w:rFonts w:eastAsiaTheme="minorEastAsia"/>
              <w:noProof/>
              <w:sz w:val="24"/>
              <w:szCs w:val="24"/>
              <w:lang w:eastAsia="en-GB"/>
            </w:rPr>
          </w:pPr>
          <w:hyperlink w:anchor="_Toc219073108" w:history="1">
            <w:r w:rsidRPr="00274C2F">
              <w:rPr>
                <w:rStyle w:val="Hyperlink"/>
                <w:b/>
                <w:bCs/>
                <w:noProof/>
              </w:rPr>
              <w:t>Fracture Behaviour of FSW Defence Structures</w:t>
            </w:r>
            <w:r>
              <w:rPr>
                <w:noProof/>
                <w:webHidden/>
              </w:rPr>
              <w:tab/>
            </w:r>
            <w:r>
              <w:rPr>
                <w:noProof/>
                <w:webHidden/>
              </w:rPr>
              <w:fldChar w:fldCharType="begin"/>
            </w:r>
            <w:r>
              <w:rPr>
                <w:noProof/>
                <w:webHidden/>
              </w:rPr>
              <w:instrText xml:space="preserve"> PAGEREF _Toc219073108 \h </w:instrText>
            </w:r>
            <w:r>
              <w:rPr>
                <w:noProof/>
                <w:webHidden/>
              </w:rPr>
            </w:r>
            <w:r>
              <w:rPr>
                <w:noProof/>
                <w:webHidden/>
              </w:rPr>
              <w:fldChar w:fldCharType="separate"/>
            </w:r>
            <w:r>
              <w:rPr>
                <w:noProof/>
                <w:webHidden/>
              </w:rPr>
              <w:t>8</w:t>
            </w:r>
            <w:r>
              <w:rPr>
                <w:noProof/>
                <w:webHidden/>
              </w:rPr>
              <w:fldChar w:fldCharType="end"/>
            </w:r>
          </w:hyperlink>
        </w:p>
        <w:p w14:paraId="549EB607" w14:textId="3D62B2A5" w:rsidR="00766D99" w:rsidRDefault="00766D99">
          <w:pPr>
            <w:pStyle w:val="TOC2"/>
            <w:tabs>
              <w:tab w:val="right" w:leader="dot" w:pos="9016"/>
            </w:tabs>
            <w:rPr>
              <w:rFonts w:eastAsiaTheme="minorEastAsia"/>
              <w:noProof/>
              <w:sz w:val="24"/>
              <w:szCs w:val="24"/>
              <w:lang w:eastAsia="en-GB"/>
            </w:rPr>
          </w:pPr>
          <w:hyperlink w:anchor="_Toc219073109" w:history="1">
            <w:r w:rsidRPr="00274C2F">
              <w:rPr>
                <w:rStyle w:val="Hyperlink"/>
                <w:b/>
                <w:bCs/>
                <w:noProof/>
              </w:rPr>
              <w:t>Fatigue Behaviour in Military Vehicle Service</w:t>
            </w:r>
            <w:r>
              <w:rPr>
                <w:noProof/>
                <w:webHidden/>
              </w:rPr>
              <w:tab/>
            </w:r>
            <w:r>
              <w:rPr>
                <w:noProof/>
                <w:webHidden/>
              </w:rPr>
              <w:fldChar w:fldCharType="begin"/>
            </w:r>
            <w:r>
              <w:rPr>
                <w:noProof/>
                <w:webHidden/>
              </w:rPr>
              <w:instrText xml:space="preserve"> PAGEREF _Toc219073109 \h </w:instrText>
            </w:r>
            <w:r>
              <w:rPr>
                <w:noProof/>
                <w:webHidden/>
              </w:rPr>
            </w:r>
            <w:r>
              <w:rPr>
                <w:noProof/>
                <w:webHidden/>
              </w:rPr>
              <w:fldChar w:fldCharType="separate"/>
            </w:r>
            <w:r>
              <w:rPr>
                <w:noProof/>
                <w:webHidden/>
              </w:rPr>
              <w:t>9</w:t>
            </w:r>
            <w:r>
              <w:rPr>
                <w:noProof/>
                <w:webHidden/>
              </w:rPr>
              <w:fldChar w:fldCharType="end"/>
            </w:r>
          </w:hyperlink>
        </w:p>
        <w:p w14:paraId="67BA1636" w14:textId="66AB146F" w:rsidR="00766D99" w:rsidRDefault="00766D99">
          <w:pPr>
            <w:pStyle w:val="TOC2"/>
            <w:tabs>
              <w:tab w:val="right" w:leader="dot" w:pos="9016"/>
            </w:tabs>
            <w:rPr>
              <w:rFonts w:eastAsiaTheme="minorEastAsia"/>
              <w:noProof/>
              <w:sz w:val="24"/>
              <w:szCs w:val="24"/>
              <w:lang w:eastAsia="en-GB"/>
            </w:rPr>
          </w:pPr>
          <w:hyperlink w:anchor="_Toc219073110" w:history="1">
            <w:r w:rsidRPr="00274C2F">
              <w:rPr>
                <w:rStyle w:val="Hyperlink"/>
                <w:b/>
                <w:bCs/>
                <w:noProof/>
              </w:rPr>
              <w:t>Creep Behaviour of FSW Aluminium Structures</w:t>
            </w:r>
            <w:r>
              <w:rPr>
                <w:noProof/>
                <w:webHidden/>
              </w:rPr>
              <w:tab/>
            </w:r>
            <w:r>
              <w:rPr>
                <w:noProof/>
                <w:webHidden/>
              </w:rPr>
              <w:fldChar w:fldCharType="begin"/>
            </w:r>
            <w:r>
              <w:rPr>
                <w:noProof/>
                <w:webHidden/>
              </w:rPr>
              <w:instrText xml:space="preserve"> PAGEREF _Toc219073110 \h </w:instrText>
            </w:r>
            <w:r>
              <w:rPr>
                <w:noProof/>
                <w:webHidden/>
              </w:rPr>
            </w:r>
            <w:r>
              <w:rPr>
                <w:noProof/>
                <w:webHidden/>
              </w:rPr>
              <w:fldChar w:fldCharType="separate"/>
            </w:r>
            <w:r>
              <w:rPr>
                <w:noProof/>
                <w:webHidden/>
              </w:rPr>
              <w:t>9</w:t>
            </w:r>
            <w:r>
              <w:rPr>
                <w:noProof/>
                <w:webHidden/>
              </w:rPr>
              <w:fldChar w:fldCharType="end"/>
            </w:r>
          </w:hyperlink>
        </w:p>
        <w:p w14:paraId="68F3167E" w14:textId="2E167C99" w:rsidR="00766D99" w:rsidRDefault="00766D99">
          <w:pPr>
            <w:pStyle w:val="TOC2"/>
            <w:tabs>
              <w:tab w:val="right" w:leader="dot" w:pos="9016"/>
            </w:tabs>
            <w:rPr>
              <w:rFonts w:eastAsiaTheme="minorEastAsia"/>
              <w:noProof/>
              <w:sz w:val="24"/>
              <w:szCs w:val="24"/>
              <w:lang w:eastAsia="en-GB"/>
            </w:rPr>
          </w:pPr>
          <w:hyperlink w:anchor="_Toc219073111" w:history="1">
            <w:r w:rsidRPr="00274C2F">
              <w:rPr>
                <w:rStyle w:val="Hyperlink"/>
                <w:b/>
                <w:bCs/>
                <w:noProof/>
              </w:rPr>
              <w:t>Environmental Degradation of FSW Defence Structures</w:t>
            </w:r>
            <w:r>
              <w:rPr>
                <w:noProof/>
                <w:webHidden/>
              </w:rPr>
              <w:tab/>
            </w:r>
            <w:r>
              <w:rPr>
                <w:noProof/>
                <w:webHidden/>
              </w:rPr>
              <w:fldChar w:fldCharType="begin"/>
            </w:r>
            <w:r>
              <w:rPr>
                <w:noProof/>
                <w:webHidden/>
              </w:rPr>
              <w:instrText xml:space="preserve"> PAGEREF _Toc219073111 \h </w:instrText>
            </w:r>
            <w:r>
              <w:rPr>
                <w:noProof/>
                <w:webHidden/>
              </w:rPr>
            </w:r>
            <w:r>
              <w:rPr>
                <w:noProof/>
                <w:webHidden/>
              </w:rPr>
              <w:fldChar w:fldCharType="separate"/>
            </w:r>
            <w:r>
              <w:rPr>
                <w:noProof/>
                <w:webHidden/>
              </w:rPr>
              <w:t>10</w:t>
            </w:r>
            <w:r>
              <w:rPr>
                <w:noProof/>
                <w:webHidden/>
              </w:rPr>
              <w:fldChar w:fldCharType="end"/>
            </w:r>
          </w:hyperlink>
        </w:p>
        <w:p w14:paraId="50B2C9CC" w14:textId="149D1F1D" w:rsidR="00766D99" w:rsidRDefault="00766D99">
          <w:pPr>
            <w:pStyle w:val="TOC2"/>
            <w:tabs>
              <w:tab w:val="right" w:leader="dot" w:pos="9016"/>
            </w:tabs>
            <w:rPr>
              <w:rFonts w:eastAsiaTheme="minorEastAsia"/>
              <w:noProof/>
              <w:sz w:val="24"/>
              <w:szCs w:val="24"/>
              <w:lang w:eastAsia="en-GB"/>
            </w:rPr>
          </w:pPr>
          <w:hyperlink w:anchor="_Toc219073112" w:history="1">
            <w:r w:rsidRPr="00274C2F">
              <w:rPr>
                <w:rStyle w:val="Hyperlink"/>
                <w:b/>
                <w:bCs/>
                <w:noProof/>
              </w:rPr>
              <w:t>Conclusion</w:t>
            </w:r>
            <w:r>
              <w:rPr>
                <w:noProof/>
                <w:webHidden/>
              </w:rPr>
              <w:tab/>
            </w:r>
            <w:r>
              <w:rPr>
                <w:noProof/>
                <w:webHidden/>
              </w:rPr>
              <w:fldChar w:fldCharType="begin"/>
            </w:r>
            <w:r>
              <w:rPr>
                <w:noProof/>
                <w:webHidden/>
              </w:rPr>
              <w:instrText xml:space="preserve"> PAGEREF _Toc219073112 \h </w:instrText>
            </w:r>
            <w:r>
              <w:rPr>
                <w:noProof/>
                <w:webHidden/>
              </w:rPr>
            </w:r>
            <w:r>
              <w:rPr>
                <w:noProof/>
                <w:webHidden/>
              </w:rPr>
              <w:fldChar w:fldCharType="separate"/>
            </w:r>
            <w:r>
              <w:rPr>
                <w:noProof/>
                <w:webHidden/>
              </w:rPr>
              <w:t>10</w:t>
            </w:r>
            <w:r>
              <w:rPr>
                <w:noProof/>
                <w:webHidden/>
              </w:rPr>
              <w:fldChar w:fldCharType="end"/>
            </w:r>
          </w:hyperlink>
        </w:p>
        <w:p w14:paraId="75F471C5" w14:textId="4C350A7F" w:rsidR="00766D99" w:rsidRDefault="00766D99">
          <w:pPr>
            <w:pStyle w:val="TOC2"/>
            <w:tabs>
              <w:tab w:val="right" w:leader="dot" w:pos="9016"/>
            </w:tabs>
            <w:rPr>
              <w:rFonts w:eastAsiaTheme="minorEastAsia"/>
              <w:noProof/>
              <w:sz w:val="24"/>
              <w:szCs w:val="24"/>
              <w:lang w:eastAsia="en-GB"/>
            </w:rPr>
          </w:pPr>
          <w:hyperlink w:anchor="_Toc219073113" w:history="1">
            <w:r w:rsidRPr="00274C2F">
              <w:rPr>
                <w:rStyle w:val="Hyperlink"/>
                <w:b/>
                <w:bCs/>
                <w:noProof/>
              </w:rPr>
              <w:t>References</w:t>
            </w:r>
            <w:r>
              <w:rPr>
                <w:noProof/>
                <w:webHidden/>
              </w:rPr>
              <w:tab/>
            </w:r>
            <w:r>
              <w:rPr>
                <w:noProof/>
                <w:webHidden/>
              </w:rPr>
              <w:fldChar w:fldCharType="begin"/>
            </w:r>
            <w:r>
              <w:rPr>
                <w:noProof/>
                <w:webHidden/>
              </w:rPr>
              <w:instrText xml:space="preserve"> PAGEREF _Toc219073113 \h </w:instrText>
            </w:r>
            <w:r>
              <w:rPr>
                <w:noProof/>
                <w:webHidden/>
              </w:rPr>
            </w:r>
            <w:r>
              <w:rPr>
                <w:noProof/>
                <w:webHidden/>
              </w:rPr>
              <w:fldChar w:fldCharType="separate"/>
            </w:r>
            <w:r>
              <w:rPr>
                <w:noProof/>
                <w:webHidden/>
              </w:rPr>
              <w:t>12</w:t>
            </w:r>
            <w:r>
              <w:rPr>
                <w:noProof/>
                <w:webHidden/>
              </w:rPr>
              <w:fldChar w:fldCharType="end"/>
            </w:r>
          </w:hyperlink>
        </w:p>
        <w:p w14:paraId="0D72F6CD" w14:textId="3DBD8A87" w:rsidR="001B26A1" w:rsidRDefault="001B26A1">
          <w:r>
            <w:rPr>
              <w:b/>
              <w:bCs/>
            </w:rPr>
            <w:fldChar w:fldCharType="end"/>
          </w:r>
        </w:p>
      </w:sdtContent>
    </w:sdt>
    <w:p w14:paraId="0E72C05C" w14:textId="77777777" w:rsidR="001B26A1" w:rsidRDefault="001B26A1" w:rsidP="00597F69"/>
    <w:p w14:paraId="634A5180" w14:textId="77777777" w:rsidR="001B26A1" w:rsidRDefault="001B26A1" w:rsidP="00597F69"/>
    <w:p w14:paraId="352591AA" w14:textId="77777777" w:rsidR="001B26A1" w:rsidRDefault="001B26A1" w:rsidP="00597F69"/>
    <w:p w14:paraId="7D51EB64" w14:textId="77777777" w:rsidR="001B26A1" w:rsidRDefault="001B26A1" w:rsidP="00597F69"/>
    <w:p w14:paraId="4AC043DA" w14:textId="77777777" w:rsidR="001B26A1" w:rsidRDefault="001B26A1" w:rsidP="00597F69"/>
    <w:p w14:paraId="4CF7EB05" w14:textId="77777777" w:rsidR="001B26A1" w:rsidRDefault="001B26A1" w:rsidP="00597F69"/>
    <w:p w14:paraId="5DFFFD13" w14:textId="77777777" w:rsidR="001B26A1" w:rsidRDefault="001B26A1" w:rsidP="00597F69"/>
    <w:p w14:paraId="409CAF13" w14:textId="77777777" w:rsidR="001B26A1" w:rsidRDefault="001B26A1" w:rsidP="00597F69"/>
    <w:p w14:paraId="55F53854" w14:textId="77777777" w:rsidR="001B26A1" w:rsidRDefault="001B26A1" w:rsidP="00597F69"/>
    <w:p w14:paraId="3B7ED2D8" w14:textId="77777777" w:rsidR="001B26A1" w:rsidRDefault="001B26A1" w:rsidP="00597F69"/>
    <w:p w14:paraId="0B6B8AA1" w14:textId="77777777" w:rsidR="001B26A1" w:rsidRDefault="001B26A1" w:rsidP="00597F69"/>
    <w:p w14:paraId="37B1F404" w14:textId="77777777" w:rsidR="001B26A1" w:rsidRDefault="001B26A1" w:rsidP="00597F69"/>
    <w:p w14:paraId="40EB19C4" w14:textId="77777777" w:rsidR="001B26A1" w:rsidRDefault="001B26A1" w:rsidP="00597F69"/>
    <w:p w14:paraId="164845A7" w14:textId="77777777" w:rsidR="0038088F" w:rsidRPr="0009024D" w:rsidRDefault="0038088F" w:rsidP="000923A8">
      <w:pPr>
        <w:pStyle w:val="Heading2"/>
        <w:rPr>
          <w:b/>
          <w:bCs/>
        </w:rPr>
      </w:pPr>
      <w:bookmarkStart w:id="0" w:name="_Toc219073098"/>
      <w:r w:rsidRPr="0009024D">
        <w:rPr>
          <w:b/>
          <w:bCs/>
        </w:rPr>
        <w:lastRenderedPageBreak/>
        <w:t>Introduction</w:t>
      </w:r>
      <w:bookmarkEnd w:id="0"/>
    </w:p>
    <w:p w14:paraId="6DA4DC26" w14:textId="77777777" w:rsidR="0084476B" w:rsidRPr="008B187A" w:rsidRDefault="0084476B" w:rsidP="0084476B">
      <w:pPr>
        <w:rPr>
          <w:sz w:val="24"/>
          <w:szCs w:val="24"/>
        </w:rPr>
      </w:pPr>
      <w:r w:rsidRPr="008B187A">
        <w:rPr>
          <w:sz w:val="24"/>
          <w:szCs w:val="24"/>
        </w:rPr>
        <w:t>The manufacture of modern military land vehicles represents a complex, multidisciplinary engineering challenge in which structural performance, survivability, manufacturability, and through-life durability must be balanced against stringent weight, cost, and schedule constraints. Platforms procured through the United Kingdom Ministry of Defence (MoD) and delivered via Defence Equipment &amp; Support (DE&amp;S) are required to operate reliably across a wide range of hostile environments, including arid desert conditions, maritime atmospheres, cold-weather theatres, and high-vibration off-road terrain. In addition to environmental exposure, these vehicles must withstand severe mechanical loading arising from payload variation, prolonged cyclic service, blast effects, ballistic impact, and accidental overload scenarios.</w:t>
      </w:r>
    </w:p>
    <w:p w14:paraId="689E9EC1" w14:textId="77777777" w:rsidR="0084476B" w:rsidRPr="008B187A" w:rsidRDefault="0084476B" w:rsidP="0084476B">
      <w:pPr>
        <w:rPr>
          <w:sz w:val="24"/>
          <w:szCs w:val="24"/>
        </w:rPr>
      </w:pPr>
      <w:r w:rsidRPr="008B187A">
        <w:rPr>
          <w:sz w:val="24"/>
          <w:szCs w:val="24"/>
        </w:rPr>
        <w:t xml:space="preserve">To meet these requirements, modern defence vehicle architectures increasingly employ lightweight metallic materials, particularly aluminium alloys, </w:t>
      </w:r>
      <w:proofErr w:type="gramStart"/>
      <w:r w:rsidRPr="008B187A">
        <w:rPr>
          <w:sz w:val="24"/>
          <w:szCs w:val="24"/>
        </w:rPr>
        <w:t>in order to</w:t>
      </w:r>
      <w:proofErr w:type="gramEnd"/>
      <w:r w:rsidRPr="008B187A">
        <w:rPr>
          <w:sz w:val="24"/>
          <w:szCs w:val="24"/>
        </w:rPr>
        <w:t xml:space="preserve"> reduce mass while maintaining adequate structural performance. Weight reduction directly enhances operational mobility, improves fuel efficiency, increases payload capacity, and supports rapid deployability. However, while aluminium alloys offer clear system-level advantages, their structural performance is highly sensitive to manufacturing processes, particularly joining techniques. Welding-induced microstructural changes, residual stresses, and geometric distortion can significantly degrade the mechanical integrity and durability of aluminium structures if not properly controlled.</w:t>
      </w:r>
    </w:p>
    <w:p w14:paraId="283D432F" w14:textId="2445F84E" w:rsidR="0084476B" w:rsidRPr="008B187A" w:rsidRDefault="0084476B" w:rsidP="0084476B">
      <w:pPr>
        <w:rPr>
          <w:sz w:val="24"/>
          <w:szCs w:val="24"/>
        </w:rPr>
      </w:pPr>
      <w:r w:rsidRPr="008B187A">
        <w:rPr>
          <w:sz w:val="24"/>
          <w:szCs w:val="24"/>
        </w:rPr>
        <w:t>Welding remains the dominant manufacturing method for assembling vehicle hulls, frames, floors, and armour support structures. Conventional fusion welding processes</w:t>
      </w:r>
      <w:r w:rsidR="00F71EE7">
        <w:rPr>
          <w:sz w:val="24"/>
          <w:szCs w:val="24"/>
        </w:rPr>
        <w:t xml:space="preserve"> </w:t>
      </w:r>
      <w:r w:rsidRPr="008B187A">
        <w:rPr>
          <w:sz w:val="24"/>
          <w:szCs w:val="24"/>
        </w:rPr>
        <w:t>rely on localised melting and solidification of the base material. These processes inherently introduce steep thermal gradients, solidification shrinkage, and non-uniform microstructures. The resulting residual tensile stresses and metallurgical heterogeneity</w:t>
      </w:r>
      <w:r w:rsidR="00474221">
        <w:rPr>
          <w:sz w:val="24"/>
          <w:szCs w:val="24"/>
        </w:rPr>
        <w:t xml:space="preserve"> </w:t>
      </w:r>
      <w:r w:rsidRPr="008B187A">
        <w:rPr>
          <w:sz w:val="24"/>
          <w:szCs w:val="24"/>
        </w:rPr>
        <w:t>are well known to promote crack initiation and accelerate degradation mechanisms such as fatigue, fracture, creep, and environmentally assisted cracking. (Callister and Rethwisch, 2020) (Anderson, 2017)</w:t>
      </w:r>
    </w:p>
    <w:p w14:paraId="51471939" w14:textId="029C5941" w:rsidR="0084476B" w:rsidRPr="008B187A" w:rsidRDefault="0084476B" w:rsidP="0084476B">
      <w:pPr>
        <w:rPr>
          <w:sz w:val="24"/>
          <w:szCs w:val="24"/>
        </w:rPr>
      </w:pPr>
      <w:r w:rsidRPr="008B187A">
        <w:rPr>
          <w:sz w:val="24"/>
          <w:szCs w:val="24"/>
        </w:rPr>
        <w:t>In defence vehicle applications, weld-induced distortion presents a particularly significant risk. Even modest geometric deviations can lead to misalignment of suspension systems, incorrect armour geometry, compromised blast mitigation performance, and increased assembly rework. Furthermore, residual stresses introduced during fusion welding act as a driving force for fatigue crack growth and stress corrosion cracking, both of which represent life-limiting failure modes in long-term military service. These risks are explicitly addressed within MoD safety and quality frameworks, which emphasise the need to minimise latent manufacturing defects that could manifest as in-service failures. (Callister and Rethwisch, 2020) (Srinivasan et al., 2005; Cabrini et al., 2020) (Defence Safety Authority (DSA), 2024)</w:t>
      </w:r>
    </w:p>
    <w:p w14:paraId="2F9F6D8F" w14:textId="4803B5C9" w:rsidR="0056282D" w:rsidRPr="008B187A" w:rsidRDefault="0084476B" w:rsidP="0084476B">
      <w:pPr>
        <w:rPr>
          <w:sz w:val="24"/>
          <w:szCs w:val="24"/>
        </w:rPr>
      </w:pPr>
      <w:r w:rsidRPr="008B187A">
        <w:rPr>
          <w:sz w:val="24"/>
          <w:szCs w:val="24"/>
        </w:rPr>
        <w:t xml:space="preserve">Solid-state welding processes provide a fundamentally different approach to joint formation by avoiding melting and solidification altogether. Among these processes, Friction Stir Welding (FSW) has emerged as a mature and industrially proven </w:t>
      </w:r>
      <w:r w:rsidRPr="008B187A">
        <w:rPr>
          <w:sz w:val="24"/>
          <w:szCs w:val="24"/>
        </w:rPr>
        <w:lastRenderedPageBreak/>
        <w:t>technology, particularly within aerospace and defence manufacturing. (Callister and Rethwisch, 2020) (Mishra and Ma, 2005; Threadgill et al., 2009)</w:t>
      </w:r>
    </w:p>
    <w:p w14:paraId="123AD63A" w14:textId="77777777" w:rsidR="0084476B" w:rsidRPr="008B187A" w:rsidRDefault="0084476B" w:rsidP="0084476B">
      <w:pPr>
        <w:rPr>
          <w:sz w:val="24"/>
          <w:szCs w:val="24"/>
        </w:rPr>
      </w:pPr>
      <w:r w:rsidRPr="008B187A">
        <w:rPr>
          <w:sz w:val="24"/>
          <w:szCs w:val="24"/>
        </w:rPr>
        <w:t>By joining material below its melting temperature, FSW offers substantial reductions in heat input, distortion, and residual stress while producing refined microstructures with enhanced mechanical and environmental performance.</w:t>
      </w:r>
    </w:p>
    <w:p w14:paraId="76392949" w14:textId="77777777" w:rsidR="0084476B" w:rsidRPr="008B187A" w:rsidRDefault="0084476B" w:rsidP="0084476B">
      <w:pPr>
        <w:rPr>
          <w:sz w:val="24"/>
          <w:szCs w:val="24"/>
        </w:rPr>
      </w:pPr>
      <w:r w:rsidRPr="008B187A">
        <w:rPr>
          <w:sz w:val="24"/>
          <w:szCs w:val="24"/>
        </w:rPr>
        <w:t xml:space="preserve">This paper critically examines the application of Friction Stir Welding to aluminium defence vehicle structures within a MoD / DE&amp;S context. It evaluates how FSW addresses distortion and dilution and provides an in-depth analysis of its influence on fracture, fatigue, creep, and environmental degradation mechanisms. </w:t>
      </w:r>
    </w:p>
    <w:p w14:paraId="09F1DAE5" w14:textId="77777777" w:rsidR="0084476B" w:rsidRPr="0084476B" w:rsidRDefault="0084476B" w:rsidP="0084476B">
      <w:pPr>
        <w:rPr>
          <w:sz w:val="24"/>
          <w:szCs w:val="24"/>
        </w:rPr>
      </w:pPr>
    </w:p>
    <w:p w14:paraId="7A807A95" w14:textId="3EBD720D" w:rsidR="0084476B" w:rsidRPr="004B20E6" w:rsidRDefault="0084476B" w:rsidP="004B20E6">
      <w:pPr>
        <w:pStyle w:val="Heading2"/>
        <w:rPr>
          <w:b/>
          <w:bCs/>
        </w:rPr>
      </w:pPr>
      <w:bookmarkStart w:id="1" w:name="_Toc219073099"/>
      <w:r w:rsidRPr="0009024D">
        <w:rPr>
          <w:b/>
          <w:bCs/>
        </w:rPr>
        <w:t>Selection of Solid-State Welding Process and Defence Application</w:t>
      </w:r>
      <w:bookmarkEnd w:id="1"/>
    </w:p>
    <w:p w14:paraId="2DEB8E35" w14:textId="77777777" w:rsidR="0084476B" w:rsidRPr="0084476B" w:rsidRDefault="0084476B" w:rsidP="0084476B">
      <w:pPr>
        <w:pStyle w:val="Heading3"/>
      </w:pPr>
      <w:bookmarkStart w:id="2" w:name="_Toc219073100"/>
      <w:r w:rsidRPr="0084476B">
        <w:t>Fundamentals of Friction Stir Welding</w:t>
      </w:r>
      <w:bookmarkEnd w:id="2"/>
    </w:p>
    <w:p w14:paraId="40BB4645" w14:textId="77777777" w:rsidR="0084476B" w:rsidRPr="008B187A" w:rsidRDefault="0084476B" w:rsidP="0084476B">
      <w:pPr>
        <w:rPr>
          <w:sz w:val="24"/>
          <w:szCs w:val="24"/>
        </w:rPr>
      </w:pPr>
      <w:r w:rsidRPr="008B187A">
        <w:rPr>
          <w:sz w:val="24"/>
          <w:szCs w:val="24"/>
        </w:rPr>
        <w:t>Friction Stir Welding is a solid-state joining process in which a rotating, non-consumable tool consisting of a shoulder and a protruding pin is plunged into the joint line between two abutting components. Heat is generated through friction at the tool–workpiece interface and through severe plastic deformation of the surrounding material. This heat raises the local temperature to a level at which the material becomes highly plasticised while remaining below the solidus temperature, thereby preventing melting. (Mishra and Ma, 2005; Threadgill et al., 2009)</w:t>
      </w:r>
    </w:p>
    <w:p w14:paraId="6B8395B0" w14:textId="4426EDD6" w:rsidR="0084476B" w:rsidRPr="008B187A" w:rsidRDefault="0084476B" w:rsidP="0084476B">
      <w:pPr>
        <w:rPr>
          <w:sz w:val="24"/>
          <w:szCs w:val="24"/>
        </w:rPr>
      </w:pPr>
      <w:r w:rsidRPr="008B187A">
        <w:rPr>
          <w:sz w:val="24"/>
          <w:szCs w:val="24"/>
        </w:rPr>
        <w:t>Once plasticised, material is mechanically transported around the rotating pin from the advancing side of the weld to the retreating side. Simultaneously, the tool shoulder applies a forging pressure that consolidates the stirred material behind the tool, producing a continuous solid-phase bond. The joining mechanism is therefore governed by plastic flow, diffusion, and dynamic recrystallisation rather than liquid-phase solidification. The resulting joint typically consists of a fine-grained stir zone, surrounded by a thermo-mechanically affected zone (TMAZ) and a heat-affected zone (HAZ), each exhibiting distinct microstructural characteristics. (Callister and Rethwisch, 2020)</w:t>
      </w:r>
    </w:p>
    <w:p w14:paraId="32126BDD" w14:textId="34C9134B" w:rsidR="0084476B" w:rsidRDefault="0084476B" w:rsidP="0084476B">
      <w:pPr>
        <w:rPr>
          <w:sz w:val="24"/>
          <w:szCs w:val="24"/>
        </w:rPr>
      </w:pPr>
      <w:r w:rsidRPr="008B187A">
        <w:rPr>
          <w:sz w:val="24"/>
          <w:szCs w:val="24"/>
        </w:rPr>
        <w:t>The absence of a liquid phase fundamentally differentiates FSW from fusion welding processes. Defects commonly associated with fusion welding—such as porosity, hot cracking, lack of fusion, and solidification segregation—are effectively eliminated. In addition, the process does not require filler materials or shielding gases, reducing variability associated with consumable selection and handling. From a quality assurance perspective, this reduction in process variables is highly advantageous in defence manufacturing, where repeatability and traceability are critical. (Callister and Rethwisch, 2020)</w:t>
      </w:r>
    </w:p>
    <w:p w14:paraId="04A6BEE8" w14:textId="77777777" w:rsidR="00B51EE9" w:rsidRDefault="00B51EE9" w:rsidP="0084476B">
      <w:pPr>
        <w:rPr>
          <w:sz w:val="24"/>
          <w:szCs w:val="24"/>
        </w:rPr>
      </w:pPr>
    </w:p>
    <w:p w14:paraId="0998057A" w14:textId="074C552E" w:rsidR="00B51EE9" w:rsidRDefault="00B51EE9" w:rsidP="0084476B">
      <w:pPr>
        <w:rPr>
          <w:sz w:val="24"/>
          <w:szCs w:val="24"/>
        </w:rPr>
      </w:pPr>
    </w:p>
    <w:p w14:paraId="089BDFDB" w14:textId="2276B137" w:rsidR="00B51EE9" w:rsidRDefault="00B51EE9" w:rsidP="00F86677">
      <w:pPr>
        <w:jc w:val="center"/>
        <w:rPr>
          <w:sz w:val="24"/>
          <w:szCs w:val="24"/>
        </w:rPr>
      </w:pPr>
      <w:r>
        <w:rPr>
          <w:noProof/>
          <w:sz w:val="24"/>
          <w:szCs w:val="24"/>
        </w:rPr>
        <w:lastRenderedPageBreak/>
        <w:drawing>
          <wp:inline distT="0" distB="0" distL="0" distR="0" wp14:anchorId="021DEFBE" wp14:editId="37955C59">
            <wp:extent cx="4514850" cy="3314700"/>
            <wp:effectExtent l="0" t="0" r="0" b="0"/>
            <wp:docPr id="212031195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4514850" cy="3314700"/>
                    </a:xfrm>
                    <a:prstGeom prst="rect">
                      <a:avLst/>
                    </a:prstGeom>
                    <a:noFill/>
                  </pic:spPr>
                </pic:pic>
              </a:graphicData>
            </a:graphic>
          </wp:inline>
        </w:drawing>
      </w:r>
    </w:p>
    <w:p w14:paraId="417795BE" w14:textId="08DB207F" w:rsidR="00B51EE9" w:rsidRDefault="00521929" w:rsidP="00521929">
      <w:pPr>
        <w:jc w:val="center"/>
        <w:rPr>
          <w:sz w:val="24"/>
          <w:szCs w:val="24"/>
        </w:rPr>
      </w:pPr>
      <w:r w:rsidRPr="00521929">
        <w:rPr>
          <w:noProof/>
          <w:sz w:val="24"/>
          <w:szCs w:val="24"/>
        </w:rPr>
        <mc:AlternateContent>
          <mc:Choice Requires="wps">
            <w:drawing>
              <wp:anchor distT="45720" distB="45720" distL="114300" distR="114300" simplePos="0" relativeHeight="251659264" behindDoc="0" locked="0" layoutInCell="1" allowOverlap="1" wp14:anchorId="42CC1081" wp14:editId="0C8E17B7">
                <wp:simplePos x="0" y="0"/>
                <wp:positionH relativeFrom="column">
                  <wp:posOffset>1706880</wp:posOffset>
                </wp:positionH>
                <wp:positionV relativeFrom="paragraph">
                  <wp:posOffset>84455</wp:posOffset>
                </wp:positionV>
                <wp:extent cx="2360930" cy="274320"/>
                <wp:effectExtent l="0" t="0" r="12700" b="11430"/>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360930" cy="274320"/>
                        </a:xfrm>
                        <a:prstGeom prst="rect">
                          <a:avLst/>
                        </a:prstGeom>
                        <a:solidFill>
                          <a:srgbClr val="FFFFFF"/>
                        </a:solidFill>
                        <a:ln w="9525">
                          <a:solidFill>
                            <a:srgbClr val="000000"/>
                          </a:solidFill>
                          <a:miter lim="800000"/>
                          <a:headEnd/>
                          <a:tailEnd/>
                        </a:ln>
                      </wps:spPr>
                      <wps:txbx>
                        <w:txbxContent>
                          <w:p w14:paraId="7A4BFFC9" w14:textId="6E2A43DE" w:rsidR="00521929" w:rsidRDefault="008F4299" w:rsidP="00521929">
                            <w:pPr>
                              <w:jc w:val="center"/>
                            </w:pPr>
                            <w:r>
                              <w:t xml:space="preserve">Friction </w:t>
                            </w:r>
                            <w:r w:rsidR="002C0A7B">
                              <w:t>Stir Welding</w:t>
                            </w:r>
                          </w:p>
                        </w:txbxContent>
                      </wps:txbx>
                      <wps:bodyPr rot="0" vert="horz" wrap="square" lIns="91440" tIns="45720" rIns="91440" bIns="45720" anchor="t" anchorCtr="0">
                        <a:noAutofit/>
                      </wps:bodyPr>
                    </wps:wsp>
                  </a:graphicData>
                </a:graphic>
                <wp14:sizeRelH relativeFrom="margin">
                  <wp14:pctWidth>40000</wp14:pctWidth>
                </wp14:sizeRelH>
                <wp14:sizeRelV relativeFrom="margin">
                  <wp14:pctHeight>0</wp14:pctHeight>
                </wp14:sizeRelV>
              </wp:anchor>
            </w:drawing>
          </mc:Choice>
          <mc:Fallback>
            <w:pict>
              <v:shapetype w14:anchorId="42CC1081" id="_x0000_t202" coordsize="21600,21600" o:spt="202" path="m,l,21600r21600,l21600,xe">
                <v:stroke joinstyle="miter"/>
                <v:path gradientshapeok="t" o:connecttype="rect"/>
              </v:shapetype>
              <v:shape id="Text Box 2" o:spid="_x0000_s1026" type="#_x0000_t202" style="position:absolute;left:0;text-align:left;margin-left:134.4pt;margin-top:6.65pt;width:185.9pt;height:21.6pt;z-index:251659264;visibility:visible;mso-wrap-style:square;mso-width-percent:400;mso-height-percent:0;mso-wrap-distance-left:9pt;mso-wrap-distance-top:3.6pt;mso-wrap-distance-right:9pt;mso-wrap-distance-bottom:3.6pt;mso-position-horizontal:absolute;mso-position-horizontal-relative:text;mso-position-vertical:absolute;mso-position-vertical-relative:text;mso-width-percent:40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">
                <v:textbox>
                  <w:txbxContent>
                    <w:p w14:paraId="7A4BFFC9" w14:textId="6E2A43DE" w:rsidR="00521929" w:rsidRDefault="008F4299" w:rsidP="00521929">
                      <w:pPr>
                        <w:jc w:val="center"/>
                      </w:pPr>
                      <w:r>
                        <w:t xml:space="preserve">Friction </w:t>
                      </w:r>
                      <w:r w:rsidR="002C0A7B">
                        <w:t>Stir Welding</w:t>
                      </w:r>
                    </w:p>
                  </w:txbxContent>
                </v:textbox>
                <w10:wrap type="square"/>
              </v:shape>
            </w:pict>
          </mc:Fallback>
        </mc:AlternateContent>
      </w:r>
    </w:p>
    <w:p w14:paraId="61775EB2" w14:textId="08CF040D" w:rsidR="00B51EE9" w:rsidRDefault="00B51EE9" w:rsidP="0084476B">
      <w:pPr>
        <w:rPr>
          <w:sz w:val="24"/>
          <w:szCs w:val="24"/>
        </w:rPr>
      </w:pPr>
    </w:p>
    <w:p w14:paraId="07C0B88F" w14:textId="55F9EA62" w:rsidR="0084476B" w:rsidRPr="0084476B" w:rsidRDefault="0084476B" w:rsidP="0084476B">
      <w:pPr>
        <w:pStyle w:val="Heading3"/>
      </w:pPr>
      <w:bookmarkStart w:id="3" w:name="_Toc219073101"/>
      <w:r w:rsidRPr="0084476B">
        <w:t>Relevance to MoD and DE&amp;S Defence Vehicle Structures</w:t>
      </w:r>
      <w:bookmarkEnd w:id="3"/>
    </w:p>
    <w:p w14:paraId="0774ED11" w14:textId="7A1C1990" w:rsidR="0084476B" w:rsidRPr="00240244" w:rsidRDefault="0084476B" w:rsidP="0084476B">
      <w:pPr>
        <w:rPr>
          <w:sz w:val="24"/>
          <w:szCs w:val="24"/>
        </w:rPr>
      </w:pPr>
      <w:r w:rsidRPr="00240244">
        <w:rPr>
          <w:sz w:val="24"/>
          <w:szCs w:val="24"/>
        </w:rPr>
        <w:t>Within a MoD land-systems context, Friction Stir Welding is particularly well suited to aluminium alloy structures used in protected mobility vehicles, armoured patrol vehicles, and specialist logistic platforms. Typical applications include hull side and roof panels, floor assemblies incorporating blast attenuation features, internal load-bearing frames, and armour backing plates. These components are often large, thin-walled, and geometrically complex, making them especially sensitive to weld-induced distortion.</w:t>
      </w:r>
    </w:p>
    <w:p w14:paraId="32C29C7F" w14:textId="77777777" w:rsidR="0084476B" w:rsidRPr="00240244" w:rsidRDefault="0084476B" w:rsidP="0084476B">
      <w:pPr>
        <w:rPr>
          <w:sz w:val="24"/>
          <w:szCs w:val="24"/>
        </w:rPr>
      </w:pPr>
      <w:r w:rsidRPr="00240244">
        <w:rPr>
          <w:sz w:val="24"/>
          <w:szCs w:val="24"/>
        </w:rPr>
        <w:t>The adoption of FSW enables the manufacture of large aluminium panels with minimal distortion and more uniform mechanical properties across the joint. This capability is critical for maintaining dimensional accuracy and structural integrity in defence vehicle hulls, where misalignment can compromise survivability and performance. From a DE&amp;S perspective, the reduced need for post-weld rework, improved fatigue life, and enhanced environmental durability offered by FSW align directly with through-life capability management objectives and whole-life cost reduction.</w:t>
      </w:r>
    </w:p>
    <w:p w14:paraId="6EFA9145" w14:textId="77777777" w:rsidR="0084476B" w:rsidRDefault="0084476B" w:rsidP="0084476B">
      <w:pPr>
        <w:rPr>
          <w:sz w:val="24"/>
          <w:szCs w:val="24"/>
        </w:rPr>
      </w:pPr>
    </w:p>
    <w:p w14:paraId="0CFAB18E" w14:textId="77777777" w:rsidR="00AE3503" w:rsidRPr="0084476B" w:rsidRDefault="00AE3503" w:rsidP="0084476B">
      <w:pPr>
        <w:rPr>
          <w:sz w:val="24"/>
          <w:szCs w:val="24"/>
        </w:rPr>
      </w:pPr>
    </w:p>
    <w:p w14:paraId="36FFCB81" w14:textId="13FF202C" w:rsidR="00156CEC" w:rsidRPr="004B20E6" w:rsidRDefault="0084476B" w:rsidP="004B20E6">
      <w:pPr>
        <w:pStyle w:val="Heading2"/>
        <w:rPr>
          <w:b/>
          <w:bCs/>
        </w:rPr>
      </w:pPr>
      <w:bookmarkStart w:id="4" w:name="_Toc219073102"/>
      <w:r w:rsidRPr="0009024D">
        <w:rPr>
          <w:b/>
          <w:bCs/>
        </w:rPr>
        <w:lastRenderedPageBreak/>
        <w:t>Distortion Control and Elimination of Dilution</w:t>
      </w:r>
      <w:bookmarkEnd w:id="4"/>
    </w:p>
    <w:p w14:paraId="0E2EDA26" w14:textId="77777777" w:rsidR="0084476B" w:rsidRPr="0084476B" w:rsidRDefault="0084476B" w:rsidP="00156CEC">
      <w:pPr>
        <w:pStyle w:val="Heading3"/>
      </w:pPr>
      <w:bookmarkStart w:id="5" w:name="_Toc219073103"/>
      <w:r w:rsidRPr="0084476B">
        <w:t>Mechanisms of Distortion in Welded Defence Structures</w:t>
      </w:r>
      <w:bookmarkEnd w:id="5"/>
    </w:p>
    <w:p w14:paraId="3673A5D1" w14:textId="0FFD702D" w:rsidR="0084476B" w:rsidRPr="00240244" w:rsidRDefault="0084476B" w:rsidP="0084476B">
      <w:pPr>
        <w:rPr>
          <w:sz w:val="24"/>
          <w:szCs w:val="24"/>
        </w:rPr>
      </w:pPr>
      <w:r w:rsidRPr="00240244">
        <w:rPr>
          <w:sz w:val="24"/>
          <w:szCs w:val="24"/>
        </w:rPr>
        <w:t xml:space="preserve">Distortion in welded structures originates from non-uniform thermal expansion and contraction during heating and cooling. When a localised heat source is applied to a metallic component, the heated region attempts to expand; however, this expansion is constrained by the surrounding cooler material. Upon cooling, contraction occurs, and if the resulting stresses exceed the yield strength of the material, permanent plastic deformation results. This phenomenon is particularly pronounced in welded structures where heat input is highly localised and asymmetric. </w:t>
      </w:r>
    </w:p>
    <w:p w14:paraId="0DAD1DBE" w14:textId="2BF732CC" w:rsidR="0084476B" w:rsidRPr="00240244" w:rsidRDefault="0084476B" w:rsidP="0084476B">
      <w:pPr>
        <w:rPr>
          <w:sz w:val="24"/>
          <w:szCs w:val="24"/>
        </w:rPr>
      </w:pPr>
      <w:r w:rsidRPr="00240244">
        <w:rPr>
          <w:sz w:val="24"/>
          <w:szCs w:val="24"/>
        </w:rPr>
        <w:t xml:space="preserve">In conventional fusion welding processes, distortion is exacerbated by several additional factors. High peak temperatures create steep thermal gradients, while the formation of a molten weld pool introduces solidification shrinkage as the metal transitions from liquid to solid. The combined effect of thermal contraction and solidification shrinkage leads to the development of significant residual tensile stresses and geometric distortion. Common distortion modes include angular distortion, longitudinal bowing, transverse shrinkage, and buckling of thin plates. (Callister and Rethwisch, 2020) </w:t>
      </w:r>
    </w:p>
    <w:p w14:paraId="44CC3758" w14:textId="77777777" w:rsidR="0084476B" w:rsidRPr="0084476B" w:rsidRDefault="0084476B" w:rsidP="0084476B">
      <w:pPr>
        <w:rPr>
          <w:sz w:val="24"/>
          <w:szCs w:val="24"/>
        </w:rPr>
      </w:pPr>
    </w:p>
    <w:p w14:paraId="6973FE10" w14:textId="77777777" w:rsidR="0084476B" w:rsidRPr="0084476B" w:rsidRDefault="0084476B" w:rsidP="00156CEC">
      <w:pPr>
        <w:pStyle w:val="Heading3"/>
      </w:pPr>
      <w:bookmarkStart w:id="6" w:name="_Toc219073104"/>
      <w:r w:rsidRPr="0084476B">
        <w:t>Distortion Control in Friction Stir Welding</w:t>
      </w:r>
      <w:bookmarkEnd w:id="6"/>
    </w:p>
    <w:p w14:paraId="21E69683" w14:textId="59ECBD27" w:rsidR="0084476B" w:rsidRPr="00240244" w:rsidRDefault="0084476B" w:rsidP="0084476B">
      <w:pPr>
        <w:rPr>
          <w:sz w:val="24"/>
          <w:szCs w:val="24"/>
        </w:rPr>
      </w:pPr>
      <w:r w:rsidRPr="00240244">
        <w:rPr>
          <w:sz w:val="24"/>
          <w:szCs w:val="24"/>
        </w:rPr>
        <w:t xml:space="preserve">Friction Stir Welding offers a fundamentally different thermal profile compared to fusion welding. Because the process operates below the melting temperature, peak temperatures are substantially </w:t>
      </w:r>
      <w:proofErr w:type="gramStart"/>
      <w:r w:rsidRPr="00240244">
        <w:rPr>
          <w:sz w:val="24"/>
          <w:szCs w:val="24"/>
        </w:rPr>
        <w:t>lower</w:t>
      </w:r>
      <w:proofErr w:type="gramEnd"/>
      <w:r w:rsidRPr="00240244">
        <w:rPr>
          <w:sz w:val="24"/>
          <w:szCs w:val="24"/>
        </w:rPr>
        <w:t xml:space="preserve"> and thermal gradients are less severe. Crucially, the absence of a liquid phase eliminates solidification shrinkage, which is a major contributor to distortion in fusion welds. (Callister and Rethwisch, 2020)</w:t>
      </w:r>
      <w:r w:rsidR="00CE3A3F">
        <w:rPr>
          <w:sz w:val="24"/>
          <w:szCs w:val="24"/>
        </w:rPr>
        <w:t>.</w:t>
      </w:r>
    </w:p>
    <w:p w14:paraId="2628EC3E" w14:textId="77777777" w:rsidR="0084476B" w:rsidRPr="00240244" w:rsidRDefault="0084476B" w:rsidP="0084476B">
      <w:pPr>
        <w:rPr>
          <w:sz w:val="24"/>
          <w:szCs w:val="24"/>
        </w:rPr>
      </w:pPr>
      <w:r w:rsidRPr="00240244">
        <w:rPr>
          <w:sz w:val="24"/>
          <w:szCs w:val="24"/>
        </w:rPr>
        <w:t>Heat input in FSW is governed by controllable process parameters including tool rotational speed, traverse speed, shoulder diameter, and axial force. By optimising these parameters, sufficient plasticisation can be achieved to enable effective material flow without excessive thermal exposure. This allows engineers to precisely tailor thermal cycles to the component geometry and material thickness.</w:t>
      </w:r>
    </w:p>
    <w:p w14:paraId="0AFBD966" w14:textId="77777777" w:rsidR="0084476B" w:rsidRPr="00240244" w:rsidRDefault="0084476B" w:rsidP="0084476B">
      <w:pPr>
        <w:rPr>
          <w:sz w:val="24"/>
          <w:szCs w:val="24"/>
        </w:rPr>
      </w:pPr>
      <w:r w:rsidRPr="00240244">
        <w:rPr>
          <w:sz w:val="24"/>
          <w:szCs w:val="24"/>
        </w:rPr>
        <w:t>For MoD defence vehicle fabrication, this reduction in distortion is critically important. Large aluminium panels can be welded with near-net-shape accuracy, significantly reducing or eliminating the need for post-weld straightening operations. From a DE&amp;S perspective, this improves manufacturing repeatability, reduces cost and schedule risk, and minimises the introduction of secondary residual stresses associated with mechanical correction.</w:t>
      </w:r>
    </w:p>
    <w:p w14:paraId="7ACFCD7B" w14:textId="77777777" w:rsidR="00156CEC" w:rsidRDefault="00156CEC" w:rsidP="0084476B">
      <w:pPr>
        <w:rPr>
          <w:sz w:val="24"/>
          <w:szCs w:val="24"/>
        </w:rPr>
      </w:pPr>
    </w:p>
    <w:p w14:paraId="110AE711" w14:textId="77777777" w:rsidR="0084476B" w:rsidRPr="0084476B" w:rsidRDefault="0084476B" w:rsidP="00156CEC">
      <w:pPr>
        <w:pStyle w:val="Heading3"/>
      </w:pPr>
      <w:bookmarkStart w:id="7" w:name="_Toc219073105"/>
      <w:r w:rsidRPr="0084476B">
        <w:lastRenderedPageBreak/>
        <w:t>Elimination of Dilution and Its Structural Implications</w:t>
      </w:r>
      <w:bookmarkEnd w:id="7"/>
    </w:p>
    <w:p w14:paraId="6A4F228F" w14:textId="58429325" w:rsidR="0084476B" w:rsidRPr="00240244" w:rsidRDefault="0084476B" w:rsidP="0084476B">
      <w:pPr>
        <w:rPr>
          <w:sz w:val="24"/>
          <w:szCs w:val="24"/>
        </w:rPr>
      </w:pPr>
      <w:r w:rsidRPr="00240244">
        <w:rPr>
          <w:sz w:val="24"/>
          <w:szCs w:val="24"/>
        </w:rPr>
        <w:t>Dilution in fusion welding refers to the mixing of filler metal with parent material, resulting in compositional gradients across the weld region. In aluminium alloys, dilution can lead to the formation of brittle intermetallic compounds, reduced corrosion resistance, and degraded fatigue performance, particularly in dissimilar alloy joints. (Callister and Rethwisch, 2020) (Srinivasan et al., 2005; Cabrini et al., 2020)</w:t>
      </w:r>
      <w:r w:rsidR="00CE3A3F">
        <w:rPr>
          <w:sz w:val="24"/>
          <w:szCs w:val="24"/>
        </w:rPr>
        <w:t>.</w:t>
      </w:r>
    </w:p>
    <w:p w14:paraId="78EDA84E" w14:textId="31C89540" w:rsidR="0084476B" w:rsidRPr="00240244" w:rsidRDefault="0084476B" w:rsidP="0084476B">
      <w:pPr>
        <w:rPr>
          <w:sz w:val="24"/>
          <w:szCs w:val="24"/>
        </w:rPr>
      </w:pPr>
      <w:r w:rsidRPr="00240244">
        <w:rPr>
          <w:sz w:val="24"/>
          <w:szCs w:val="24"/>
        </w:rPr>
        <w:t>Friction Stir Welding eliminates dilution entirely because no filler material is used and no melting occurs. The parent material chemistry is retained across the joint, resulting in uniform mechanical and environmental properties. For precipitation-hardened aluminium alloys, this is particularly advantageous, as fusion welding often causes dissolution and coarsening of strengthening precipitates, leading to significant softening in the heat-affected zone. The elimination of dilution therefore contributes directly to improved fatigue life, fracture resistance, and environmental durability. (Callister and Rethwisch, 2020)</w:t>
      </w:r>
      <w:r w:rsidR="00CE3A3F">
        <w:rPr>
          <w:sz w:val="24"/>
          <w:szCs w:val="24"/>
        </w:rPr>
        <w:t>.</w:t>
      </w:r>
    </w:p>
    <w:p w14:paraId="505EA8CD" w14:textId="77777777" w:rsidR="0084476B" w:rsidRPr="0084476B" w:rsidRDefault="0084476B" w:rsidP="0084476B">
      <w:pPr>
        <w:rPr>
          <w:sz w:val="24"/>
          <w:szCs w:val="24"/>
        </w:rPr>
      </w:pPr>
    </w:p>
    <w:p w14:paraId="5A7EB309" w14:textId="77777777" w:rsidR="0084476B" w:rsidRPr="0009024D" w:rsidRDefault="0084476B" w:rsidP="00156CEC">
      <w:pPr>
        <w:pStyle w:val="Heading2"/>
        <w:rPr>
          <w:b/>
          <w:bCs/>
        </w:rPr>
      </w:pPr>
      <w:bookmarkStart w:id="8" w:name="_Toc219073106"/>
      <w:r w:rsidRPr="0009024D">
        <w:rPr>
          <w:b/>
          <w:bCs/>
        </w:rPr>
        <w:t>Welding Preparations, Fixtures, and Restraint</w:t>
      </w:r>
      <w:bookmarkEnd w:id="8"/>
    </w:p>
    <w:p w14:paraId="49A7560E" w14:textId="12567B1F" w:rsidR="0084476B" w:rsidRPr="009601D1" w:rsidRDefault="0084476B" w:rsidP="0084476B">
      <w:pPr>
        <w:rPr>
          <w:sz w:val="24"/>
          <w:szCs w:val="24"/>
        </w:rPr>
      </w:pPr>
      <w:r w:rsidRPr="009601D1">
        <w:rPr>
          <w:sz w:val="24"/>
          <w:szCs w:val="24"/>
        </w:rPr>
        <w:t>Joint preparation for Friction Stir Welding is typically minimal compared to fusion welding processes. Square butt joints are commonly employed, eliminating the need for edge bevelling and reducing machining time. This simplicity supports lean manufacturing principles and improves repeatability, which is particularly valuable in defence production environments characterised by low-volume, high-complexity manufacture. (Callister and Rethwisch, 2020)</w:t>
      </w:r>
      <w:r w:rsidR="00CE3A3F">
        <w:rPr>
          <w:sz w:val="24"/>
          <w:szCs w:val="24"/>
        </w:rPr>
        <w:t>.</w:t>
      </w:r>
    </w:p>
    <w:p w14:paraId="339D459B" w14:textId="77777777" w:rsidR="0084476B" w:rsidRPr="009601D1" w:rsidRDefault="0084476B" w:rsidP="0084476B">
      <w:pPr>
        <w:rPr>
          <w:sz w:val="24"/>
          <w:szCs w:val="24"/>
        </w:rPr>
      </w:pPr>
      <w:r w:rsidRPr="009601D1">
        <w:rPr>
          <w:sz w:val="24"/>
          <w:szCs w:val="24"/>
        </w:rPr>
        <w:t>Despite the reduced need for joint preparation, fixturing and restraint play a critical role in successful FSW implementation. The process involves significant plastic flow and forging forces, which can cause joint separation or misalignment if components are not adequately restrained. Rigid clamping systems are therefore essential to maintain joint integrity, alignment, and dimensional accuracy throughout the welding process.</w:t>
      </w:r>
    </w:p>
    <w:p w14:paraId="33842214" w14:textId="77777777" w:rsidR="0084476B" w:rsidRPr="009601D1" w:rsidRDefault="0084476B" w:rsidP="0084476B">
      <w:pPr>
        <w:rPr>
          <w:sz w:val="24"/>
          <w:szCs w:val="24"/>
        </w:rPr>
      </w:pPr>
      <w:r w:rsidRPr="009601D1">
        <w:rPr>
          <w:sz w:val="24"/>
          <w:szCs w:val="24"/>
        </w:rPr>
        <w:t>In defence vehicle fabrication, fixtures are often purpose-designed and integrated into modular manufacturing cells. These fixtures not only restrain the components but also ensure repeatable positioning relative to the welding tool, supporting consistent weld quality across multiple builds. Backing plates are commonly employed beneath the joint line to provide mechanical support and act as heat sinks, further reducing distortion and improving weld consolidation.</w:t>
      </w:r>
    </w:p>
    <w:p w14:paraId="6F1C19C7" w14:textId="77777777" w:rsidR="0084476B" w:rsidRPr="009601D1" w:rsidRDefault="0084476B" w:rsidP="0084476B">
      <w:pPr>
        <w:rPr>
          <w:sz w:val="24"/>
          <w:szCs w:val="24"/>
        </w:rPr>
      </w:pPr>
      <w:r w:rsidRPr="009601D1">
        <w:rPr>
          <w:sz w:val="24"/>
          <w:szCs w:val="24"/>
        </w:rPr>
        <w:t>However, fixture design must balance restraint and stress management. Excessive restraint can inhibit natural stress relaxation and lead to elevated residual stresses within the joint. As such, fixture systems for FSW in defence applications are typically designed to provide sufficient rigidity for dimensional control while allowing limited elastic compliance to mitigate residual stress accumulation.</w:t>
      </w:r>
    </w:p>
    <w:p w14:paraId="2415D032" w14:textId="77777777" w:rsidR="0084476B" w:rsidRPr="0084476B" w:rsidRDefault="0084476B" w:rsidP="0084476B">
      <w:pPr>
        <w:rPr>
          <w:sz w:val="24"/>
          <w:szCs w:val="24"/>
        </w:rPr>
      </w:pPr>
    </w:p>
    <w:p w14:paraId="73E0CD07" w14:textId="77777777" w:rsidR="0084476B" w:rsidRPr="0009024D" w:rsidRDefault="0084476B" w:rsidP="00156CEC">
      <w:pPr>
        <w:pStyle w:val="Heading2"/>
        <w:rPr>
          <w:b/>
          <w:bCs/>
        </w:rPr>
      </w:pPr>
      <w:bookmarkStart w:id="9" w:name="_Toc219073107"/>
      <w:r w:rsidRPr="0009024D">
        <w:rPr>
          <w:b/>
          <w:bCs/>
        </w:rPr>
        <w:lastRenderedPageBreak/>
        <w:t>Welding Procedure and Thermal Management</w:t>
      </w:r>
      <w:bookmarkEnd w:id="9"/>
    </w:p>
    <w:p w14:paraId="12266E98" w14:textId="77777777" w:rsidR="0084476B" w:rsidRPr="0084476B" w:rsidRDefault="0084476B" w:rsidP="0084476B">
      <w:pPr>
        <w:rPr>
          <w:sz w:val="24"/>
          <w:szCs w:val="24"/>
        </w:rPr>
      </w:pPr>
      <w:r w:rsidRPr="0084476B">
        <w:rPr>
          <w:sz w:val="24"/>
          <w:szCs w:val="24"/>
        </w:rPr>
        <w:t>The Friction Stir Welding process consists of four primary stages: plunge, dwell, traverse, and exit. During the plunge phase, the rotating tool penetrates the joint line, generating frictional heat and initiating plastic deformation. The dwell phase allows heat to build up and stabilise, ensuring that sufficient material softening occurs before welding commences.</w:t>
      </w:r>
    </w:p>
    <w:p w14:paraId="705A825D" w14:textId="0A8452A7" w:rsidR="0084476B" w:rsidRPr="009601D1" w:rsidRDefault="0084476B" w:rsidP="0084476B">
      <w:pPr>
        <w:rPr>
          <w:sz w:val="24"/>
          <w:szCs w:val="24"/>
        </w:rPr>
      </w:pPr>
      <w:r w:rsidRPr="0084476B">
        <w:rPr>
          <w:sz w:val="24"/>
          <w:szCs w:val="24"/>
        </w:rPr>
        <w:t xml:space="preserve">During the traverse phase, the tool moves along the joint line, mechanically stirring and forging the plasticised material to form a consolidated joint. Control of traverse speed is critical; excessively high speeds may result in insufficient heat input and defects such </w:t>
      </w:r>
      <w:r w:rsidRPr="009601D1">
        <w:rPr>
          <w:sz w:val="24"/>
          <w:szCs w:val="24"/>
        </w:rPr>
        <w:t>as tunnel voids, while excessively low speeds can lead to excessive heat input, grain coarsening, and softening.</w:t>
      </w:r>
    </w:p>
    <w:p w14:paraId="5B481575" w14:textId="77777777" w:rsidR="0084476B" w:rsidRPr="009601D1" w:rsidRDefault="0084476B" w:rsidP="0084476B">
      <w:pPr>
        <w:rPr>
          <w:sz w:val="24"/>
          <w:szCs w:val="24"/>
        </w:rPr>
      </w:pPr>
      <w:r w:rsidRPr="009601D1">
        <w:rPr>
          <w:sz w:val="24"/>
          <w:szCs w:val="24"/>
        </w:rPr>
        <w:t>The exit phase must be carefully managed to avoid defect formation, particularly the formation of exit holes or voids. In defence vehicle structures, exit locations are often positioned in non-critical regions or subsequently machined away.</w:t>
      </w:r>
    </w:p>
    <w:p w14:paraId="776C0417" w14:textId="6586332A" w:rsidR="0084476B" w:rsidRPr="009601D1" w:rsidRDefault="0084476B" w:rsidP="0084476B">
      <w:pPr>
        <w:rPr>
          <w:sz w:val="24"/>
          <w:szCs w:val="24"/>
        </w:rPr>
      </w:pPr>
      <w:r w:rsidRPr="009601D1">
        <w:rPr>
          <w:sz w:val="24"/>
          <w:szCs w:val="24"/>
        </w:rPr>
        <w:t>Thermal management during FSW has a direct influence on microstructural evolution and residual stress development. Unlike fusion welding, pre-heating is generally unnecessary due to the gradual heat generation inherent in the process. Post-weld heat treatment may be applied to precipitation-hardened aluminium alloys to restore mechanical properties and improve fatigue and creep performance. In MoD applications, such treatments are tightly controlled to ensure compliance with material specifications and certification requirements. (Callister and Rethwisch, 2020) (Anderson, 2017)</w:t>
      </w:r>
      <w:r w:rsidR="00CE3A3F">
        <w:rPr>
          <w:sz w:val="24"/>
          <w:szCs w:val="24"/>
        </w:rPr>
        <w:t>.</w:t>
      </w:r>
    </w:p>
    <w:p w14:paraId="05E5D75A" w14:textId="77777777" w:rsidR="0084476B" w:rsidRPr="0084476B" w:rsidRDefault="0084476B" w:rsidP="0084476B">
      <w:pPr>
        <w:rPr>
          <w:sz w:val="24"/>
          <w:szCs w:val="24"/>
        </w:rPr>
      </w:pPr>
    </w:p>
    <w:p w14:paraId="5D8347DF" w14:textId="77777777" w:rsidR="0084476B" w:rsidRPr="0009024D" w:rsidRDefault="0084476B" w:rsidP="00156CEC">
      <w:pPr>
        <w:pStyle w:val="Heading2"/>
        <w:rPr>
          <w:b/>
          <w:bCs/>
        </w:rPr>
      </w:pPr>
      <w:bookmarkStart w:id="10" w:name="_Toc219073108"/>
      <w:r w:rsidRPr="0009024D">
        <w:rPr>
          <w:b/>
          <w:bCs/>
        </w:rPr>
        <w:t>Fracture Behaviour of FSW Defence Structures</w:t>
      </w:r>
      <w:bookmarkEnd w:id="10"/>
    </w:p>
    <w:p w14:paraId="10692E5A" w14:textId="6E5E7AEC" w:rsidR="0084476B" w:rsidRPr="009601D1" w:rsidRDefault="0084476B" w:rsidP="0084476B">
      <w:pPr>
        <w:rPr>
          <w:sz w:val="24"/>
          <w:szCs w:val="24"/>
        </w:rPr>
      </w:pPr>
      <w:r w:rsidRPr="009601D1">
        <w:rPr>
          <w:sz w:val="24"/>
          <w:szCs w:val="24"/>
        </w:rPr>
        <w:t>Fracture in welded aluminium structures typically initiates through microvoid nucleation at inclusions or second-phase particles, followed by crack propagation under applied stress. Fusion welds often exhibit coarse, directionally solidified microstructures and solidification defects that act as preferential crack initiation sites, reducing fracture toughness and damage tolerance. (Callister and Rethwisch, 2020) (Anderson, 2017)</w:t>
      </w:r>
      <w:r w:rsidR="00CE3A3F">
        <w:rPr>
          <w:sz w:val="24"/>
          <w:szCs w:val="24"/>
        </w:rPr>
        <w:t>.</w:t>
      </w:r>
    </w:p>
    <w:p w14:paraId="2E23DB3C" w14:textId="399E975C" w:rsidR="0084476B" w:rsidRPr="009601D1" w:rsidRDefault="0084476B" w:rsidP="0084476B">
      <w:pPr>
        <w:rPr>
          <w:sz w:val="24"/>
          <w:szCs w:val="24"/>
        </w:rPr>
      </w:pPr>
      <w:r w:rsidRPr="009601D1">
        <w:rPr>
          <w:sz w:val="24"/>
          <w:szCs w:val="24"/>
        </w:rPr>
        <w:t>Friction Stir Welding improves fracture resistance through several mechanisms. The elimination of solidification defects removes common crack initiation sites, while dynamic recrystallisation in the stir zone produces a fine, equiaxed grain structure that enhances toughness. In addition, the lower residual tensile stresses associated with FSW reduce the effective stress intensity at crack tips, slowing crack initiation and propagation. (Callister and Rethwisch, 2020) (Anderson, 2017)</w:t>
      </w:r>
      <w:r w:rsidR="00CE3A3F">
        <w:rPr>
          <w:sz w:val="24"/>
          <w:szCs w:val="24"/>
        </w:rPr>
        <w:t>.</w:t>
      </w:r>
    </w:p>
    <w:p w14:paraId="309E4A8A" w14:textId="1421865B" w:rsidR="0084476B" w:rsidRPr="009601D1" w:rsidRDefault="0084476B" w:rsidP="0084476B">
      <w:pPr>
        <w:rPr>
          <w:sz w:val="24"/>
          <w:szCs w:val="24"/>
        </w:rPr>
      </w:pPr>
      <w:r w:rsidRPr="009601D1">
        <w:rPr>
          <w:sz w:val="24"/>
          <w:szCs w:val="24"/>
        </w:rPr>
        <w:t xml:space="preserve">Fracture behaviour can be analysed using linear elastic fracture mechanics, employing parameters such as the stress intensity factor and crack tip opening displacement. These analytical tools demonstrate that FSW joints exhibit improved fracture toughness </w:t>
      </w:r>
      <w:r w:rsidRPr="009601D1">
        <w:rPr>
          <w:sz w:val="24"/>
          <w:szCs w:val="24"/>
        </w:rPr>
        <w:lastRenderedPageBreak/>
        <w:t>and damage tolerance compared to fusion-welded joints, a critical requirement for defence vehicles subjected to impact, blast loading, and accidental overload scenarios. (Anderson, 2017)</w:t>
      </w:r>
      <w:r w:rsidR="00CE3A3F">
        <w:rPr>
          <w:sz w:val="24"/>
          <w:szCs w:val="24"/>
        </w:rPr>
        <w:t>.</w:t>
      </w:r>
    </w:p>
    <w:p w14:paraId="6709D2AB" w14:textId="77777777" w:rsidR="00CE3A3F" w:rsidRDefault="00CE3A3F" w:rsidP="0084476B">
      <w:pPr>
        <w:rPr>
          <w:sz w:val="24"/>
          <w:szCs w:val="24"/>
        </w:rPr>
      </w:pPr>
    </w:p>
    <w:p w14:paraId="710418BE" w14:textId="77777777" w:rsidR="0084476B" w:rsidRPr="00D87FFC" w:rsidRDefault="0084476B" w:rsidP="000C1409">
      <w:pPr>
        <w:pStyle w:val="Heading2"/>
        <w:rPr>
          <w:b/>
          <w:bCs/>
        </w:rPr>
      </w:pPr>
      <w:bookmarkStart w:id="11" w:name="_Toc219073109"/>
      <w:r w:rsidRPr="00D87FFC">
        <w:rPr>
          <w:b/>
          <w:bCs/>
        </w:rPr>
        <w:t>Fatigue Behaviour in Military Vehicle Service</w:t>
      </w:r>
      <w:bookmarkEnd w:id="11"/>
    </w:p>
    <w:p w14:paraId="45363366" w14:textId="77777777" w:rsidR="0084476B" w:rsidRPr="000C1409" w:rsidRDefault="0084476B" w:rsidP="0084476B">
      <w:pPr>
        <w:rPr>
          <w:sz w:val="24"/>
          <w:szCs w:val="24"/>
        </w:rPr>
      </w:pPr>
      <w:r w:rsidRPr="000C1409">
        <w:rPr>
          <w:sz w:val="24"/>
          <w:szCs w:val="24"/>
        </w:rPr>
        <w:t>Fatigue is one of the dominant failure mechanisms in defence vehicle structures due to repeated off-road loading, vibrational excitation, and long service lives. Cyclic stresses arise from terrain interaction, payload variation, and dynamic manoeuvres, often under variable amplitude loading conditions. (Li et al., 2018; Maggiolini et al., 2018; Malopheyev et al., 2020)</w:t>
      </w:r>
    </w:p>
    <w:p w14:paraId="4B5EABFE" w14:textId="77777777" w:rsidR="0084476B" w:rsidRPr="000C1409" w:rsidRDefault="0084476B" w:rsidP="0084476B">
      <w:pPr>
        <w:rPr>
          <w:sz w:val="24"/>
          <w:szCs w:val="24"/>
        </w:rPr>
      </w:pPr>
      <w:r w:rsidRPr="000C1409">
        <w:rPr>
          <w:sz w:val="24"/>
          <w:szCs w:val="24"/>
        </w:rPr>
        <w:t>Fusion welds are particularly susceptible to fatigue failure due to sharp weld toe geometry, residual tensile stresses, and metallurgical discontinuities. These features act as stress concentrators and promote early crack initiation. In contrast, FSW joints typically exhibit smooth surface profiles and reduced residual stress, significantly improving fatigue performance.</w:t>
      </w:r>
    </w:p>
    <w:p w14:paraId="3124979D" w14:textId="77777777" w:rsidR="0084476B" w:rsidRPr="0084476B" w:rsidRDefault="0084476B" w:rsidP="0084476B">
      <w:pPr>
        <w:rPr>
          <w:sz w:val="24"/>
          <w:szCs w:val="24"/>
        </w:rPr>
      </w:pPr>
    </w:p>
    <w:p w14:paraId="63D93AC0" w14:textId="77777777" w:rsidR="0084476B" w:rsidRPr="00D87FFC" w:rsidRDefault="0084476B" w:rsidP="00404C60">
      <w:pPr>
        <w:pStyle w:val="Heading2"/>
        <w:rPr>
          <w:b/>
          <w:bCs/>
        </w:rPr>
      </w:pPr>
      <w:bookmarkStart w:id="12" w:name="_Toc219073110"/>
      <w:r w:rsidRPr="00D87FFC">
        <w:rPr>
          <w:b/>
          <w:bCs/>
        </w:rPr>
        <w:t>Creep Behaviour of FSW Aluminium Structures</w:t>
      </w:r>
      <w:bookmarkEnd w:id="12"/>
    </w:p>
    <w:p w14:paraId="1FAFB3FD" w14:textId="7F329930" w:rsidR="0084476B" w:rsidRPr="000C1409" w:rsidRDefault="0084476B" w:rsidP="0084476B">
      <w:pPr>
        <w:rPr>
          <w:sz w:val="24"/>
          <w:szCs w:val="24"/>
        </w:rPr>
      </w:pPr>
      <w:r w:rsidRPr="000C1409">
        <w:rPr>
          <w:sz w:val="24"/>
          <w:szCs w:val="24"/>
        </w:rPr>
        <w:t>Although aluminium alloys are not traditionally considered creep-critical at ambient temperatures, creep becomes relevant in defence vehicles operating in hot climates or in proximity to powertrain components. Over extended service periods, even modest creep deformation can contribute to dimensional instability and loss of preload in bolted joints. (Anderson, 2017)</w:t>
      </w:r>
      <w:r w:rsidR="00781EA9">
        <w:rPr>
          <w:sz w:val="24"/>
          <w:szCs w:val="24"/>
        </w:rPr>
        <w:t>.</w:t>
      </w:r>
    </w:p>
    <w:p w14:paraId="3298BB64" w14:textId="532BC990" w:rsidR="0084476B" w:rsidRPr="000C1409" w:rsidRDefault="0084476B" w:rsidP="0084476B">
      <w:pPr>
        <w:rPr>
          <w:sz w:val="24"/>
          <w:szCs w:val="24"/>
        </w:rPr>
      </w:pPr>
      <w:r w:rsidRPr="000C1409">
        <w:rPr>
          <w:sz w:val="24"/>
          <w:szCs w:val="24"/>
        </w:rPr>
        <w:t>The fine-grained microstructure produced in the FSW stir zone enhances creep resistance by impeding dislocation motion and reducing grain boundary sliding. Creep behaviour can be modelled using Norton’s power law, which relates creep strain rate to applied stress and temperature, and the Larson–Miller parameter, which provides a means of predicting creep rupture life. (Anderson, 2017)</w:t>
      </w:r>
      <w:r w:rsidR="00781EA9">
        <w:rPr>
          <w:sz w:val="24"/>
          <w:szCs w:val="24"/>
        </w:rPr>
        <w:t>.</w:t>
      </w:r>
    </w:p>
    <w:p w14:paraId="2859B3EF" w14:textId="51E06E5B" w:rsidR="0084476B" w:rsidRPr="000C1409" w:rsidRDefault="0084476B" w:rsidP="0084476B">
      <w:pPr>
        <w:rPr>
          <w:sz w:val="24"/>
          <w:szCs w:val="24"/>
        </w:rPr>
      </w:pPr>
      <w:r w:rsidRPr="000C1409">
        <w:rPr>
          <w:sz w:val="24"/>
          <w:szCs w:val="24"/>
        </w:rPr>
        <w:t>These models indicate improved creep performance in FSW joints compared to fusion welds, contributing to enhanced long-term reliability and dimensional stability in defence vehicle applications. (Anderson, 2017)</w:t>
      </w:r>
      <w:r w:rsidR="00781EA9">
        <w:rPr>
          <w:sz w:val="24"/>
          <w:szCs w:val="24"/>
        </w:rPr>
        <w:t>.</w:t>
      </w:r>
    </w:p>
    <w:p w14:paraId="1458B20A" w14:textId="77777777" w:rsidR="0084476B" w:rsidRPr="0084476B" w:rsidRDefault="0084476B" w:rsidP="0084476B">
      <w:pPr>
        <w:rPr>
          <w:sz w:val="24"/>
          <w:szCs w:val="24"/>
        </w:rPr>
      </w:pPr>
    </w:p>
    <w:p w14:paraId="29B2F7C9" w14:textId="77777777" w:rsidR="00404C60" w:rsidRDefault="00404C60" w:rsidP="0084476B">
      <w:pPr>
        <w:rPr>
          <w:sz w:val="24"/>
          <w:szCs w:val="24"/>
        </w:rPr>
      </w:pPr>
    </w:p>
    <w:p w14:paraId="51D89ECE" w14:textId="77777777" w:rsidR="00404C60" w:rsidRDefault="00404C60" w:rsidP="0084476B">
      <w:pPr>
        <w:rPr>
          <w:sz w:val="24"/>
          <w:szCs w:val="24"/>
        </w:rPr>
      </w:pPr>
    </w:p>
    <w:p w14:paraId="7E5114EE" w14:textId="77777777" w:rsidR="00404C60" w:rsidRDefault="00404C60" w:rsidP="0084476B">
      <w:pPr>
        <w:rPr>
          <w:sz w:val="24"/>
          <w:szCs w:val="24"/>
        </w:rPr>
      </w:pPr>
    </w:p>
    <w:p w14:paraId="079CF556" w14:textId="77777777" w:rsidR="0084476B" w:rsidRPr="000C1409" w:rsidRDefault="0084476B" w:rsidP="000C1409">
      <w:pPr>
        <w:pStyle w:val="Heading2"/>
        <w:rPr>
          <w:b/>
          <w:bCs/>
        </w:rPr>
      </w:pPr>
      <w:bookmarkStart w:id="13" w:name="_Toc219073111"/>
      <w:r w:rsidRPr="0009024D">
        <w:rPr>
          <w:b/>
          <w:bCs/>
        </w:rPr>
        <w:lastRenderedPageBreak/>
        <w:t>Environmental Degradation of FSW Defence Structures</w:t>
      </w:r>
      <w:bookmarkEnd w:id="13"/>
    </w:p>
    <w:p w14:paraId="2B7C95EC" w14:textId="73C3F1A6" w:rsidR="0084476B" w:rsidRPr="000C1409" w:rsidRDefault="0084476B" w:rsidP="0084476B">
      <w:pPr>
        <w:rPr>
          <w:sz w:val="24"/>
          <w:szCs w:val="24"/>
        </w:rPr>
      </w:pPr>
      <w:r w:rsidRPr="000C1409">
        <w:rPr>
          <w:sz w:val="24"/>
          <w:szCs w:val="24"/>
        </w:rPr>
        <w:t>Environmental degradation mechanisms, including corrosion and stress corrosion cracking, pose significant risks to aluminium defence vehicle structures exposed to aggressive service environments. Fusion welding often produces microsegregation and galvanic couples that accelerate corrosion processes, particularly in chloride-rich environments. (Callister and Rethwisch, 2020) (Srinivasan et al., 2005; Cabrini et al., 2020)</w:t>
      </w:r>
      <w:r w:rsidR="00781EA9">
        <w:rPr>
          <w:sz w:val="24"/>
          <w:szCs w:val="24"/>
        </w:rPr>
        <w:t>.</w:t>
      </w:r>
    </w:p>
    <w:p w14:paraId="6590429E" w14:textId="3F1A74A0" w:rsidR="0084476B" w:rsidRPr="000C1409" w:rsidRDefault="0084476B" w:rsidP="0084476B">
      <w:pPr>
        <w:rPr>
          <w:sz w:val="24"/>
          <w:szCs w:val="24"/>
        </w:rPr>
      </w:pPr>
      <w:r w:rsidRPr="000C1409">
        <w:rPr>
          <w:sz w:val="24"/>
          <w:szCs w:val="24"/>
        </w:rPr>
        <w:t>Friction Stir Welding produces a more homogeneous microstructure with reduced chemical segregation, lowering electrochemical potential differences and improving corrosion resistance. Stress corrosion cracking requires a susceptible material, tensile stress, and an aggressive environment. The reduced residual tensile stresses associated with FSW significantly lower susceptibility to SCC. (Srinivasan et al., 2005; Cabrini et al., 2020)</w:t>
      </w:r>
      <w:r w:rsidR="00781EA9">
        <w:rPr>
          <w:sz w:val="24"/>
          <w:szCs w:val="24"/>
        </w:rPr>
        <w:t>.</w:t>
      </w:r>
    </w:p>
    <w:p w14:paraId="6A5896F7" w14:textId="74F8F9C2" w:rsidR="000C0957" w:rsidRPr="000C1409" w:rsidRDefault="0084476B" w:rsidP="0084476B">
      <w:pPr>
        <w:rPr>
          <w:sz w:val="24"/>
          <w:szCs w:val="24"/>
        </w:rPr>
      </w:pPr>
      <w:r w:rsidRPr="000C1409">
        <w:rPr>
          <w:sz w:val="24"/>
          <w:szCs w:val="24"/>
        </w:rPr>
        <w:t>Environmental degradation behaviour can be analysed using electrochemical corrosion theory, Pourbaix diagrams, and time-dependent kinetics. These analytical approaches consistently demonstrate superior environmental durability for FSW joints compared to fusion-welded equivalents, supporting their adoption in MoD defence vehicle structures. (Srinivasan et al., 2005; Cabrini et al., 2020)</w:t>
      </w:r>
      <w:r w:rsidR="00781EA9">
        <w:rPr>
          <w:sz w:val="24"/>
          <w:szCs w:val="24"/>
        </w:rPr>
        <w:t>.</w:t>
      </w:r>
    </w:p>
    <w:p w14:paraId="63A46D53" w14:textId="77777777" w:rsidR="000C0957" w:rsidRDefault="000C0957" w:rsidP="000C0957">
      <w:pPr>
        <w:rPr>
          <w:sz w:val="24"/>
          <w:szCs w:val="24"/>
        </w:rPr>
      </w:pPr>
    </w:p>
    <w:p w14:paraId="36030310" w14:textId="77777777" w:rsidR="00894029" w:rsidRPr="0009024D" w:rsidRDefault="00894029" w:rsidP="00894029">
      <w:pPr>
        <w:pStyle w:val="Heading2"/>
        <w:rPr>
          <w:b/>
          <w:bCs/>
        </w:rPr>
      </w:pPr>
      <w:bookmarkStart w:id="14" w:name="_Toc219073112"/>
      <w:r w:rsidRPr="0009024D">
        <w:rPr>
          <w:b/>
          <w:bCs/>
        </w:rPr>
        <w:t>Conclusion</w:t>
      </w:r>
      <w:bookmarkEnd w:id="14"/>
      <w:r w:rsidRPr="0009024D">
        <w:rPr>
          <w:b/>
          <w:bCs/>
        </w:rPr>
        <w:t xml:space="preserve"> </w:t>
      </w:r>
    </w:p>
    <w:p w14:paraId="2C994498" w14:textId="0E32A444" w:rsidR="00894029" w:rsidRPr="000C1409" w:rsidRDefault="00894029" w:rsidP="00894029">
      <w:pPr>
        <w:rPr>
          <w:sz w:val="24"/>
          <w:szCs w:val="24"/>
        </w:rPr>
      </w:pPr>
      <w:r w:rsidRPr="000C1409">
        <w:rPr>
          <w:sz w:val="24"/>
          <w:szCs w:val="24"/>
        </w:rPr>
        <w:t>The analysis presented in this paper demonstrates that Friction Stir Welding represents a technically robust and strategically significant manufacturing process for aluminium defence vehicle structures</w:t>
      </w:r>
      <w:r w:rsidR="00982B7E">
        <w:rPr>
          <w:sz w:val="24"/>
          <w:szCs w:val="24"/>
        </w:rPr>
        <w:t xml:space="preserve">. </w:t>
      </w:r>
      <w:r w:rsidRPr="000C1409">
        <w:rPr>
          <w:sz w:val="24"/>
          <w:szCs w:val="24"/>
        </w:rPr>
        <w:t>The fundamental distinction between Friction Stir Welding and conventional fusion welding lies in the elimination of melting and solidification, a difference that has profound implications for distortion control, structural integrity, and long-term durability in safety-critical applications. (Callister and Rethwisch, 2020) (Defence Safety Authority (DSA), 2024)</w:t>
      </w:r>
    </w:p>
    <w:p w14:paraId="0EE95583" w14:textId="330F7EED" w:rsidR="00894029" w:rsidRPr="000C1409" w:rsidRDefault="00894029" w:rsidP="00894029">
      <w:pPr>
        <w:rPr>
          <w:sz w:val="24"/>
          <w:szCs w:val="24"/>
        </w:rPr>
      </w:pPr>
      <w:r w:rsidRPr="000C1409">
        <w:rPr>
          <w:sz w:val="24"/>
          <w:szCs w:val="24"/>
        </w:rPr>
        <w:t>From a manufacturing perspective, Friction Stir Welding offers substantial advantages in controlling distortion and residual stress. By operating below the melting temperature of aluminium alloys, the process avoids solidification shrinkage and significantly reduces thermal gradients. This enables the fabrication of large, thin-walled vehicle hull panels with near-net-shape accuracy, reducing reliance on post-weld straightening and minimising the introduction of secondary residual stresses. In the context of defence vehicle manufacture, where dimensional accuracy is critical to suspension alignment, armour integration, and blast mitigation performance, this capability represents a major risk-reduction benefit. (Callister and Rethwisch, 2020)</w:t>
      </w:r>
      <w:r w:rsidR="00781EA9">
        <w:rPr>
          <w:sz w:val="24"/>
          <w:szCs w:val="24"/>
        </w:rPr>
        <w:t>.</w:t>
      </w:r>
    </w:p>
    <w:p w14:paraId="28823159" w14:textId="13CE76D6" w:rsidR="00894029" w:rsidRPr="000C1409" w:rsidRDefault="00894029" w:rsidP="00894029">
      <w:pPr>
        <w:rPr>
          <w:sz w:val="24"/>
          <w:szCs w:val="24"/>
        </w:rPr>
      </w:pPr>
      <w:r w:rsidRPr="000C1409">
        <w:rPr>
          <w:sz w:val="24"/>
          <w:szCs w:val="24"/>
        </w:rPr>
        <w:t xml:space="preserve">From a materials and structural integrity standpoint, the solid-state nature of Friction Stir Welding leads to refined microstructures characterised by fine, equiaxed grains and reduced metallurgical heterogeneity. The absence of solidification defects and weld dilution enhances fracture toughness and damage tolerance, while the reduced </w:t>
      </w:r>
      <w:r w:rsidRPr="000C1409">
        <w:rPr>
          <w:sz w:val="24"/>
          <w:szCs w:val="24"/>
        </w:rPr>
        <w:lastRenderedPageBreak/>
        <w:t>residual tensile stress state significantly improves fatigue performance under the cyclic loading conditions typical of military vehicle service. Analytical approaches drawn from fracture mechanics and fatigue modelling confirm that Friction Stir Welded joints exhibit superior resistance to crack initiation and propagation compared with fusion-welded equivalents. (Callister and Rethwisch, 2020) (Mishra and Ma, 2005; Threadgill et al., 2009) (Li et al., 2018; Maggiolini et al., 2018; Malopheyev et al., 2020) (Anderson, 2017)</w:t>
      </w:r>
      <w:r w:rsidR="00781EA9">
        <w:rPr>
          <w:sz w:val="24"/>
          <w:szCs w:val="24"/>
        </w:rPr>
        <w:t>.</w:t>
      </w:r>
    </w:p>
    <w:p w14:paraId="25ABE3FF" w14:textId="77777777" w:rsidR="00894029" w:rsidRPr="000C1409" w:rsidRDefault="00894029" w:rsidP="00894029">
      <w:pPr>
        <w:rPr>
          <w:sz w:val="24"/>
          <w:szCs w:val="24"/>
        </w:rPr>
      </w:pPr>
      <w:r w:rsidRPr="000C1409">
        <w:rPr>
          <w:sz w:val="24"/>
          <w:szCs w:val="24"/>
        </w:rPr>
        <w:t>The analysis also demonstrates that Friction Stir Welding provides improved resistance to time-dependent and environmentally assisted degradation mechanisms. Grain refinement within the stir zone contributes to enhanced creep resistance in elevated-temperature service, while the homogeneous chemical composition and lower residual stresses reduce susceptibility to corrosion and stress corrosion cracking. These characteristics are particularly important for defence platforms exposed to aggressive operational environments and extended service lives with limited maintenance opportunities. (Anderson, 2017) (Srinivasan et al., 2005; Cabrini et al., 2020)</w:t>
      </w:r>
    </w:p>
    <w:p w14:paraId="4E567E1C" w14:textId="77777777" w:rsidR="00894029" w:rsidRPr="000C1409" w:rsidRDefault="00894029" w:rsidP="00894029">
      <w:pPr>
        <w:rPr>
          <w:sz w:val="24"/>
          <w:szCs w:val="24"/>
        </w:rPr>
      </w:pPr>
      <w:r w:rsidRPr="000C1409">
        <w:rPr>
          <w:sz w:val="24"/>
          <w:szCs w:val="24"/>
        </w:rPr>
        <w:t>When considered against MoD governance frameworks and defence engineering best practice, the adoption of Friction Stir Welding aligns strongly with objectives related to structural assurance, through-life capability management, and whole-life cost reduction. By reducing manufacturing-induced defects that act as latent failure initiators, Friction Stir Welding supports the delivery of lightweight, durable, and high-integrity military vehicle platforms capable of meeting both current and future operational demands.</w:t>
      </w:r>
    </w:p>
    <w:p w14:paraId="6730D528" w14:textId="348BAF8B" w:rsidR="00894029" w:rsidRPr="000C1409" w:rsidRDefault="00894029" w:rsidP="00894029">
      <w:pPr>
        <w:rPr>
          <w:sz w:val="24"/>
          <w:szCs w:val="24"/>
        </w:rPr>
      </w:pPr>
      <w:r w:rsidRPr="000C1409">
        <w:rPr>
          <w:sz w:val="24"/>
          <w:szCs w:val="24"/>
        </w:rPr>
        <w:t xml:space="preserve">In summary, Friction Stir Welding should be regarded not merely as an alternative joining technique, but as a strategically enabling manufacturing technology that directly enhances the structural performance, durability, and safety of aluminium defence vehicle structures within modern MoD acquisition programmes. </w:t>
      </w:r>
    </w:p>
    <w:p w14:paraId="576E4954" w14:textId="77777777" w:rsidR="000C0957" w:rsidRDefault="000C0957" w:rsidP="000C0957">
      <w:pPr>
        <w:rPr>
          <w:sz w:val="24"/>
          <w:szCs w:val="24"/>
        </w:rPr>
      </w:pPr>
    </w:p>
    <w:p w14:paraId="3D0007A3" w14:textId="77777777" w:rsidR="000C0957" w:rsidRDefault="000C0957" w:rsidP="000C0957">
      <w:pPr>
        <w:rPr>
          <w:sz w:val="24"/>
          <w:szCs w:val="24"/>
        </w:rPr>
      </w:pPr>
    </w:p>
    <w:p w14:paraId="4531D62D" w14:textId="77777777" w:rsidR="000C0957" w:rsidRDefault="000C0957" w:rsidP="000C0957">
      <w:pPr>
        <w:rPr>
          <w:sz w:val="24"/>
          <w:szCs w:val="24"/>
        </w:rPr>
      </w:pPr>
    </w:p>
    <w:p w14:paraId="23F24DA6" w14:textId="77777777" w:rsidR="000C0957" w:rsidRDefault="000C0957" w:rsidP="000C0957">
      <w:pPr>
        <w:rPr>
          <w:sz w:val="24"/>
          <w:szCs w:val="24"/>
        </w:rPr>
      </w:pPr>
    </w:p>
    <w:p w14:paraId="21998FDB" w14:textId="77777777" w:rsidR="000C0957" w:rsidRDefault="000C0957" w:rsidP="000C0957">
      <w:pPr>
        <w:rPr>
          <w:sz w:val="24"/>
          <w:szCs w:val="24"/>
        </w:rPr>
      </w:pPr>
    </w:p>
    <w:p w14:paraId="41B0D06F" w14:textId="77777777" w:rsidR="00E13A62" w:rsidRDefault="00E13A62" w:rsidP="000C0957">
      <w:pPr>
        <w:rPr>
          <w:sz w:val="24"/>
          <w:szCs w:val="24"/>
        </w:rPr>
      </w:pPr>
    </w:p>
    <w:p w14:paraId="2CB3E1C1" w14:textId="77777777" w:rsidR="00E17C40" w:rsidRDefault="00E17C40" w:rsidP="000C0957">
      <w:pPr>
        <w:rPr>
          <w:sz w:val="24"/>
          <w:szCs w:val="24"/>
        </w:rPr>
      </w:pPr>
    </w:p>
    <w:p w14:paraId="23CF95E7" w14:textId="77777777" w:rsidR="004E524C" w:rsidRDefault="004E524C" w:rsidP="000C0957">
      <w:pPr>
        <w:rPr>
          <w:sz w:val="24"/>
          <w:szCs w:val="24"/>
        </w:rPr>
      </w:pPr>
    </w:p>
    <w:p w14:paraId="69E987D3" w14:textId="77777777" w:rsidR="00766D99" w:rsidRDefault="00766D99" w:rsidP="000C0957">
      <w:pPr>
        <w:rPr>
          <w:sz w:val="24"/>
          <w:szCs w:val="24"/>
        </w:rPr>
      </w:pPr>
    </w:p>
    <w:p w14:paraId="33C72DEC" w14:textId="77777777" w:rsidR="00E13A62" w:rsidRDefault="00E13A62" w:rsidP="000C0957">
      <w:pPr>
        <w:rPr>
          <w:sz w:val="24"/>
          <w:szCs w:val="24"/>
        </w:rPr>
      </w:pPr>
    </w:p>
    <w:p w14:paraId="1CEF8D4C" w14:textId="4E37A68E" w:rsidR="008F3353" w:rsidRPr="00D87FFC" w:rsidRDefault="000C0957" w:rsidP="00D87FFC">
      <w:pPr>
        <w:pStyle w:val="Heading2"/>
        <w:rPr>
          <w:b/>
          <w:bCs/>
        </w:rPr>
      </w:pPr>
      <w:bookmarkStart w:id="15" w:name="_Toc219073113"/>
      <w:r w:rsidRPr="0009024D">
        <w:rPr>
          <w:b/>
          <w:bCs/>
        </w:rPr>
        <w:lastRenderedPageBreak/>
        <w:t>References</w:t>
      </w:r>
      <w:bookmarkEnd w:id="15"/>
      <w:r w:rsidRPr="0009024D">
        <w:rPr>
          <w:b/>
          <w:bCs/>
        </w:rPr>
        <w:t xml:space="preserve"> </w:t>
      </w:r>
    </w:p>
    <w:p w14:paraId="32532CE7" w14:textId="77777777" w:rsidR="00E07FFE" w:rsidRPr="00E07FFE" w:rsidRDefault="00E07FFE" w:rsidP="00E07FFE">
      <w:pPr>
        <w:rPr>
          <w:i/>
          <w:iCs/>
          <w:sz w:val="24"/>
          <w:szCs w:val="24"/>
        </w:rPr>
      </w:pPr>
      <w:r w:rsidRPr="00E07FFE">
        <w:rPr>
          <w:i/>
          <w:iCs/>
          <w:sz w:val="24"/>
          <w:szCs w:val="24"/>
        </w:rPr>
        <w:t>Defence Land Safety and Environmental Regulations2025.</w:t>
      </w:r>
    </w:p>
    <w:p w14:paraId="3BEE624D" w14:textId="3DC499BC" w:rsidR="00E07FFE" w:rsidRPr="00E07FFE" w:rsidRDefault="00E07FFE" w:rsidP="00E07FFE">
      <w:pPr>
        <w:rPr>
          <w:i/>
          <w:iCs/>
          <w:sz w:val="24"/>
          <w:szCs w:val="24"/>
        </w:rPr>
      </w:pPr>
      <w:r w:rsidRPr="00E07FFE">
        <w:rPr>
          <w:i/>
          <w:iCs/>
          <w:sz w:val="24"/>
          <w:szCs w:val="24"/>
        </w:rPr>
        <w:t xml:space="preserve">ANDERSON, T.L., 2017. Fracture </w:t>
      </w:r>
      <w:r w:rsidRPr="006B2B4A">
        <w:rPr>
          <w:i/>
          <w:iCs/>
          <w:sz w:val="24"/>
          <w:szCs w:val="24"/>
        </w:rPr>
        <w:t>mechanics:</w:t>
      </w:r>
      <w:r w:rsidRPr="00E07FFE">
        <w:rPr>
          <w:i/>
          <w:iCs/>
          <w:sz w:val="24"/>
          <w:szCs w:val="24"/>
        </w:rPr>
        <w:t xml:space="preserve"> fundamentals and applications. Boca Raton: CRC Press/Taylor &amp; Francis.</w:t>
      </w:r>
    </w:p>
    <w:p w14:paraId="433DE948" w14:textId="77777777" w:rsidR="00E07FFE" w:rsidRPr="00E07FFE" w:rsidRDefault="00E07FFE" w:rsidP="00E07FFE">
      <w:pPr>
        <w:rPr>
          <w:i/>
          <w:iCs/>
          <w:sz w:val="24"/>
          <w:szCs w:val="24"/>
        </w:rPr>
      </w:pPr>
      <w:r w:rsidRPr="00E07FFE">
        <w:rPr>
          <w:i/>
          <w:iCs/>
          <w:sz w:val="24"/>
          <w:szCs w:val="24"/>
        </w:rPr>
        <w:t xml:space="preserve">CABRINI, M., BOCCHI, S., GIANLUCA D’URSO, GIARDINI, C., LORENZI, S., TESTA, C. and PASTORE, T., 2020. Effect of Load on the Corrosion </w:t>
      </w:r>
      <w:proofErr w:type="spellStart"/>
      <w:r w:rsidRPr="00E07FFE">
        <w:rPr>
          <w:i/>
          <w:iCs/>
          <w:sz w:val="24"/>
          <w:szCs w:val="24"/>
        </w:rPr>
        <w:t>Behavior</w:t>
      </w:r>
      <w:proofErr w:type="spellEnd"/>
      <w:r w:rsidRPr="00E07FFE">
        <w:rPr>
          <w:i/>
          <w:iCs/>
          <w:sz w:val="24"/>
          <w:szCs w:val="24"/>
        </w:rPr>
        <w:t xml:space="preserve"> of Friction Stir Welded AA 7075-T6 </w:t>
      </w:r>
      <w:proofErr w:type="spellStart"/>
      <w:r w:rsidRPr="00E07FFE">
        <w:rPr>
          <w:i/>
          <w:iCs/>
          <w:sz w:val="24"/>
          <w:szCs w:val="24"/>
        </w:rPr>
        <w:t>Aluminum</w:t>
      </w:r>
      <w:proofErr w:type="spellEnd"/>
      <w:r w:rsidRPr="00E07FFE">
        <w:rPr>
          <w:i/>
          <w:iCs/>
          <w:sz w:val="24"/>
          <w:szCs w:val="24"/>
        </w:rPr>
        <w:t xml:space="preserve"> Alloy. Materials, </w:t>
      </w:r>
      <w:r w:rsidRPr="00E07FFE">
        <w:rPr>
          <w:b/>
          <w:bCs/>
          <w:i/>
          <w:iCs/>
          <w:sz w:val="24"/>
          <w:szCs w:val="24"/>
        </w:rPr>
        <w:t>13</w:t>
      </w:r>
      <w:r w:rsidRPr="00E07FFE">
        <w:rPr>
          <w:i/>
          <w:iCs/>
          <w:sz w:val="24"/>
          <w:szCs w:val="24"/>
        </w:rPr>
        <w:t>(11</w:t>
      </w:r>
      <w:proofErr w:type="gramStart"/>
      <w:r w:rsidRPr="00E07FFE">
        <w:rPr>
          <w:i/>
          <w:iCs/>
          <w:sz w:val="24"/>
          <w:szCs w:val="24"/>
        </w:rPr>
        <w:t>),.</w:t>
      </w:r>
      <w:proofErr w:type="gramEnd"/>
    </w:p>
    <w:p w14:paraId="392B49AC" w14:textId="092CBFF2" w:rsidR="00E07FFE" w:rsidRPr="00E07FFE" w:rsidRDefault="00E07FFE" w:rsidP="00E07FFE">
      <w:pPr>
        <w:rPr>
          <w:i/>
          <w:iCs/>
          <w:sz w:val="24"/>
          <w:szCs w:val="24"/>
        </w:rPr>
      </w:pPr>
      <w:r w:rsidRPr="00E07FFE">
        <w:rPr>
          <w:i/>
          <w:iCs/>
          <w:sz w:val="24"/>
          <w:szCs w:val="24"/>
        </w:rPr>
        <w:t xml:space="preserve">CALLISTER, W.D. and RETHWISCH, D.G., 2020. Materials science and </w:t>
      </w:r>
      <w:r w:rsidR="0031517D" w:rsidRPr="00E07FFE">
        <w:rPr>
          <w:i/>
          <w:iCs/>
          <w:sz w:val="24"/>
          <w:szCs w:val="24"/>
        </w:rPr>
        <w:t>engineering:</w:t>
      </w:r>
      <w:r w:rsidRPr="00E07FFE">
        <w:rPr>
          <w:i/>
          <w:iCs/>
          <w:sz w:val="24"/>
          <w:szCs w:val="24"/>
        </w:rPr>
        <w:t xml:space="preserve"> an introduction. 10 </w:t>
      </w:r>
      <w:proofErr w:type="spellStart"/>
      <w:r w:rsidRPr="00E07FFE">
        <w:rPr>
          <w:i/>
          <w:iCs/>
          <w:sz w:val="24"/>
          <w:szCs w:val="24"/>
        </w:rPr>
        <w:t>edn</w:t>
      </w:r>
      <w:proofErr w:type="spellEnd"/>
      <w:r w:rsidRPr="00E07FFE">
        <w:rPr>
          <w:i/>
          <w:iCs/>
          <w:sz w:val="24"/>
          <w:szCs w:val="24"/>
        </w:rPr>
        <w:t>. Hoboken, NJ: Wiley.</w:t>
      </w:r>
    </w:p>
    <w:p w14:paraId="4CB60F25" w14:textId="77777777" w:rsidR="00E07FFE" w:rsidRPr="00E07FFE" w:rsidRDefault="00E07FFE" w:rsidP="00E07FFE">
      <w:pPr>
        <w:rPr>
          <w:i/>
          <w:iCs/>
          <w:sz w:val="24"/>
          <w:szCs w:val="24"/>
        </w:rPr>
      </w:pPr>
      <w:r w:rsidRPr="00E07FFE">
        <w:rPr>
          <w:i/>
          <w:iCs/>
          <w:sz w:val="24"/>
          <w:szCs w:val="24"/>
        </w:rPr>
        <w:t xml:space="preserve">GIBSON, B.T., LAMMLEIN, D.H., PRATER, T.J., LONGHURST, W.R., COX, C.D., BALLUN, M.C., DHARMARAJ, K.J., COOK, G.E. and STRAUSS, A.M., 2014. Friction </w:t>
      </w:r>
      <w:proofErr w:type="gramStart"/>
      <w:r w:rsidRPr="00E07FFE">
        <w:rPr>
          <w:i/>
          <w:iCs/>
          <w:sz w:val="24"/>
          <w:szCs w:val="24"/>
        </w:rPr>
        <w:t>stir</w:t>
      </w:r>
      <w:proofErr w:type="gramEnd"/>
      <w:r w:rsidRPr="00E07FFE">
        <w:rPr>
          <w:i/>
          <w:iCs/>
          <w:sz w:val="24"/>
          <w:szCs w:val="24"/>
        </w:rPr>
        <w:t xml:space="preserve"> welding: Process, automation, and control. Journal of manufacturing processes, </w:t>
      </w:r>
      <w:r w:rsidRPr="00E07FFE">
        <w:rPr>
          <w:b/>
          <w:bCs/>
          <w:i/>
          <w:iCs/>
          <w:sz w:val="24"/>
          <w:szCs w:val="24"/>
        </w:rPr>
        <w:t>16</w:t>
      </w:r>
      <w:r w:rsidRPr="00E07FFE">
        <w:rPr>
          <w:i/>
          <w:iCs/>
          <w:sz w:val="24"/>
          <w:szCs w:val="24"/>
        </w:rPr>
        <w:t>(1), pp. 56–73.</w:t>
      </w:r>
    </w:p>
    <w:p w14:paraId="7F6FD91A" w14:textId="77777777" w:rsidR="00E07FFE" w:rsidRPr="00E07FFE" w:rsidRDefault="00E07FFE" w:rsidP="00E07FFE">
      <w:pPr>
        <w:rPr>
          <w:i/>
          <w:iCs/>
          <w:sz w:val="24"/>
          <w:szCs w:val="24"/>
        </w:rPr>
      </w:pPr>
      <w:r w:rsidRPr="00E07FFE">
        <w:rPr>
          <w:i/>
          <w:iCs/>
          <w:sz w:val="24"/>
          <w:szCs w:val="24"/>
        </w:rPr>
        <w:t xml:space="preserve">LI, H., GAO, J. and LI, Q., 2018. Fatigue of Friction Stir Welded </w:t>
      </w:r>
      <w:proofErr w:type="spellStart"/>
      <w:r w:rsidRPr="00E07FFE">
        <w:rPr>
          <w:i/>
          <w:iCs/>
          <w:sz w:val="24"/>
          <w:szCs w:val="24"/>
        </w:rPr>
        <w:t>Aluminum</w:t>
      </w:r>
      <w:proofErr w:type="spellEnd"/>
      <w:r w:rsidRPr="00E07FFE">
        <w:rPr>
          <w:i/>
          <w:iCs/>
          <w:sz w:val="24"/>
          <w:szCs w:val="24"/>
        </w:rPr>
        <w:t xml:space="preserve"> Alloy Joints: A Review. Applied sciences, </w:t>
      </w:r>
      <w:r w:rsidRPr="00E07FFE">
        <w:rPr>
          <w:b/>
          <w:bCs/>
          <w:i/>
          <w:iCs/>
          <w:sz w:val="24"/>
          <w:szCs w:val="24"/>
        </w:rPr>
        <w:t>8</w:t>
      </w:r>
      <w:r w:rsidRPr="00E07FFE">
        <w:rPr>
          <w:i/>
          <w:iCs/>
          <w:sz w:val="24"/>
          <w:szCs w:val="24"/>
        </w:rPr>
        <w:t>(12), pp. 2626.</w:t>
      </w:r>
    </w:p>
    <w:p w14:paraId="00E8B269" w14:textId="77777777" w:rsidR="00E07FFE" w:rsidRPr="00E07FFE" w:rsidRDefault="00E07FFE" w:rsidP="00E07FFE">
      <w:pPr>
        <w:rPr>
          <w:i/>
          <w:iCs/>
          <w:sz w:val="24"/>
          <w:szCs w:val="24"/>
        </w:rPr>
      </w:pPr>
      <w:r w:rsidRPr="00E07FFE">
        <w:rPr>
          <w:i/>
          <w:iCs/>
          <w:sz w:val="24"/>
          <w:szCs w:val="24"/>
        </w:rPr>
        <w:t xml:space="preserve">MAGGIOLINI, E., BENASCIUTTI, D., SUSMEL, L., HATTINGH, D.G., JAMES, M.N. and TOVO, R., 2018. Friction </w:t>
      </w:r>
      <w:proofErr w:type="gramStart"/>
      <w:r w:rsidRPr="00E07FFE">
        <w:rPr>
          <w:i/>
          <w:iCs/>
          <w:sz w:val="24"/>
          <w:szCs w:val="24"/>
        </w:rPr>
        <w:t>stir</w:t>
      </w:r>
      <w:proofErr w:type="gramEnd"/>
      <w:r w:rsidRPr="00E07FFE">
        <w:rPr>
          <w:i/>
          <w:iCs/>
          <w:sz w:val="24"/>
          <w:szCs w:val="24"/>
        </w:rPr>
        <w:t xml:space="preserve"> welds in aluminium: Design S</w:t>
      </w:r>
      <w:r w:rsidRPr="00E07FFE">
        <w:rPr>
          <w:rFonts w:ascii="Cambria Math" w:hAnsi="Cambria Math" w:cs="Cambria Math"/>
          <w:i/>
          <w:iCs/>
          <w:sz w:val="24"/>
          <w:szCs w:val="24"/>
        </w:rPr>
        <w:t>‐</w:t>
      </w:r>
      <w:r w:rsidRPr="00E07FFE">
        <w:rPr>
          <w:i/>
          <w:iCs/>
          <w:sz w:val="24"/>
          <w:szCs w:val="24"/>
        </w:rPr>
        <w:t>N curves from statistical analysis of literature data.</w:t>
      </w:r>
      <w:r w:rsidRPr="00E07FFE">
        <w:rPr>
          <w:rFonts w:cs="Aptos"/>
          <w:i/>
          <w:iCs/>
          <w:sz w:val="24"/>
          <w:szCs w:val="24"/>
        </w:rPr>
        <w:t> </w:t>
      </w:r>
      <w:r w:rsidRPr="00E07FFE">
        <w:rPr>
          <w:i/>
          <w:iCs/>
          <w:sz w:val="24"/>
          <w:szCs w:val="24"/>
        </w:rPr>
        <w:t>Fatigue &amp; fracture of engineering materials &amp; structures, </w:t>
      </w:r>
      <w:r w:rsidRPr="00E07FFE">
        <w:rPr>
          <w:b/>
          <w:bCs/>
          <w:i/>
          <w:iCs/>
          <w:sz w:val="24"/>
          <w:szCs w:val="24"/>
        </w:rPr>
        <w:t>41</w:t>
      </w:r>
      <w:r w:rsidRPr="00E07FFE">
        <w:rPr>
          <w:i/>
          <w:iCs/>
          <w:sz w:val="24"/>
          <w:szCs w:val="24"/>
        </w:rPr>
        <w:t>(11), pp. 2212–2230.</w:t>
      </w:r>
    </w:p>
    <w:p w14:paraId="7A111246" w14:textId="77777777" w:rsidR="00E07FFE" w:rsidRPr="00E07FFE" w:rsidRDefault="00E07FFE" w:rsidP="00E07FFE">
      <w:pPr>
        <w:rPr>
          <w:i/>
          <w:iCs/>
          <w:sz w:val="24"/>
          <w:szCs w:val="24"/>
        </w:rPr>
      </w:pPr>
      <w:r w:rsidRPr="00E07FFE">
        <w:rPr>
          <w:i/>
          <w:iCs/>
          <w:sz w:val="24"/>
          <w:szCs w:val="24"/>
        </w:rPr>
        <w:t xml:space="preserve">MALOPHEYEV, S., VYSOTSKIY, I., ZHEMCHUZHNIKOVA, D., MIRONOV, S. and KAIBYSHEV, R., 2020. On the Fatigue Performance of Friction-Stir Welded </w:t>
      </w:r>
      <w:proofErr w:type="spellStart"/>
      <w:r w:rsidRPr="00E07FFE">
        <w:rPr>
          <w:i/>
          <w:iCs/>
          <w:sz w:val="24"/>
          <w:szCs w:val="24"/>
        </w:rPr>
        <w:t>Aluminum</w:t>
      </w:r>
      <w:proofErr w:type="spellEnd"/>
      <w:r w:rsidRPr="00E07FFE">
        <w:rPr>
          <w:i/>
          <w:iCs/>
          <w:sz w:val="24"/>
          <w:szCs w:val="24"/>
        </w:rPr>
        <w:t xml:space="preserve"> Alloys. Materials, </w:t>
      </w:r>
      <w:r w:rsidRPr="00E07FFE">
        <w:rPr>
          <w:b/>
          <w:bCs/>
          <w:i/>
          <w:iCs/>
          <w:sz w:val="24"/>
          <w:szCs w:val="24"/>
        </w:rPr>
        <w:t>13</w:t>
      </w:r>
      <w:r w:rsidRPr="00E07FFE">
        <w:rPr>
          <w:i/>
          <w:iCs/>
          <w:sz w:val="24"/>
          <w:szCs w:val="24"/>
        </w:rPr>
        <w:t>(19), pp. 4246.</w:t>
      </w:r>
    </w:p>
    <w:p w14:paraId="7BF7071B" w14:textId="7EEEF653" w:rsidR="00E07FFE" w:rsidRPr="00E07FFE" w:rsidRDefault="00E07FFE" w:rsidP="00E07FFE">
      <w:pPr>
        <w:rPr>
          <w:i/>
          <w:iCs/>
          <w:sz w:val="24"/>
          <w:szCs w:val="24"/>
        </w:rPr>
      </w:pPr>
      <w:r w:rsidRPr="00E07FFE">
        <w:rPr>
          <w:i/>
          <w:iCs/>
          <w:sz w:val="24"/>
          <w:szCs w:val="24"/>
        </w:rPr>
        <w:t xml:space="preserve">MISHRA, R.S. and MA, Z.Y., 2005. Friction </w:t>
      </w:r>
      <w:proofErr w:type="gramStart"/>
      <w:r w:rsidRPr="00E07FFE">
        <w:rPr>
          <w:i/>
          <w:iCs/>
          <w:sz w:val="24"/>
          <w:szCs w:val="24"/>
        </w:rPr>
        <w:t>stir</w:t>
      </w:r>
      <w:proofErr w:type="gramEnd"/>
      <w:r w:rsidRPr="00E07FFE">
        <w:rPr>
          <w:i/>
          <w:iCs/>
          <w:sz w:val="24"/>
          <w:szCs w:val="24"/>
        </w:rPr>
        <w:t xml:space="preserve"> welding and processing. Materials science &amp; </w:t>
      </w:r>
      <w:r w:rsidR="00F11D46" w:rsidRPr="00E07FFE">
        <w:rPr>
          <w:i/>
          <w:iCs/>
          <w:sz w:val="24"/>
          <w:szCs w:val="24"/>
        </w:rPr>
        <w:t>engineering</w:t>
      </w:r>
      <w:r w:rsidRPr="00E07FFE">
        <w:rPr>
          <w:i/>
          <w:iCs/>
          <w:sz w:val="24"/>
          <w:szCs w:val="24"/>
        </w:rPr>
        <w:t xml:space="preserve">, </w:t>
      </w:r>
      <w:r w:rsidR="00F11D46" w:rsidRPr="00E07FFE">
        <w:rPr>
          <w:i/>
          <w:iCs/>
          <w:sz w:val="24"/>
          <w:szCs w:val="24"/>
        </w:rPr>
        <w:t>Reports:</w:t>
      </w:r>
      <w:r w:rsidRPr="00E07FFE">
        <w:rPr>
          <w:i/>
          <w:iCs/>
          <w:sz w:val="24"/>
          <w:szCs w:val="24"/>
        </w:rPr>
        <w:t xml:space="preserve"> a review journal, </w:t>
      </w:r>
      <w:r w:rsidRPr="00E07FFE">
        <w:rPr>
          <w:b/>
          <w:bCs/>
          <w:i/>
          <w:iCs/>
          <w:sz w:val="24"/>
          <w:szCs w:val="24"/>
        </w:rPr>
        <w:t>50</w:t>
      </w:r>
      <w:r w:rsidRPr="00E07FFE">
        <w:rPr>
          <w:i/>
          <w:iCs/>
          <w:sz w:val="24"/>
          <w:szCs w:val="24"/>
        </w:rPr>
        <w:t>(1), pp. 1–78.</w:t>
      </w:r>
    </w:p>
    <w:p w14:paraId="4ED88FF8" w14:textId="2D6EC50C" w:rsidR="00E07FFE" w:rsidRPr="00E07FFE" w:rsidRDefault="00E07FFE" w:rsidP="00E07FFE">
      <w:pPr>
        <w:rPr>
          <w:i/>
          <w:iCs/>
          <w:sz w:val="24"/>
          <w:szCs w:val="24"/>
        </w:rPr>
      </w:pPr>
      <w:r w:rsidRPr="00E07FFE">
        <w:rPr>
          <w:i/>
          <w:iCs/>
          <w:sz w:val="24"/>
          <w:szCs w:val="24"/>
        </w:rPr>
        <w:t xml:space="preserve">SRINIVASAN, P.B., DIETZEL, W., ZETTLER, R., DOS SANTOS, J.F. and SIVAN, V., 2005. Stress corrosion cracking susceptibility of friction </w:t>
      </w:r>
      <w:proofErr w:type="gramStart"/>
      <w:r w:rsidRPr="00E07FFE">
        <w:rPr>
          <w:i/>
          <w:iCs/>
          <w:sz w:val="24"/>
          <w:szCs w:val="24"/>
        </w:rPr>
        <w:t>stir</w:t>
      </w:r>
      <w:proofErr w:type="gramEnd"/>
      <w:r w:rsidRPr="00E07FFE">
        <w:rPr>
          <w:i/>
          <w:iCs/>
          <w:sz w:val="24"/>
          <w:szCs w:val="24"/>
        </w:rPr>
        <w:t xml:space="preserve"> welded AA7075–AA6056 dissimilar joint. Materials science &amp; </w:t>
      </w:r>
      <w:r w:rsidR="0031517D" w:rsidRPr="00E07FFE">
        <w:rPr>
          <w:i/>
          <w:iCs/>
          <w:sz w:val="24"/>
          <w:szCs w:val="24"/>
        </w:rPr>
        <w:t xml:space="preserve">engineering. </w:t>
      </w:r>
      <w:proofErr w:type="gramStart"/>
      <w:r w:rsidR="0031517D" w:rsidRPr="00E07FFE">
        <w:rPr>
          <w:i/>
          <w:iCs/>
          <w:sz w:val="24"/>
          <w:szCs w:val="24"/>
        </w:rPr>
        <w:t>A</w:t>
      </w:r>
      <w:r w:rsidRPr="00E07FFE">
        <w:rPr>
          <w:i/>
          <w:iCs/>
          <w:sz w:val="24"/>
          <w:szCs w:val="24"/>
        </w:rPr>
        <w:t>,</w:t>
      </w:r>
      <w:proofErr w:type="gramEnd"/>
      <w:r w:rsidRPr="00E07FFE">
        <w:rPr>
          <w:i/>
          <w:iCs/>
          <w:sz w:val="24"/>
          <w:szCs w:val="24"/>
        </w:rPr>
        <w:t xml:space="preserve"> Structural </w:t>
      </w:r>
      <w:r w:rsidR="00F11D46" w:rsidRPr="00E07FFE">
        <w:rPr>
          <w:i/>
          <w:iCs/>
          <w:sz w:val="24"/>
          <w:szCs w:val="24"/>
        </w:rPr>
        <w:t>materials:</w:t>
      </w:r>
      <w:r w:rsidRPr="00E07FFE">
        <w:rPr>
          <w:i/>
          <w:iCs/>
          <w:sz w:val="24"/>
          <w:szCs w:val="24"/>
        </w:rPr>
        <w:t xml:space="preserve"> properties, microstructure and processing, </w:t>
      </w:r>
      <w:r w:rsidRPr="00E07FFE">
        <w:rPr>
          <w:b/>
          <w:bCs/>
          <w:i/>
          <w:iCs/>
          <w:sz w:val="24"/>
          <w:szCs w:val="24"/>
        </w:rPr>
        <w:t>392</w:t>
      </w:r>
      <w:r w:rsidRPr="00E07FFE">
        <w:rPr>
          <w:i/>
          <w:iCs/>
          <w:sz w:val="24"/>
          <w:szCs w:val="24"/>
        </w:rPr>
        <w:t>(1), pp. 292–300.</w:t>
      </w:r>
    </w:p>
    <w:p w14:paraId="5D705732" w14:textId="2B5F167C" w:rsidR="00E17C40" w:rsidRPr="006B2B4A" w:rsidRDefault="00E07FFE">
      <w:pPr>
        <w:rPr>
          <w:i/>
          <w:iCs/>
          <w:sz w:val="24"/>
          <w:szCs w:val="24"/>
        </w:rPr>
      </w:pPr>
      <w:r w:rsidRPr="00E07FFE">
        <w:rPr>
          <w:i/>
          <w:iCs/>
          <w:sz w:val="24"/>
          <w:szCs w:val="24"/>
        </w:rPr>
        <w:t xml:space="preserve">THREADGILL, P.L., LEONARD, A.J., SHERCLIFF, H.R. and WITHERS, P.J., 2009. Friction </w:t>
      </w:r>
      <w:proofErr w:type="gramStart"/>
      <w:r w:rsidRPr="00E07FFE">
        <w:rPr>
          <w:i/>
          <w:iCs/>
          <w:sz w:val="24"/>
          <w:szCs w:val="24"/>
        </w:rPr>
        <w:t>stir</w:t>
      </w:r>
      <w:proofErr w:type="gramEnd"/>
      <w:r w:rsidRPr="00E07FFE">
        <w:rPr>
          <w:i/>
          <w:iCs/>
          <w:sz w:val="24"/>
          <w:szCs w:val="24"/>
        </w:rPr>
        <w:t xml:space="preserve"> welding of aluminium alloys. International materials reviews, </w:t>
      </w:r>
      <w:r w:rsidRPr="00E07FFE">
        <w:rPr>
          <w:b/>
          <w:bCs/>
          <w:i/>
          <w:iCs/>
          <w:sz w:val="24"/>
          <w:szCs w:val="24"/>
        </w:rPr>
        <w:t>54</w:t>
      </w:r>
      <w:r w:rsidRPr="00E07FFE">
        <w:rPr>
          <w:i/>
          <w:iCs/>
          <w:sz w:val="24"/>
          <w:szCs w:val="24"/>
        </w:rPr>
        <w:t>(2), pp. 49–93.</w:t>
      </w:r>
    </w:p>
    <w:p w14:paraId="1C5AF9D7" w14:textId="30D4593D" w:rsidR="00C859C1" w:rsidRPr="006B2B4A" w:rsidRDefault="00766D99">
      <w:pPr>
        <w:rPr>
          <w:i/>
          <w:iCs/>
          <w:sz w:val="24"/>
          <w:szCs w:val="24"/>
        </w:rPr>
      </w:pPr>
      <w:r w:rsidRPr="006B2B4A">
        <w:rPr>
          <w:i/>
          <w:iCs/>
          <w:sz w:val="24"/>
          <w:szCs w:val="24"/>
        </w:rPr>
        <w:t>Ministry of Defence (2014) JSP 454: Safety and Environmental Protection for Defence (legacy policy). London: Ministry of Defence.</w:t>
      </w:r>
    </w:p>
    <w:p w14:paraId="46C1324F" w14:textId="61936AD7" w:rsidR="00C859C1" w:rsidRPr="006B2B4A" w:rsidRDefault="00766D99">
      <w:pPr>
        <w:rPr>
          <w:i/>
          <w:iCs/>
          <w:sz w:val="24"/>
          <w:szCs w:val="24"/>
        </w:rPr>
      </w:pPr>
      <w:r w:rsidRPr="006B2B4A">
        <w:rPr>
          <w:i/>
          <w:iCs/>
          <w:sz w:val="24"/>
          <w:szCs w:val="24"/>
        </w:rPr>
        <w:t>Ministry of Defence (2018, updated 2023) DEF STAN 00</w:t>
      </w:r>
      <w:r w:rsidRPr="006B2B4A">
        <w:rPr>
          <w:rFonts w:ascii="Cambria Math" w:hAnsi="Cambria Math" w:cs="Cambria Math"/>
          <w:i/>
          <w:iCs/>
          <w:sz w:val="24"/>
          <w:szCs w:val="24"/>
        </w:rPr>
        <w:t>‑</w:t>
      </w:r>
      <w:r w:rsidRPr="006B2B4A">
        <w:rPr>
          <w:i/>
          <w:iCs/>
          <w:sz w:val="24"/>
          <w:szCs w:val="24"/>
        </w:rPr>
        <w:t xml:space="preserve">970: Design and Airworthiness Requirements for Service Aircraft. London: Ministry of Defence. </w:t>
      </w:r>
    </w:p>
    <w:p w14:paraId="7CB3D30B" w14:textId="30019D8C" w:rsidR="00C859C1" w:rsidRPr="006B2B4A" w:rsidRDefault="00766D99">
      <w:pPr>
        <w:rPr>
          <w:i/>
          <w:iCs/>
          <w:sz w:val="24"/>
          <w:szCs w:val="24"/>
        </w:rPr>
      </w:pPr>
      <w:r w:rsidRPr="006B2B4A">
        <w:rPr>
          <w:i/>
          <w:iCs/>
          <w:sz w:val="24"/>
          <w:szCs w:val="24"/>
        </w:rPr>
        <w:t>Ministry of Defence Standards (2020) DEF STAN 02</w:t>
      </w:r>
      <w:r w:rsidRPr="006B2B4A">
        <w:rPr>
          <w:rFonts w:ascii="Cambria Math" w:hAnsi="Cambria Math" w:cs="Cambria Math"/>
          <w:i/>
          <w:iCs/>
          <w:sz w:val="24"/>
          <w:szCs w:val="24"/>
        </w:rPr>
        <w:t>‑</w:t>
      </w:r>
      <w:r w:rsidRPr="006B2B4A">
        <w:rPr>
          <w:i/>
          <w:iCs/>
          <w:sz w:val="24"/>
          <w:szCs w:val="24"/>
        </w:rPr>
        <w:t xml:space="preserve">772: Welding and Fabrication of Pipework, Machinery and Engineering Components. London: Ministry of Defence. </w:t>
      </w:r>
    </w:p>
    <w:sectPr w:rsidR="00C859C1" w:rsidRPr="006B2B4A">
      <w:footerReference w:type="default" r:id="rId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D6561E4" w14:textId="77777777" w:rsidR="00E32224" w:rsidRDefault="00E32224" w:rsidP="005405F2">
      <w:pPr>
        <w:spacing w:after="0" w:line="240" w:lineRule="auto"/>
      </w:pPr>
      <w:r>
        <w:separator/>
      </w:r>
    </w:p>
  </w:endnote>
  <w:endnote w:type="continuationSeparator" w:id="0">
    <w:p w14:paraId="6000C633" w14:textId="77777777" w:rsidR="00E32224" w:rsidRDefault="00E32224" w:rsidP="005405F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661739881"/>
      <w:docPartObj>
        <w:docPartGallery w:val="Page Numbers (Bottom of Page)"/>
        <w:docPartUnique/>
      </w:docPartObj>
    </w:sdtPr>
    <w:sdtEndPr/>
    <w:sdtContent>
      <w:sdt>
        <w:sdtPr>
          <w:id w:val="1728636285"/>
          <w:docPartObj>
            <w:docPartGallery w:val="Page Numbers (Top of Page)"/>
            <w:docPartUnique/>
          </w:docPartObj>
        </w:sdtPr>
        <w:sdtEndPr/>
        <w:sdtContent>
          <w:p w14:paraId="2B88471D" w14:textId="77777777" w:rsidR="0027027B" w:rsidRDefault="00581AE3" w:rsidP="009E458A">
            <w:pPr>
              <w:pStyle w:val="Footer"/>
            </w:pPr>
            <w:r>
              <w:t>Damon Owen</w:t>
            </w:r>
            <w:r w:rsidR="00577CA3">
              <w:tab/>
            </w:r>
            <w:r w:rsidR="0027027B">
              <w:t xml:space="preserve">Page </w:t>
            </w:r>
            <w:r w:rsidR="0027027B">
              <w:rPr>
                <w:b/>
                <w:bCs/>
                <w:sz w:val="24"/>
                <w:szCs w:val="24"/>
              </w:rPr>
              <w:fldChar w:fldCharType="begin"/>
            </w:r>
            <w:r w:rsidR="0027027B">
              <w:rPr>
                <w:b/>
                <w:bCs/>
              </w:rPr>
              <w:instrText>PAGE</w:instrText>
            </w:r>
            <w:r w:rsidR="0027027B">
              <w:rPr>
                <w:b/>
                <w:bCs/>
                <w:sz w:val="24"/>
                <w:szCs w:val="24"/>
              </w:rPr>
              <w:fldChar w:fldCharType="separate"/>
            </w:r>
            <w:r w:rsidR="0027027B">
              <w:rPr>
                <w:b/>
                <w:bCs/>
              </w:rPr>
              <w:t>2</w:t>
            </w:r>
            <w:r w:rsidR="0027027B">
              <w:rPr>
                <w:b/>
                <w:bCs/>
                <w:sz w:val="24"/>
                <w:szCs w:val="24"/>
              </w:rPr>
              <w:fldChar w:fldCharType="end"/>
            </w:r>
            <w:r w:rsidR="0027027B">
              <w:t xml:space="preserve"> of </w:t>
            </w:r>
            <w:r w:rsidR="0027027B">
              <w:rPr>
                <w:b/>
                <w:bCs/>
                <w:sz w:val="24"/>
                <w:szCs w:val="24"/>
              </w:rPr>
              <w:fldChar w:fldCharType="begin"/>
            </w:r>
            <w:r w:rsidR="0027027B">
              <w:rPr>
                <w:b/>
                <w:bCs/>
              </w:rPr>
              <w:instrText>NUMPAGES</w:instrText>
            </w:r>
            <w:r w:rsidR="0027027B">
              <w:rPr>
                <w:b/>
                <w:bCs/>
                <w:sz w:val="24"/>
                <w:szCs w:val="24"/>
              </w:rPr>
              <w:fldChar w:fldCharType="separate"/>
            </w:r>
            <w:r w:rsidR="0027027B">
              <w:rPr>
                <w:b/>
                <w:bCs/>
              </w:rPr>
              <w:t>2</w:t>
            </w:r>
            <w:r w:rsidR="0027027B">
              <w:rPr>
                <w:b/>
                <w:bCs/>
                <w:sz w:val="24"/>
                <w:szCs w:val="24"/>
              </w:rPr>
              <w:fldChar w:fldCharType="end"/>
            </w:r>
            <w:r w:rsidR="00577CA3">
              <w:rPr>
                <w:b/>
                <w:bCs/>
                <w:sz w:val="24"/>
                <w:szCs w:val="24"/>
              </w:rPr>
              <w:tab/>
            </w:r>
            <w:r w:rsidR="00577CA3" w:rsidRPr="00581AE3">
              <w:t>05/01/2</w:t>
            </w:r>
            <w:r w:rsidRPr="00581AE3">
              <w:t>6</w:t>
            </w:r>
          </w:p>
        </w:sdtContent>
      </w:sdt>
    </w:sdtContent>
  </w:sdt>
  <w:p w14:paraId="261CDC68" w14:textId="77777777" w:rsidR="005405F2" w:rsidRDefault="005405F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80FF23F" w14:textId="77777777" w:rsidR="00E32224" w:rsidRDefault="00E32224" w:rsidP="005405F2">
      <w:pPr>
        <w:spacing w:after="0" w:line="240" w:lineRule="auto"/>
      </w:pPr>
      <w:r>
        <w:separator/>
      </w:r>
    </w:p>
  </w:footnote>
  <w:footnote w:type="continuationSeparator" w:id="0">
    <w:p w14:paraId="75CC1F03" w14:textId="77777777" w:rsidR="00E32224" w:rsidRDefault="00E32224" w:rsidP="005405F2">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hdrShapeDefaults>
    <o:shapedefaults v:ext="edit" spidmax="2051"/>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C6CC2"/>
    <w:rsid w:val="00050689"/>
    <w:rsid w:val="00075625"/>
    <w:rsid w:val="0009024D"/>
    <w:rsid w:val="000923A8"/>
    <w:rsid w:val="000C0957"/>
    <w:rsid w:val="000C1409"/>
    <w:rsid w:val="00121F0A"/>
    <w:rsid w:val="00152A15"/>
    <w:rsid w:val="00156CEC"/>
    <w:rsid w:val="00191704"/>
    <w:rsid w:val="001A3E94"/>
    <w:rsid w:val="001B26A1"/>
    <w:rsid w:val="00240244"/>
    <w:rsid w:val="0027027B"/>
    <w:rsid w:val="002A198B"/>
    <w:rsid w:val="002C0A7B"/>
    <w:rsid w:val="002F5784"/>
    <w:rsid w:val="00313482"/>
    <w:rsid w:val="0031517D"/>
    <w:rsid w:val="0038088F"/>
    <w:rsid w:val="003B71E1"/>
    <w:rsid w:val="003D2710"/>
    <w:rsid w:val="003F5847"/>
    <w:rsid w:val="00404C60"/>
    <w:rsid w:val="00425A98"/>
    <w:rsid w:val="00451856"/>
    <w:rsid w:val="004600B4"/>
    <w:rsid w:val="00474221"/>
    <w:rsid w:val="004B20E6"/>
    <w:rsid w:val="004E524C"/>
    <w:rsid w:val="00521929"/>
    <w:rsid w:val="005405F2"/>
    <w:rsid w:val="00541EC0"/>
    <w:rsid w:val="0056282D"/>
    <w:rsid w:val="00572CF3"/>
    <w:rsid w:val="00575E8A"/>
    <w:rsid w:val="00577CA3"/>
    <w:rsid w:val="00581AE3"/>
    <w:rsid w:val="0058584F"/>
    <w:rsid w:val="00597F69"/>
    <w:rsid w:val="005C213C"/>
    <w:rsid w:val="005D2C33"/>
    <w:rsid w:val="00607F87"/>
    <w:rsid w:val="00616F83"/>
    <w:rsid w:val="00630912"/>
    <w:rsid w:val="00643382"/>
    <w:rsid w:val="00657A4B"/>
    <w:rsid w:val="00691E0A"/>
    <w:rsid w:val="006B2B4A"/>
    <w:rsid w:val="006B575C"/>
    <w:rsid w:val="006D32AD"/>
    <w:rsid w:val="00766D99"/>
    <w:rsid w:val="00781EA9"/>
    <w:rsid w:val="00814FB9"/>
    <w:rsid w:val="008211CD"/>
    <w:rsid w:val="0084476B"/>
    <w:rsid w:val="0085616F"/>
    <w:rsid w:val="00872BE6"/>
    <w:rsid w:val="00894029"/>
    <w:rsid w:val="008B187A"/>
    <w:rsid w:val="008C4C7E"/>
    <w:rsid w:val="008C5018"/>
    <w:rsid w:val="008C63BB"/>
    <w:rsid w:val="008E1658"/>
    <w:rsid w:val="008F3353"/>
    <w:rsid w:val="008F4299"/>
    <w:rsid w:val="00941D28"/>
    <w:rsid w:val="009601D1"/>
    <w:rsid w:val="00962DD5"/>
    <w:rsid w:val="00975845"/>
    <w:rsid w:val="0098055F"/>
    <w:rsid w:val="00982B7E"/>
    <w:rsid w:val="009A70B8"/>
    <w:rsid w:val="009B365F"/>
    <w:rsid w:val="009E458A"/>
    <w:rsid w:val="009F7242"/>
    <w:rsid w:val="00A31C7F"/>
    <w:rsid w:val="00AE3503"/>
    <w:rsid w:val="00B51EE9"/>
    <w:rsid w:val="00BA1F12"/>
    <w:rsid w:val="00C21BB7"/>
    <w:rsid w:val="00C616C9"/>
    <w:rsid w:val="00C859C1"/>
    <w:rsid w:val="00CC6CC2"/>
    <w:rsid w:val="00CD66FF"/>
    <w:rsid w:val="00CE2394"/>
    <w:rsid w:val="00CE3A3F"/>
    <w:rsid w:val="00CE3D63"/>
    <w:rsid w:val="00D229A7"/>
    <w:rsid w:val="00D74B15"/>
    <w:rsid w:val="00D85581"/>
    <w:rsid w:val="00D85FCE"/>
    <w:rsid w:val="00D87FFC"/>
    <w:rsid w:val="00E07FFE"/>
    <w:rsid w:val="00E13A62"/>
    <w:rsid w:val="00E17C40"/>
    <w:rsid w:val="00E21A7D"/>
    <w:rsid w:val="00E3205F"/>
    <w:rsid w:val="00E32224"/>
    <w:rsid w:val="00E463EB"/>
    <w:rsid w:val="00E5654E"/>
    <w:rsid w:val="00E61261"/>
    <w:rsid w:val="00E82AD7"/>
    <w:rsid w:val="00EA352A"/>
    <w:rsid w:val="00F11D46"/>
    <w:rsid w:val="00F1418C"/>
    <w:rsid w:val="00F71EE7"/>
    <w:rsid w:val="00F839C2"/>
    <w:rsid w:val="00F86677"/>
    <w:rsid w:val="00FA403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1"/>
    <o:shapelayout v:ext="edit">
      <o:idmap v:ext="edit" data="2"/>
    </o:shapelayout>
  </w:shapeDefaults>
  <w:decimalSymbol w:val="."/>
  <w:listSeparator w:val=","/>
  <w14:docId w14:val="5F7E9FB7"/>
  <w15:chartTrackingRefBased/>
  <w15:docId w15:val="{22BE52C1-DE87-4F33-9FC7-E2EFBB1A4EA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CC6CC2"/>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CC6CC2"/>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CC6CC2"/>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CC6CC2"/>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CC6CC2"/>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CC6CC2"/>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CC6CC2"/>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CC6CC2"/>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CC6CC2"/>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CC6CC2"/>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CC6CC2"/>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CC6CC2"/>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CC6CC2"/>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CC6CC2"/>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CC6CC2"/>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CC6CC2"/>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CC6CC2"/>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CC6CC2"/>
    <w:rPr>
      <w:rFonts w:eastAsiaTheme="majorEastAsia" w:cstheme="majorBidi"/>
      <w:color w:val="272727" w:themeColor="text1" w:themeTint="D8"/>
    </w:rPr>
  </w:style>
  <w:style w:type="paragraph" w:styleId="Title">
    <w:name w:val="Title"/>
    <w:basedOn w:val="Normal"/>
    <w:next w:val="Normal"/>
    <w:link w:val="TitleChar"/>
    <w:uiPriority w:val="10"/>
    <w:qFormat/>
    <w:rsid w:val="00CC6CC2"/>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CC6CC2"/>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CC6CC2"/>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CC6CC2"/>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CC6CC2"/>
    <w:pPr>
      <w:spacing w:before="160"/>
      <w:jc w:val="center"/>
    </w:pPr>
    <w:rPr>
      <w:i/>
      <w:iCs/>
      <w:color w:val="404040" w:themeColor="text1" w:themeTint="BF"/>
    </w:rPr>
  </w:style>
  <w:style w:type="character" w:customStyle="1" w:styleId="QuoteChar">
    <w:name w:val="Quote Char"/>
    <w:basedOn w:val="DefaultParagraphFont"/>
    <w:link w:val="Quote"/>
    <w:uiPriority w:val="29"/>
    <w:rsid w:val="00CC6CC2"/>
    <w:rPr>
      <w:i/>
      <w:iCs/>
      <w:color w:val="404040" w:themeColor="text1" w:themeTint="BF"/>
    </w:rPr>
  </w:style>
  <w:style w:type="paragraph" w:styleId="ListParagraph">
    <w:name w:val="List Paragraph"/>
    <w:basedOn w:val="Normal"/>
    <w:uiPriority w:val="34"/>
    <w:qFormat/>
    <w:rsid w:val="00CC6CC2"/>
    <w:pPr>
      <w:ind w:left="720"/>
      <w:contextualSpacing/>
    </w:pPr>
  </w:style>
  <w:style w:type="character" w:styleId="IntenseEmphasis">
    <w:name w:val="Intense Emphasis"/>
    <w:basedOn w:val="DefaultParagraphFont"/>
    <w:uiPriority w:val="21"/>
    <w:qFormat/>
    <w:rsid w:val="00CC6CC2"/>
    <w:rPr>
      <w:i/>
      <w:iCs/>
      <w:color w:val="0F4761" w:themeColor="accent1" w:themeShade="BF"/>
    </w:rPr>
  </w:style>
  <w:style w:type="paragraph" w:styleId="IntenseQuote">
    <w:name w:val="Intense Quote"/>
    <w:basedOn w:val="Normal"/>
    <w:next w:val="Normal"/>
    <w:link w:val="IntenseQuoteChar"/>
    <w:uiPriority w:val="30"/>
    <w:qFormat/>
    <w:rsid w:val="00CC6CC2"/>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CC6CC2"/>
    <w:rPr>
      <w:i/>
      <w:iCs/>
      <w:color w:val="0F4761" w:themeColor="accent1" w:themeShade="BF"/>
    </w:rPr>
  </w:style>
  <w:style w:type="character" w:styleId="IntenseReference">
    <w:name w:val="Intense Reference"/>
    <w:basedOn w:val="DefaultParagraphFont"/>
    <w:uiPriority w:val="32"/>
    <w:qFormat/>
    <w:rsid w:val="00CC6CC2"/>
    <w:rPr>
      <w:b/>
      <w:bCs/>
      <w:smallCaps/>
      <w:color w:val="0F4761" w:themeColor="accent1" w:themeShade="BF"/>
      <w:spacing w:val="5"/>
    </w:rPr>
  </w:style>
  <w:style w:type="paragraph" w:styleId="TOCHeading">
    <w:name w:val="TOC Heading"/>
    <w:basedOn w:val="Heading1"/>
    <w:next w:val="Normal"/>
    <w:uiPriority w:val="39"/>
    <w:unhideWhenUsed/>
    <w:qFormat/>
    <w:rsid w:val="001B26A1"/>
    <w:pPr>
      <w:spacing w:before="240" w:after="0"/>
      <w:outlineLvl w:val="9"/>
    </w:pPr>
    <w:rPr>
      <w:kern w:val="0"/>
      <w:sz w:val="32"/>
      <w:szCs w:val="32"/>
      <w:lang w:eastAsia="en-GB"/>
      <w14:ligatures w14:val="none"/>
    </w:rPr>
  </w:style>
  <w:style w:type="paragraph" w:styleId="TOC2">
    <w:name w:val="toc 2"/>
    <w:basedOn w:val="Normal"/>
    <w:next w:val="Normal"/>
    <w:autoRedefine/>
    <w:uiPriority w:val="39"/>
    <w:unhideWhenUsed/>
    <w:rsid w:val="001B26A1"/>
    <w:pPr>
      <w:spacing w:after="100"/>
      <w:ind w:left="220"/>
    </w:pPr>
  </w:style>
  <w:style w:type="paragraph" w:styleId="TOC3">
    <w:name w:val="toc 3"/>
    <w:basedOn w:val="Normal"/>
    <w:next w:val="Normal"/>
    <w:autoRedefine/>
    <w:uiPriority w:val="39"/>
    <w:unhideWhenUsed/>
    <w:rsid w:val="001B26A1"/>
    <w:pPr>
      <w:spacing w:after="100"/>
      <w:ind w:left="440"/>
    </w:pPr>
  </w:style>
  <w:style w:type="character" w:styleId="Hyperlink">
    <w:name w:val="Hyperlink"/>
    <w:basedOn w:val="DefaultParagraphFont"/>
    <w:uiPriority w:val="99"/>
    <w:unhideWhenUsed/>
    <w:rsid w:val="001B26A1"/>
    <w:rPr>
      <w:color w:val="467886" w:themeColor="hyperlink"/>
      <w:u w:val="single"/>
    </w:rPr>
  </w:style>
  <w:style w:type="paragraph" w:styleId="Header">
    <w:name w:val="header"/>
    <w:basedOn w:val="Normal"/>
    <w:link w:val="HeaderChar"/>
    <w:uiPriority w:val="99"/>
    <w:unhideWhenUsed/>
    <w:rsid w:val="005405F2"/>
    <w:pPr>
      <w:tabs>
        <w:tab w:val="center" w:pos="4513"/>
        <w:tab w:val="right" w:pos="9026"/>
      </w:tabs>
      <w:spacing w:after="0" w:line="240" w:lineRule="auto"/>
    </w:pPr>
  </w:style>
  <w:style w:type="character" w:customStyle="1" w:styleId="HeaderChar">
    <w:name w:val="Header Char"/>
    <w:basedOn w:val="DefaultParagraphFont"/>
    <w:link w:val="Header"/>
    <w:uiPriority w:val="99"/>
    <w:rsid w:val="005405F2"/>
  </w:style>
  <w:style w:type="paragraph" w:styleId="Footer">
    <w:name w:val="footer"/>
    <w:basedOn w:val="Normal"/>
    <w:link w:val="FooterChar"/>
    <w:uiPriority w:val="99"/>
    <w:unhideWhenUsed/>
    <w:rsid w:val="005405F2"/>
    <w:pPr>
      <w:tabs>
        <w:tab w:val="center" w:pos="4513"/>
        <w:tab w:val="right" w:pos="9026"/>
      </w:tabs>
      <w:spacing w:after="0" w:line="240" w:lineRule="auto"/>
    </w:pPr>
  </w:style>
  <w:style w:type="character" w:customStyle="1" w:styleId="FooterChar">
    <w:name w:val="Footer Char"/>
    <w:basedOn w:val="DefaultParagraphFont"/>
    <w:link w:val="Footer"/>
    <w:uiPriority w:val="99"/>
    <w:rsid w:val="005405F2"/>
  </w:style>
  <w:style w:type="paragraph" w:styleId="TOC1">
    <w:name w:val="toc 1"/>
    <w:basedOn w:val="Normal"/>
    <w:next w:val="Normal"/>
    <w:autoRedefine/>
    <w:uiPriority w:val="39"/>
    <w:unhideWhenUsed/>
    <w:rsid w:val="006B575C"/>
    <w:pPr>
      <w:spacing w:after="10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3" Type="http://schemas.openxmlformats.org/officeDocument/2006/relationships/settings" Target="settings.xml"/><Relationship Id="rId7" Type="http://schemas.openxmlformats.org/officeDocument/2006/relationships/image" Target="media/image1.png"/><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theme" Target="theme/theme1.xml"/><Relationship Id="rId5" Type="http://schemas.openxmlformats.org/officeDocument/2006/relationships/footnotes" Target="footnotes.xm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word/webextensions/_rels/taskpanes.xml.rels><?xml version="1.0" encoding="UTF-8" standalone="yes"?>
<Relationships xmlns="http://schemas.openxmlformats.org/package/2006/relationships"><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0" width="438" row="0">
    <wetp:webextensionref xmlns:r="http://schemas.openxmlformats.org/officeDocument/2006/relationships" r:id="rId1"/>
  </wetp:taskpane>
</wetp:taskpanes>
</file>

<file path=word/webextensions/webextension1.xml><?xml version="1.0" encoding="utf-8"?>
<we:webextension xmlns:we="http://schemas.microsoft.com/office/webextensions/webextension/2010/11" id="{106D22D0-A8AB-4DB5-8D61-2C7D6215DBAD}">
  <we:reference id="8c1c3d44-57e9-40d7-86e4-4adf88fea1dd" version="3.0.0.0" store="EXCatalog" storeType="EXCatalog"/>
  <we:alternateReferences>
    <we:reference id="WA200007520" version="3.0.0.0" store="en-GB" storeType="OMEX"/>
  </we:alternateReferences>
  <we:properties>
    <we:property name="currentFolder" value="{&quot;id&quot;:&quot;project:6963edce2c42c82fcec9d38f&quot;,&quot;userId&quot;:&quot;user:671a61167801a03842714be0&quot;,&quot;projectId&quot;:&quot;ap:671a61167801a03842714be1&quot;,&quot;name&quot;:&quot;Mechanisms of Material Failure&quot;,&quot;created&quot;:1768156622548,&quot;lastModified&quot;:1768156622548,&quot;position&quot;:5,&quot;isShared&quot;:false,&quot;isExampleCollection&quot;:false,&quot;isMyPublicationsCollection&quot;:false,&quot;notInFolder&quot;:false,&quot;totalReferences&quot;:11,&quot;depth&quot;:0}"/>
    <we:property name="currentStyle" value="{&quot;id&quot;:&quot;166&quot;,&quot;styleType&quot;:&quot;refworks&quot;,&quot;name&quot;:&quot;Harvard - British Standard&quot;,&quot;isInstitutional&quot;:false,&quot;citeStyle&quot;:&quot;INTEXT_ONLY&quot;,&quot;isSorted&quot;:false,&quot;usesNumbers&quot;:false,&quot;authorDisambiguation&quot;:&quot;surname_firstname&quot;}"/>
    <we:property name="rcm.version" value="2"/>
  </we:properties>
  <we:bindings/>
  <we:snapshot xmlns:r="http://schemas.openxmlformats.org/officeDocument/2006/relationships"/>
</we:webextension>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F99D869D-8802-479F-84D2-01BD23D8DA6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272</TotalTime>
  <Pages>12</Pages>
  <Words>3501</Words>
  <Characters>23216</Characters>
  <Application>Microsoft Office Word</Application>
  <DocSecurity>0</DocSecurity>
  <Lines>422</Lines>
  <Paragraphs>111</Paragraphs>
  <ScaleCrop>false</ScaleCrop>
  <Company/>
  <LinksUpToDate>false</LinksUpToDate>
  <CharactersWithSpaces>26606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Damon Owen (2420478)</dc:creator>
  <cp:keywords/>
  <dc:description/>
  <cp:lastModifiedBy>Damon Owen (2420478)</cp:lastModifiedBy>
  <cp:revision>3</cp:revision>
  <dcterms:created xsi:type="dcterms:W3CDTF">2026-01-11T20:49:00Z</dcterms:created>
  <dcterms:modified xsi:type="dcterms:W3CDTF">2026-01-12T01:22:00Z</dcterms:modified>
</cp:coreProperties>
</file>