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20241710"/>
        <w:docPartObj>
          <w:docPartGallery w:val="Cover Pages"/>
          <w:docPartUnique/>
        </w:docPartObj>
      </w:sdtPr>
      <w:sdtEndPr>
        <w:rPr>
          <w:rFonts w:eastAsia="Times New Roman"/>
          <w:sz w:val="40"/>
          <w:szCs w:val="40"/>
          <w:lang w:val="en-GB"/>
        </w:rPr>
      </w:sdtEndPr>
      <w:sdtContent>
        <w:p w14:paraId="6173AD10" w14:textId="3FD2C7C7" w:rsidR="000D1078" w:rsidRPr="000D1078" w:rsidRDefault="00954348" w:rsidP="000D1078">
          <w:pPr>
            <w:rPr>
              <w:sz w:val="40"/>
              <w:szCs w:val="40"/>
            </w:rPr>
          </w:pPr>
          <w:r w:rsidRPr="000D1078">
            <w:rPr>
              <w:noProof/>
              <w:sz w:val="40"/>
              <w:szCs w:val="40"/>
            </w:rPr>
            <mc:AlternateContent>
              <mc:Choice Requires="wpg">
                <w:drawing>
                  <wp:anchor distT="0" distB="0" distL="114300" distR="114300" simplePos="0" relativeHeight="251661312" behindDoc="1" locked="0" layoutInCell="1" allowOverlap="1" wp14:anchorId="6A9558F9" wp14:editId="7E832E35">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791A74FE" w14:textId="77777777" w:rsidR="00954348" w:rsidRDefault="00954348">
                                      <w:pPr>
                                        <w:pStyle w:val="NoSpacing"/>
                                        <w:jc w:val="right"/>
                                        <w:rPr>
                                          <w:color w:val="FFFFFF" w:themeColor="background1"/>
                                          <w:sz w:val="28"/>
                                          <w:szCs w:val="28"/>
                                        </w:rPr>
                                      </w:pPr>
                                      <w:r>
                                        <w:rPr>
                                          <w:color w:val="FFFFFF" w:themeColor="background1"/>
                                          <w:sz w:val="28"/>
                                          <w:szCs w:val="28"/>
                                          <w:lang w:val="en-GB"/>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A9558F9" id="Group 26" o:spid="_x0000_s1026" style="position:absolute;left:0;text-align:left;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791A74FE" w14:textId="77777777" w:rsidR="00954348" w:rsidRDefault="00954348">
                                <w:pPr>
                                  <w:pStyle w:val="NoSpacing"/>
                                  <w:jc w:val="right"/>
                                  <w:rPr>
                                    <w:color w:val="FFFFFF" w:themeColor="background1"/>
                                    <w:sz w:val="28"/>
                                    <w:szCs w:val="28"/>
                                  </w:rPr>
                                </w:pPr>
                                <w:r>
                                  <w:rPr>
                                    <w:color w:val="FFFFFF" w:themeColor="background1"/>
                                    <w:sz w:val="28"/>
                                    <w:szCs w:val="28"/>
                                    <w:lang w:val="en-GB"/>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0D1078">
            <w:rPr>
              <w:noProof/>
              <w:sz w:val="40"/>
              <w:szCs w:val="40"/>
            </w:rPr>
            <mc:AlternateContent>
              <mc:Choice Requires="wps">
                <w:drawing>
                  <wp:anchor distT="0" distB="0" distL="114300" distR="114300" simplePos="0" relativeHeight="251663360" behindDoc="0" locked="0" layoutInCell="1" allowOverlap="1" wp14:anchorId="09909AB9" wp14:editId="0B8C5B3D">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74D27C" w14:textId="77777777" w:rsidR="00954348" w:rsidRDefault="00EF2EAD">
                                <w:pPr>
                                  <w:pStyle w:val="NoSpacing"/>
                                  <w:rPr>
                                    <w:color w:val="4F81BD" w:themeColor="accent1"/>
                                    <w:sz w:val="26"/>
                                    <w:szCs w:val="26"/>
                                  </w:rPr>
                                </w:pPr>
                                <w:sdt>
                                  <w:sdtPr>
                                    <w:rPr>
                                      <w:color w:val="4F81BD"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EndPr/>
                                  <w:sdtContent>
                                    <w:r w:rsidR="00954348">
                                      <w:rPr>
                                        <w:color w:val="4F81BD" w:themeColor="accent1"/>
                                        <w:sz w:val="26"/>
                                        <w:szCs w:val="26"/>
                                        <w:lang w:val="en-GB"/>
                                      </w:rPr>
                                      <w:t>[Author name]</w:t>
                                    </w:r>
                                  </w:sdtContent>
                                </w:sdt>
                              </w:p>
                              <w:p w14:paraId="0BBBA2EF" w14:textId="77777777" w:rsidR="00954348" w:rsidRDefault="00EF2EA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54348">
                                      <w:rPr>
                                        <w:caps/>
                                        <w:color w:val="595959" w:themeColor="text1" w:themeTint="A6"/>
                                        <w:sz w:val="20"/>
                                        <w:szCs w:val="20"/>
                                        <w:lang w:val="en-GB"/>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9909AB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336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74D27C" w14:textId="77777777" w:rsidR="00954348" w:rsidRDefault="00EF2EAD">
                          <w:pPr>
                            <w:pStyle w:val="NoSpacing"/>
                            <w:rPr>
                              <w:color w:val="4F81BD" w:themeColor="accent1"/>
                              <w:sz w:val="26"/>
                              <w:szCs w:val="26"/>
                            </w:rPr>
                          </w:pPr>
                          <w:sdt>
                            <w:sdtPr>
                              <w:rPr>
                                <w:color w:val="4F81BD"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EndPr/>
                            <w:sdtContent>
                              <w:r w:rsidR="00954348">
                                <w:rPr>
                                  <w:color w:val="4F81BD" w:themeColor="accent1"/>
                                  <w:sz w:val="26"/>
                                  <w:szCs w:val="26"/>
                                  <w:lang w:val="en-GB"/>
                                </w:rPr>
                                <w:t>[Author name]</w:t>
                              </w:r>
                            </w:sdtContent>
                          </w:sdt>
                        </w:p>
                        <w:p w14:paraId="0BBBA2EF" w14:textId="77777777" w:rsidR="00954348" w:rsidRDefault="00EF2EA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54348">
                                <w:rPr>
                                  <w:caps/>
                                  <w:color w:val="595959" w:themeColor="text1" w:themeTint="A6"/>
                                  <w:sz w:val="20"/>
                                  <w:szCs w:val="20"/>
                                  <w:lang w:val="en-GB"/>
                                </w:rPr>
                                <w:t>[company name]</w:t>
                              </w:r>
                            </w:sdtContent>
                          </w:sdt>
                        </w:p>
                      </w:txbxContent>
                    </v:textbox>
                    <w10:wrap anchorx="page" anchory="page"/>
                  </v:shape>
                </w:pict>
              </mc:Fallback>
            </mc:AlternateContent>
          </w:r>
          <w:r w:rsidR="000D1078" w:rsidRPr="000D1078">
            <w:rPr>
              <w:sz w:val="40"/>
              <w:szCs w:val="40"/>
            </w:rPr>
            <w:t xml:space="preserve">Module: LCHS4008- </w:t>
          </w:r>
          <w:r w:rsidR="009364AA" w:rsidRPr="000D1078">
            <w:rPr>
              <w:sz w:val="40"/>
              <w:szCs w:val="40"/>
            </w:rPr>
            <w:t xml:space="preserve">Introduction </w:t>
          </w:r>
          <w:r w:rsidR="009364AA">
            <w:rPr>
              <w:sz w:val="40"/>
              <w:szCs w:val="40"/>
            </w:rPr>
            <w:t xml:space="preserve">to </w:t>
          </w:r>
          <w:r w:rsidR="000D1078" w:rsidRPr="000D1078">
            <w:rPr>
              <w:sz w:val="40"/>
              <w:szCs w:val="40"/>
            </w:rPr>
            <w:t>Public H</w:t>
          </w:r>
          <w:r w:rsidR="000D1078">
            <w:rPr>
              <w:sz w:val="40"/>
              <w:szCs w:val="40"/>
            </w:rPr>
            <w:t xml:space="preserve">ealth </w:t>
          </w:r>
        </w:p>
      </w:sdtContent>
    </w:sdt>
    <w:p w14:paraId="659091BB" w14:textId="53332314" w:rsidR="000D1078" w:rsidRPr="000D1078" w:rsidRDefault="000D1078" w:rsidP="000D1078">
      <w:pPr>
        <w:spacing w:line="276" w:lineRule="auto"/>
        <w:jc w:val="left"/>
        <w:rPr>
          <w:rFonts w:eastAsia="Times New Roman"/>
          <w:b/>
          <w:bCs/>
          <w:sz w:val="32"/>
          <w:szCs w:val="32"/>
          <w:lang w:val="en-GB"/>
        </w:rPr>
      </w:pPr>
      <w:r w:rsidRPr="000D1078">
        <w:rPr>
          <w:noProof/>
          <w:sz w:val="40"/>
          <w:szCs w:val="40"/>
        </w:rPr>
        <mc:AlternateContent>
          <mc:Choice Requires="wps">
            <w:drawing>
              <wp:anchor distT="0" distB="0" distL="114300" distR="114300" simplePos="0" relativeHeight="251662336" behindDoc="0" locked="0" layoutInCell="1" allowOverlap="1" wp14:anchorId="2294F732" wp14:editId="08202104">
                <wp:simplePos x="0" y="0"/>
                <wp:positionH relativeFrom="margin">
                  <wp:posOffset>800100</wp:posOffset>
                </wp:positionH>
                <wp:positionV relativeFrom="margin">
                  <wp:posOffset>2628900</wp:posOffset>
                </wp:positionV>
                <wp:extent cx="5768340" cy="2971800"/>
                <wp:effectExtent l="0" t="0" r="3810" b="0"/>
                <wp:wrapNone/>
                <wp:docPr id="1046711785" name="Text Box 30"/>
                <wp:cNvGraphicFramePr/>
                <a:graphic xmlns:a="http://schemas.openxmlformats.org/drawingml/2006/main">
                  <a:graphicData uri="http://schemas.microsoft.com/office/word/2010/wordprocessingShape">
                    <wps:wsp>
                      <wps:cNvSpPr txBox="1"/>
                      <wps:spPr>
                        <a:xfrm>
                          <a:off x="0" y="0"/>
                          <a:ext cx="5768340" cy="2971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7E1C24" w14:textId="68AA6B15" w:rsidR="00954348" w:rsidRDefault="00EF2EA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954348">
                                  <w:rPr>
                                    <w:rFonts w:asciiTheme="majorHAnsi" w:eastAsiaTheme="majorEastAsia" w:hAnsiTheme="majorHAnsi" w:cstheme="majorBidi"/>
                                    <w:color w:val="262626" w:themeColor="text1" w:themeTint="D9"/>
                                    <w:sz w:val="72"/>
                                    <w:szCs w:val="72"/>
                                  </w:rPr>
                                  <w:t xml:space="preserve">     </w:t>
                                </w:r>
                              </w:sdtContent>
                            </w:sdt>
                          </w:p>
                          <w:p w14:paraId="7A0A649F" w14:textId="1C0C4ABC" w:rsidR="00954348" w:rsidRPr="009364AA" w:rsidRDefault="00EF2EAD">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364AA" w:rsidRPr="009364AA">
                                  <w:rPr>
                                    <w:color w:val="404040" w:themeColor="text1" w:themeTint="BF"/>
                                    <w:sz w:val="40"/>
                                    <w:szCs w:val="40"/>
                                  </w:rPr>
                                  <w:t xml:space="preserve">     </w:t>
                                </w:r>
                              </w:sdtContent>
                            </w:sdt>
                            <w:r w:rsidR="000D1078" w:rsidRPr="009364AA">
                              <w:rPr>
                                <w:color w:val="404040" w:themeColor="text1" w:themeTint="BF"/>
                                <w:sz w:val="40"/>
                                <w:szCs w:val="40"/>
                              </w:rPr>
                              <w:t xml:space="preserve">Title: </w:t>
                            </w:r>
                            <w:r w:rsidR="00231B36">
                              <w:rPr>
                                <w:color w:val="404040" w:themeColor="text1" w:themeTint="BF"/>
                                <w:sz w:val="40"/>
                                <w:szCs w:val="40"/>
                              </w:rPr>
                              <w:t xml:space="preserve">Component </w:t>
                            </w:r>
                            <w:r w:rsidR="000D1078" w:rsidRPr="009364AA">
                              <w:rPr>
                                <w:color w:val="404040" w:themeColor="text1" w:themeTint="BF"/>
                                <w:sz w:val="40"/>
                                <w:szCs w:val="40"/>
                              </w:rPr>
                              <w:t xml:space="preserve">2- Report on a Health </w:t>
                            </w:r>
                          </w:p>
                          <w:p w14:paraId="2488B1C0" w14:textId="14D598E4" w:rsidR="000D1078" w:rsidRPr="009364AA" w:rsidRDefault="009364AA">
                            <w:pPr>
                              <w:spacing w:before="120"/>
                              <w:rPr>
                                <w:color w:val="404040" w:themeColor="text1" w:themeTint="BF"/>
                                <w:sz w:val="40"/>
                                <w:szCs w:val="40"/>
                              </w:rPr>
                            </w:pPr>
                            <w:r>
                              <w:rPr>
                                <w:color w:val="404040" w:themeColor="text1" w:themeTint="BF"/>
                                <w:sz w:val="40"/>
                                <w:szCs w:val="40"/>
                              </w:rPr>
                              <w:t xml:space="preserve">      Ca</w:t>
                            </w:r>
                            <w:r w:rsidR="00231B36">
                              <w:rPr>
                                <w:color w:val="404040" w:themeColor="text1" w:themeTint="BF"/>
                                <w:sz w:val="40"/>
                                <w:szCs w:val="40"/>
                              </w:rPr>
                              <w:t xml:space="preserve">st Study: </w:t>
                            </w:r>
                            <w:r w:rsidR="000D1078" w:rsidRPr="009364AA">
                              <w:rPr>
                                <w:color w:val="404040" w:themeColor="text1" w:themeTint="BF"/>
                                <w:sz w:val="40"/>
                                <w:szCs w:val="40"/>
                              </w:rPr>
                              <w:t xml:space="preserve">Tuberculosis </w:t>
                            </w:r>
                          </w:p>
                          <w:p w14:paraId="63C36B65" w14:textId="5272E1AC" w:rsidR="000D1078" w:rsidRPr="009364AA" w:rsidRDefault="009364AA">
                            <w:pPr>
                              <w:spacing w:before="120"/>
                              <w:rPr>
                                <w:color w:val="404040" w:themeColor="text1" w:themeTint="BF"/>
                                <w:sz w:val="40"/>
                                <w:szCs w:val="40"/>
                              </w:rPr>
                            </w:pPr>
                            <w:r>
                              <w:rPr>
                                <w:color w:val="404040" w:themeColor="text1" w:themeTint="BF"/>
                                <w:sz w:val="40"/>
                                <w:szCs w:val="40"/>
                              </w:rPr>
                              <w:t xml:space="preserve">      </w:t>
                            </w:r>
                            <w:r w:rsidR="000D1078" w:rsidRPr="009364AA">
                              <w:rPr>
                                <w:color w:val="404040" w:themeColor="text1" w:themeTint="BF"/>
                                <w:sz w:val="40"/>
                                <w:szCs w:val="40"/>
                              </w:rPr>
                              <w:t>Student name: Nikitia Nana Agelina Wilson</w:t>
                            </w:r>
                          </w:p>
                          <w:p w14:paraId="2AAA60CD" w14:textId="6C7EB002" w:rsidR="000D1078" w:rsidRPr="009364AA" w:rsidRDefault="009364AA">
                            <w:pPr>
                              <w:spacing w:before="120"/>
                              <w:rPr>
                                <w:color w:val="404040" w:themeColor="text1" w:themeTint="BF"/>
                                <w:sz w:val="40"/>
                                <w:szCs w:val="40"/>
                              </w:rPr>
                            </w:pPr>
                            <w:r>
                              <w:rPr>
                                <w:color w:val="404040" w:themeColor="text1" w:themeTint="BF"/>
                                <w:sz w:val="40"/>
                                <w:szCs w:val="40"/>
                              </w:rPr>
                              <w:t xml:space="preserve">      </w:t>
                            </w:r>
                            <w:r w:rsidR="000D1078" w:rsidRPr="009364AA">
                              <w:rPr>
                                <w:color w:val="404040" w:themeColor="text1" w:themeTint="BF"/>
                                <w:sz w:val="40"/>
                                <w:szCs w:val="40"/>
                              </w:rPr>
                              <w:t>Student ID: 2506894</w:t>
                            </w:r>
                          </w:p>
                          <w:p w14:paraId="4661ECA2" w14:textId="1179E84A" w:rsidR="000D1078" w:rsidRPr="009364AA" w:rsidRDefault="009364AA">
                            <w:pPr>
                              <w:spacing w:before="120"/>
                              <w:rPr>
                                <w:color w:val="404040" w:themeColor="text1" w:themeTint="BF"/>
                                <w:sz w:val="40"/>
                                <w:szCs w:val="40"/>
                              </w:rPr>
                            </w:pPr>
                            <w:r>
                              <w:rPr>
                                <w:color w:val="404040" w:themeColor="text1" w:themeTint="BF"/>
                                <w:sz w:val="40"/>
                                <w:szCs w:val="40"/>
                              </w:rPr>
                              <w:t xml:space="preserve">       </w:t>
                            </w:r>
                            <w:r w:rsidR="000D1078" w:rsidRPr="009364AA">
                              <w:rPr>
                                <w:color w:val="404040" w:themeColor="text1" w:themeTint="BF"/>
                                <w:sz w:val="40"/>
                                <w:szCs w:val="40"/>
                              </w:rPr>
                              <w:t>Lecturer</w:t>
                            </w:r>
                            <w:r w:rsidRPr="009364AA">
                              <w:rPr>
                                <w:color w:val="404040" w:themeColor="text1" w:themeTint="BF"/>
                                <w:sz w:val="40"/>
                                <w:szCs w:val="40"/>
                              </w:rPr>
                              <w:t xml:space="preserve"> Name: Debra Odeh </w:t>
                            </w:r>
                            <w:r>
                              <w:rPr>
                                <w:color w:val="404040" w:themeColor="text1" w:themeTint="BF"/>
                                <w:sz w:val="40"/>
                                <w:szCs w:val="4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294F732" id="Text Box 30" o:spid="_x0000_s1056" type="#_x0000_t202" style="position:absolute;margin-left:63pt;margin-top:207pt;width:454.2pt;height:23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" filled="f" stroked="f" strokeweight=".5pt">
                <v:textbox inset="0,0,0,0">
                  <w:txbxContent>
                    <w:p w14:paraId="4D7E1C24" w14:textId="68AA6B15" w:rsidR="00954348" w:rsidRDefault="00EF2EA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954348">
                            <w:rPr>
                              <w:rFonts w:asciiTheme="majorHAnsi" w:eastAsiaTheme="majorEastAsia" w:hAnsiTheme="majorHAnsi" w:cstheme="majorBidi"/>
                              <w:color w:val="262626" w:themeColor="text1" w:themeTint="D9"/>
                              <w:sz w:val="72"/>
                              <w:szCs w:val="72"/>
                            </w:rPr>
                            <w:t xml:space="preserve">     </w:t>
                          </w:r>
                        </w:sdtContent>
                      </w:sdt>
                    </w:p>
                    <w:p w14:paraId="7A0A649F" w14:textId="1C0C4ABC" w:rsidR="00954348" w:rsidRPr="009364AA" w:rsidRDefault="00EF2EAD">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364AA" w:rsidRPr="009364AA">
                            <w:rPr>
                              <w:color w:val="404040" w:themeColor="text1" w:themeTint="BF"/>
                              <w:sz w:val="40"/>
                              <w:szCs w:val="40"/>
                            </w:rPr>
                            <w:t xml:space="preserve">     </w:t>
                          </w:r>
                        </w:sdtContent>
                      </w:sdt>
                      <w:r w:rsidR="000D1078" w:rsidRPr="009364AA">
                        <w:rPr>
                          <w:color w:val="404040" w:themeColor="text1" w:themeTint="BF"/>
                          <w:sz w:val="40"/>
                          <w:szCs w:val="40"/>
                        </w:rPr>
                        <w:t xml:space="preserve">Title: </w:t>
                      </w:r>
                      <w:r w:rsidR="00231B36">
                        <w:rPr>
                          <w:color w:val="404040" w:themeColor="text1" w:themeTint="BF"/>
                          <w:sz w:val="40"/>
                          <w:szCs w:val="40"/>
                        </w:rPr>
                        <w:t xml:space="preserve">Component </w:t>
                      </w:r>
                      <w:r w:rsidR="000D1078" w:rsidRPr="009364AA">
                        <w:rPr>
                          <w:color w:val="404040" w:themeColor="text1" w:themeTint="BF"/>
                          <w:sz w:val="40"/>
                          <w:szCs w:val="40"/>
                        </w:rPr>
                        <w:t xml:space="preserve">2- Report on a Health </w:t>
                      </w:r>
                    </w:p>
                    <w:p w14:paraId="2488B1C0" w14:textId="14D598E4" w:rsidR="000D1078" w:rsidRPr="009364AA" w:rsidRDefault="009364AA">
                      <w:pPr>
                        <w:spacing w:before="120"/>
                        <w:rPr>
                          <w:color w:val="404040" w:themeColor="text1" w:themeTint="BF"/>
                          <w:sz w:val="40"/>
                          <w:szCs w:val="40"/>
                        </w:rPr>
                      </w:pPr>
                      <w:r>
                        <w:rPr>
                          <w:color w:val="404040" w:themeColor="text1" w:themeTint="BF"/>
                          <w:sz w:val="40"/>
                          <w:szCs w:val="40"/>
                        </w:rPr>
                        <w:t xml:space="preserve">      Ca</w:t>
                      </w:r>
                      <w:r w:rsidR="00231B36">
                        <w:rPr>
                          <w:color w:val="404040" w:themeColor="text1" w:themeTint="BF"/>
                          <w:sz w:val="40"/>
                          <w:szCs w:val="40"/>
                        </w:rPr>
                        <w:t xml:space="preserve">st Study: </w:t>
                      </w:r>
                      <w:r w:rsidR="000D1078" w:rsidRPr="009364AA">
                        <w:rPr>
                          <w:color w:val="404040" w:themeColor="text1" w:themeTint="BF"/>
                          <w:sz w:val="40"/>
                          <w:szCs w:val="40"/>
                        </w:rPr>
                        <w:t xml:space="preserve">Tuberculosis </w:t>
                      </w:r>
                    </w:p>
                    <w:p w14:paraId="63C36B65" w14:textId="5272E1AC" w:rsidR="000D1078" w:rsidRPr="009364AA" w:rsidRDefault="009364AA">
                      <w:pPr>
                        <w:spacing w:before="120"/>
                        <w:rPr>
                          <w:color w:val="404040" w:themeColor="text1" w:themeTint="BF"/>
                          <w:sz w:val="40"/>
                          <w:szCs w:val="40"/>
                        </w:rPr>
                      </w:pPr>
                      <w:r>
                        <w:rPr>
                          <w:color w:val="404040" w:themeColor="text1" w:themeTint="BF"/>
                          <w:sz w:val="40"/>
                          <w:szCs w:val="40"/>
                        </w:rPr>
                        <w:t xml:space="preserve">      </w:t>
                      </w:r>
                      <w:r w:rsidR="000D1078" w:rsidRPr="009364AA">
                        <w:rPr>
                          <w:color w:val="404040" w:themeColor="text1" w:themeTint="BF"/>
                          <w:sz w:val="40"/>
                          <w:szCs w:val="40"/>
                        </w:rPr>
                        <w:t>Student name: Nikitia Nana Agelina Wilson</w:t>
                      </w:r>
                    </w:p>
                    <w:p w14:paraId="2AAA60CD" w14:textId="6C7EB002" w:rsidR="000D1078" w:rsidRPr="009364AA" w:rsidRDefault="009364AA">
                      <w:pPr>
                        <w:spacing w:before="120"/>
                        <w:rPr>
                          <w:color w:val="404040" w:themeColor="text1" w:themeTint="BF"/>
                          <w:sz w:val="40"/>
                          <w:szCs w:val="40"/>
                        </w:rPr>
                      </w:pPr>
                      <w:r>
                        <w:rPr>
                          <w:color w:val="404040" w:themeColor="text1" w:themeTint="BF"/>
                          <w:sz w:val="40"/>
                          <w:szCs w:val="40"/>
                        </w:rPr>
                        <w:t xml:space="preserve">      </w:t>
                      </w:r>
                      <w:r w:rsidR="000D1078" w:rsidRPr="009364AA">
                        <w:rPr>
                          <w:color w:val="404040" w:themeColor="text1" w:themeTint="BF"/>
                          <w:sz w:val="40"/>
                          <w:szCs w:val="40"/>
                        </w:rPr>
                        <w:t>Student ID: 2506894</w:t>
                      </w:r>
                    </w:p>
                    <w:p w14:paraId="4661ECA2" w14:textId="1179E84A" w:rsidR="000D1078" w:rsidRPr="009364AA" w:rsidRDefault="009364AA">
                      <w:pPr>
                        <w:spacing w:before="120"/>
                        <w:rPr>
                          <w:color w:val="404040" w:themeColor="text1" w:themeTint="BF"/>
                          <w:sz w:val="40"/>
                          <w:szCs w:val="40"/>
                        </w:rPr>
                      </w:pPr>
                      <w:r>
                        <w:rPr>
                          <w:color w:val="404040" w:themeColor="text1" w:themeTint="BF"/>
                          <w:sz w:val="40"/>
                          <w:szCs w:val="40"/>
                        </w:rPr>
                        <w:t xml:space="preserve">       </w:t>
                      </w:r>
                      <w:r w:rsidR="000D1078" w:rsidRPr="009364AA">
                        <w:rPr>
                          <w:color w:val="404040" w:themeColor="text1" w:themeTint="BF"/>
                          <w:sz w:val="40"/>
                          <w:szCs w:val="40"/>
                        </w:rPr>
                        <w:t>Lecturer</w:t>
                      </w:r>
                      <w:r w:rsidRPr="009364AA">
                        <w:rPr>
                          <w:color w:val="404040" w:themeColor="text1" w:themeTint="BF"/>
                          <w:sz w:val="40"/>
                          <w:szCs w:val="40"/>
                        </w:rPr>
                        <w:t xml:space="preserve"> Name: Debra Odeh </w:t>
                      </w:r>
                      <w:r>
                        <w:rPr>
                          <w:color w:val="404040" w:themeColor="text1" w:themeTint="BF"/>
                          <w:sz w:val="40"/>
                          <w:szCs w:val="40"/>
                        </w:rPr>
                        <w:t xml:space="preserve">  </w:t>
                      </w:r>
                    </w:p>
                  </w:txbxContent>
                </v:textbox>
                <w10:wrap anchorx="margin" anchory="margin"/>
              </v:shape>
            </w:pict>
          </mc:Fallback>
        </mc:AlternateContent>
      </w:r>
      <w:r w:rsidR="009364AA">
        <w:rPr>
          <w:rFonts w:eastAsia="Times New Roman"/>
          <w:b/>
          <w:bCs/>
          <w:sz w:val="32"/>
          <w:szCs w:val="32"/>
          <w:lang w:val="en-GB"/>
        </w:rPr>
        <w:t xml:space="preserve">  </w:t>
      </w:r>
      <w:r w:rsidRPr="000D1078">
        <w:rPr>
          <w:rFonts w:eastAsia="Times New Roman"/>
          <w:b/>
          <w:bCs/>
          <w:sz w:val="32"/>
          <w:szCs w:val="32"/>
          <w:lang w:val="en-GB"/>
        </w:rPr>
        <w:br w:type="page"/>
      </w:r>
    </w:p>
    <w:p w14:paraId="722B8B74" w14:textId="304AD3B4" w:rsidR="00C156AE" w:rsidRPr="00AB2F72" w:rsidRDefault="00C156AE">
      <w:pPr>
        <w:spacing w:line="276" w:lineRule="auto"/>
        <w:jc w:val="left"/>
        <w:rPr>
          <w:rFonts w:eastAsia="Times New Roman"/>
          <w:b/>
          <w:bCs/>
          <w:sz w:val="32"/>
          <w:szCs w:val="32"/>
          <w:lang w:val="en-GB"/>
        </w:rPr>
      </w:pPr>
    </w:p>
    <w:p w14:paraId="0170B928" w14:textId="77777777" w:rsidR="00954348" w:rsidRDefault="00954348" w:rsidP="00C156AE">
      <w:pPr>
        <w:pStyle w:val="TOCHeading"/>
        <w:spacing w:before="0" w:line="360" w:lineRule="auto"/>
        <w:jc w:val="center"/>
        <w:rPr>
          <w:rFonts w:ascii="Arial" w:eastAsia="Arial" w:hAnsi="Arial" w:cs="Arial"/>
          <w:color w:val="auto"/>
          <w:sz w:val="22"/>
          <w:szCs w:val="22"/>
          <w:lang w:val="en-GB" w:eastAsia="en-IN"/>
        </w:rPr>
      </w:pPr>
    </w:p>
    <w:sdt>
      <w:sdtPr>
        <w:rPr>
          <w:rFonts w:ascii="Arial" w:eastAsia="Arial" w:hAnsi="Arial" w:cs="Arial"/>
          <w:color w:val="auto"/>
          <w:sz w:val="22"/>
          <w:szCs w:val="22"/>
          <w:lang w:val="en-GB" w:eastAsia="en-IN"/>
        </w:rPr>
        <w:id w:val="252554922"/>
        <w:docPartObj>
          <w:docPartGallery w:val="Table of Contents"/>
          <w:docPartUnique/>
        </w:docPartObj>
      </w:sdtPr>
      <w:sdtEndPr>
        <w:rPr>
          <w:b/>
          <w:bCs/>
          <w:noProof/>
        </w:rPr>
      </w:sdtEndPr>
      <w:sdtContent>
        <w:p w14:paraId="33686432" w14:textId="0F31B81C" w:rsidR="00C156AE" w:rsidRPr="00AB2F72" w:rsidRDefault="00C156AE" w:rsidP="00C156AE">
          <w:pPr>
            <w:pStyle w:val="TOCHeading"/>
            <w:spacing w:before="0" w:line="360" w:lineRule="auto"/>
            <w:jc w:val="center"/>
            <w:rPr>
              <w:rFonts w:ascii="Arial" w:hAnsi="Arial" w:cs="Arial"/>
              <w:b/>
              <w:bCs/>
              <w:color w:val="auto"/>
              <w:sz w:val="28"/>
              <w:szCs w:val="28"/>
              <w:lang w:val="en-GB"/>
            </w:rPr>
          </w:pPr>
          <w:r w:rsidRPr="00AB2F72">
            <w:rPr>
              <w:rFonts w:ascii="Arial" w:hAnsi="Arial" w:cs="Arial"/>
              <w:b/>
              <w:bCs/>
              <w:color w:val="auto"/>
              <w:sz w:val="28"/>
              <w:szCs w:val="28"/>
              <w:lang w:val="en-GB"/>
            </w:rPr>
            <w:t>Table of Contents</w:t>
          </w:r>
        </w:p>
        <w:p w14:paraId="1C703219" w14:textId="77777777" w:rsidR="00095C12" w:rsidRDefault="00C156AE">
          <w:pPr>
            <w:pStyle w:val="TOC1"/>
            <w:tabs>
              <w:tab w:val="right" w:leader="dot" w:pos="9350"/>
            </w:tabs>
            <w:rPr>
              <w:rFonts w:asciiTheme="minorHAnsi" w:eastAsiaTheme="minorEastAsia" w:hAnsiTheme="minorHAnsi" w:cstheme="minorBidi"/>
              <w:noProof/>
              <w:lang w:val="en-GB" w:eastAsia="en-GB"/>
            </w:rPr>
          </w:pPr>
          <w:r w:rsidRPr="00AB2F72">
            <w:rPr>
              <w:sz w:val="24"/>
              <w:szCs w:val="24"/>
              <w:lang w:val="en-GB"/>
            </w:rPr>
            <w:fldChar w:fldCharType="begin"/>
          </w:r>
          <w:r w:rsidRPr="00AB2F72">
            <w:rPr>
              <w:sz w:val="24"/>
              <w:szCs w:val="24"/>
              <w:lang w:val="en-GB"/>
            </w:rPr>
            <w:instrText xml:space="preserve"> TOC \o "1-3" \h \z \u </w:instrText>
          </w:r>
          <w:r w:rsidRPr="00AB2F72">
            <w:rPr>
              <w:sz w:val="24"/>
              <w:szCs w:val="24"/>
              <w:lang w:val="en-GB"/>
            </w:rPr>
            <w:fldChar w:fldCharType="separate"/>
          </w:r>
          <w:hyperlink w:anchor="_Toc225156680" w:history="1">
            <w:r w:rsidR="00095C12" w:rsidRPr="00095C12">
              <w:rPr>
                <w:rStyle w:val="Hyperlink"/>
                <w:noProof/>
                <w:lang w:val="en-GB"/>
              </w:rPr>
              <w:t>1. Introduction</w:t>
            </w:r>
            <w:r w:rsidR="00095C12">
              <w:rPr>
                <w:noProof/>
                <w:webHidden/>
              </w:rPr>
              <w:tab/>
            </w:r>
            <w:r w:rsidR="00095C12">
              <w:rPr>
                <w:noProof/>
                <w:webHidden/>
              </w:rPr>
              <w:fldChar w:fldCharType="begin"/>
            </w:r>
            <w:r w:rsidR="00095C12">
              <w:rPr>
                <w:noProof/>
                <w:webHidden/>
              </w:rPr>
              <w:instrText xml:space="preserve"> PAGEREF _Toc225156680 \h </w:instrText>
            </w:r>
            <w:r w:rsidR="00095C12">
              <w:rPr>
                <w:noProof/>
                <w:webHidden/>
              </w:rPr>
            </w:r>
            <w:r w:rsidR="00095C12">
              <w:rPr>
                <w:noProof/>
                <w:webHidden/>
              </w:rPr>
              <w:fldChar w:fldCharType="separate"/>
            </w:r>
            <w:r w:rsidR="00095C12">
              <w:rPr>
                <w:noProof/>
                <w:webHidden/>
              </w:rPr>
              <w:t>3</w:t>
            </w:r>
            <w:r w:rsidR="00095C12">
              <w:rPr>
                <w:noProof/>
                <w:webHidden/>
              </w:rPr>
              <w:fldChar w:fldCharType="end"/>
            </w:r>
          </w:hyperlink>
        </w:p>
        <w:p w14:paraId="173EA746" w14:textId="77777777" w:rsidR="00095C12" w:rsidRDefault="00095C12">
          <w:pPr>
            <w:pStyle w:val="TOC1"/>
            <w:tabs>
              <w:tab w:val="right" w:leader="dot" w:pos="9350"/>
            </w:tabs>
            <w:rPr>
              <w:rFonts w:asciiTheme="minorHAnsi" w:eastAsiaTheme="minorEastAsia" w:hAnsiTheme="minorHAnsi" w:cstheme="minorBidi"/>
              <w:noProof/>
              <w:lang w:val="en-GB" w:eastAsia="en-GB"/>
            </w:rPr>
          </w:pPr>
          <w:hyperlink w:anchor="_Toc225156681" w:history="1">
            <w:r w:rsidRPr="004178C7">
              <w:rPr>
                <w:rStyle w:val="Hyperlink"/>
                <w:noProof/>
                <w:lang w:val="en-GB"/>
              </w:rPr>
              <w:t>2. Critical Discussion of the Disease</w:t>
            </w:r>
            <w:r>
              <w:rPr>
                <w:noProof/>
                <w:webHidden/>
              </w:rPr>
              <w:tab/>
            </w:r>
            <w:r>
              <w:rPr>
                <w:noProof/>
                <w:webHidden/>
              </w:rPr>
              <w:fldChar w:fldCharType="begin"/>
            </w:r>
            <w:r>
              <w:rPr>
                <w:noProof/>
                <w:webHidden/>
              </w:rPr>
              <w:instrText xml:space="preserve"> PAGEREF _Toc225156681 \h </w:instrText>
            </w:r>
            <w:r>
              <w:rPr>
                <w:noProof/>
                <w:webHidden/>
              </w:rPr>
            </w:r>
            <w:r>
              <w:rPr>
                <w:noProof/>
                <w:webHidden/>
              </w:rPr>
              <w:fldChar w:fldCharType="separate"/>
            </w:r>
            <w:r>
              <w:rPr>
                <w:noProof/>
                <w:webHidden/>
              </w:rPr>
              <w:t>4</w:t>
            </w:r>
            <w:r>
              <w:rPr>
                <w:noProof/>
                <w:webHidden/>
              </w:rPr>
              <w:fldChar w:fldCharType="end"/>
            </w:r>
          </w:hyperlink>
        </w:p>
        <w:p w14:paraId="59A3F920" w14:textId="77777777" w:rsidR="00095C12" w:rsidRDefault="00095C12">
          <w:pPr>
            <w:pStyle w:val="TOC2"/>
            <w:tabs>
              <w:tab w:val="right" w:leader="dot" w:pos="9350"/>
            </w:tabs>
            <w:rPr>
              <w:rFonts w:asciiTheme="minorHAnsi" w:eastAsiaTheme="minorEastAsia" w:hAnsiTheme="minorHAnsi" w:cstheme="minorBidi"/>
              <w:noProof/>
              <w:lang w:val="en-GB" w:eastAsia="en-GB"/>
            </w:rPr>
          </w:pPr>
          <w:hyperlink w:anchor="_Toc225156682" w:history="1">
            <w:r w:rsidRPr="004178C7">
              <w:rPr>
                <w:rStyle w:val="Hyperlink"/>
                <w:noProof/>
                <w:lang w:val="en-GB"/>
              </w:rPr>
              <w:t>2.1 Different approaches to measure and monitor these diseases</w:t>
            </w:r>
            <w:r>
              <w:rPr>
                <w:noProof/>
                <w:webHidden/>
              </w:rPr>
              <w:tab/>
            </w:r>
            <w:r>
              <w:rPr>
                <w:noProof/>
                <w:webHidden/>
              </w:rPr>
              <w:fldChar w:fldCharType="begin"/>
            </w:r>
            <w:r>
              <w:rPr>
                <w:noProof/>
                <w:webHidden/>
              </w:rPr>
              <w:instrText xml:space="preserve"> PAGEREF _Toc225156682 \h </w:instrText>
            </w:r>
            <w:r>
              <w:rPr>
                <w:noProof/>
                <w:webHidden/>
              </w:rPr>
            </w:r>
            <w:r>
              <w:rPr>
                <w:noProof/>
                <w:webHidden/>
              </w:rPr>
              <w:fldChar w:fldCharType="separate"/>
            </w:r>
            <w:r>
              <w:rPr>
                <w:noProof/>
                <w:webHidden/>
              </w:rPr>
              <w:t>4</w:t>
            </w:r>
            <w:r>
              <w:rPr>
                <w:noProof/>
                <w:webHidden/>
              </w:rPr>
              <w:fldChar w:fldCharType="end"/>
            </w:r>
          </w:hyperlink>
        </w:p>
        <w:p w14:paraId="02993285" w14:textId="77777777" w:rsidR="00095C12" w:rsidRDefault="00095C12">
          <w:pPr>
            <w:pStyle w:val="TOC2"/>
            <w:tabs>
              <w:tab w:val="right" w:leader="dot" w:pos="9350"/>
            </w:tabs>
            <w:rPr>
              <w:rFonts w:asciiTheme="minorHAnsi" w:eastAsiaTheme="minorEastAsia" w:hAnsiTheme="minorHAnsi" w:cstheme="minorBidi"/>
              <w:noProof/>
              <w:lang w:val="en-GB" w:eastAsia="en-GB"/>
            </w:rPr>
          </w:pPr>
          <w:hyperlink w:anchor="_Toc225156683" w:history="1">
            <w:r w:rsidRPr="004178C7">
              <w:rPr>
                <w:rStyle w:val="Hyperlink"/>
                <w:noProof/>
                <w:lang w:val="en-GB"/>
              </w:rPr>
              <w:t>2.2 Disease control</w:t>
            </w:r>
            <w:r>
              <w:rPr>
                <w:noProof/>
                <w:webHidden/>
              </w:rPr>
              <w:tab/>
            </w:r>
            <w:r>
              <w:rPr>
                <w:noProof/>
                <w:webHidden/>
              </w:rPr>
              <w:fldChar w:fldCharType="begin"/>
            </w:r>
            <w:r>
              <w:rPr>
                <w:noProof/>
                <w:webHidden/>
              </w:rPr>
              <w:instrText xml:space="preserve"> PAGEREF _Toc225156683 \h </w:instrText>
            </w:r>
            <w:r>
              <w:rPr>
                <w:noProof/>
                <w:webHidden/>
              </w:rPr>
            </w:r>
            <w:r>
              <w:rPr>
                <w:noProof/>
                <w:webHidden/>
              </w:rPr>
              <w:fldChar w:fldCharType="separate"/>
            </w:r>
            <w:r>
              <w:rPr>
                <w:noProof/>
                <w:webHidden/>
              </w:rPr>
              <w:t>4</w:t>
            </w:r>
            <w:r>
              <w:rPr>
                <w:noProof/>
                <w:webHidden/>
              </w:rPr>
              <w:fldChar w:fldCharType="end"/>
            </w:r>
          </w:hyperlink>
        </w:p>
        <w:p w14:paraId="4A33CF63" w14:textId="77777777" w:rsidR="00095C12" w:rsidRDefault="00095C12">
          <w:pPr>
            <w:pStyle w:val="TOC2"/>
            <w:tabs>
              <w:tab w:val="right" w:leader="dot" w:pos="9350"/>
            </w:tabs>
            <w:rPr>
              <w:rFonts w:asciiTheme="minorHAnsi" w:eastAsiaTheme="minorEastAsia" w:hAnsiTheme="minorHAnsi" w:cstheme="minorBidi"/>
              <w:noProof/>
              <w:lang w:val="en-GB" w:eastAsia="en-GB"/>
            </w:rPr>
          </w:pPr>
          <w:hyperlink w:anchor="_Toc225156684" w:history="1">
            <w:r w:rsidRPr="004178C7">
              <w:rPr>
                <w:rStyle w:val="Hyperlink"/>
                <w:noProof/>
                <w:lang w:val="en-GB"/>
              </w:rPr>
              <w:t>2.3 Consequences of the illness on people in the community</w:t>
            </w:r>
            <w:r>
              <w:rPr>
                <w:noProof/>
                <w:webHidden/>
              </w:rPr>
              <w:tab/>
            </w:r>
            <w:r>
              <w:rPr>
                <w:noProof/>
                <w:webHidden/>
              </w:rPr>
              <w:fldChar w:fldCharType="begin"/>
            </w:r>
            <w:r>
              <w:rPr>
                <w:noProof/>
                <w:webHidden/>
              </w:rPr>
              <w:instrText xml:space="preserve"> PAGEREF _Toc225156684 \h </w:instrText>
            </w:r>
            <w:r>
              <w:rPr>
                <w:noProof/>
                <w:webHidden/>
              </w:rPr>
            </w:r>
            <w:r>
              <w:rPr>
                <w:noProof/>
                <w:webHidden/>
              </w:rPr>
              <w:fldChar w:fldCharType="separate"/>
            </w:r>
            <w:r>
              <w:rPr>
                <w:noProof/>
                <w:webHidden/>
              </w:rPr>
              <w:t>5</w:t>
            </w:r>
            <w:r>
              <w:rPr>
                <w:noProof/>
                <w:webHidden/>
              </w:rPr>
              <w:fldChar w:fldCharType="end"/>
            </w:r>
          </w:hyperlink>
        </w:p>
        <w:p w14:paraId="40A7F637" w14:textId="77777777" w:rsidR="00095C12" w:rsidRDefault="00095C12">
          <w:pPr>
            <w:pStyle w:val="TOC2"/>
            <w:tabs>
              <w:tab w:val="right" w:leader="dot" w:pos="9350"/>
            </w:tabs>
            <w:rPr>
              <w:rFonts w:asciiTheme="minorHAnsi" w:eastAsiaTheme="minorEastAsia" w:hAnsiTheme="minorHAnsi" w:cstheme="minorBidi"/>
              <w:noProof/>
              <w:lang w:val="en-GB" w:eastAsia="en-GB"/>
            </w:rPr>
          </w:pPr>
          <w:hyperlink w:anchor="_Toc225156685" w:history="1">
            <w:r w:rsidRPr="004178C7">
              <w:rPr>
                <w:rStyle w:val="Hyperlink"/>
                <w:noProof/>
                <w:lang w:val="en-GB"/>
              </w:rPr>
              <w:t>2.4 Health and social care support services required to meet the needs of individuals affected by this condition within the community</w:t>
            </w:r>
            <w:r>
              <w:rPr>
                <w:noProof/>
                <w:webHidden/>
              </w:rPr>
              <w:tab/>
            </w:r>
            <w:r>
              <w:rPr>
                <w:noProof/>
                <w:webHidden/>
              </w:rPr>
              <w:fldChar w:fldCharType="begin"/>
            </w:r>
            <w:r>
              <w:rPr>
                <w:noProof/>
                <w:webHidden/>
              </w:rPr>
              <w:instrText xml:space="preserve"> PAGEREF _Toc225156685 \h </w:instrText>
            </w:r>
            <w:r>
              <w:rPr>
                <w:noProof/>
                <w:webHidden/>
              </w:rPr>
            </w:r>
            <w:r>
              <w:rPr>
                <w:noProof/>
                <w:webHidden/>
              </w:rPr>
              <w:fldChar w:fldCharType="separate"/>
            </w:r>
            <w:r>
              <w:rPr>
                <w:noProof/>
                <w:webHidden/>
              </w:rPr>
              <w:t>6</w:t>
            </w:r>
            <w:r>
              <w:rPr>
                <w:noProof/>
                <w:webHidden/>
              </w:rPr>
              <w:fldChar w:fldCharType="end"/>
            </w:r>
          </w:hyperlink>
        </w:p>
        <w:p w14:paraId="069D6005" w14:textId="77777777" w:rsidR="00095C12" w:rsidRDefault="00095C12">
          <w:pPr>
            <w:pStyle w:val="TOC1"/>
            <w:tabs>
              <w:tab w:val="right" w:leader="dot" w:pos="9350"/>
            </w:tabs>
            <w:rPr>
              <w:rFonts w:asciiTheme="minorHAnsi" w:eastAsiaTheme="minorEastAsia" w:hAnsiTheme="minorHAnsi" w:cstheme="minorBidi"/>
              <w:noProof/>
              <w:lang w:val="en-GB" w:eastAsia="en-GB"/>
            </w:rPr>
          </w:pPr>
          <w:hyperlink w:anchor="_Toc225156686" w:history="1">
            <w:r w:rsidRPr="004178C7">
              <w:rPr>
                <w:rStyle w:val="Hyperlink"/>
                <w:noProof/>
                <w:lang w:val="en-GB"/>
              </w:rPr>
              <w:t>3. Conclusion</w:t>
            </w:r>
            <w:r>
              <w:rPr>
                <w:noProof/>
                <w:webHidden/>
              </w:rPr>
              <w:tab/>
            </w:r>
            <w:r>
              <w:rPr>
                <w:noProof/>
                <w:webHidden/>
              </w:rPr>
              <w:fldChar w:fldCharType="begin"/>
            </w:r>
            <w:r>
              <w:rPr>
                <w:noProof/>
                <w:webHidden/>
              </w:rPr>
              <w:instrText xml:space="preserve"> PAGEREF _Toc225156686 \h </w:instrText>
            </w:r>
            <w:r>
              <w:rPr>
                <w:noProof/>
                <w:webHidden/>
              </w:rPr>
            </w:r>
            <w:r>
              <w:rPr>
                <w:noProof/>
                <w:webHidden/>
              </w:rPr>
              <w:fldChar w:fldCharType="separate"/>
            </w:r>
            <w:r>
              <w:rPr>
                <w:noProof/>
                <w:webHidden/>
              </w:rPr>
              <w:t>7</w:t>
            </w:r>
            <w:r>
              <w:rPr>
                <w:noProof/>
                <w:webHidden/>
              </w:rPr>
              <w:fldChar w:fldCharType="end"/>
            </w:r>
          </w:hyperlink>
        </w:p>
        <w:p w14:paraId="5E795098" w14:textId="77777777" w:rsidR="00095C12" w:rsidRDefault="00095C12">
          <w:pPr>
            <w:pStyle w:val="TOC1"/>
            <w:tabs>
              <w:tab w:val="right" w:leader="dot" w:pos="9350"/>
            </w:tabs>
            <w:rPr>
              <w:rFonts w:asciiTheme="minorHAnsi" w:eastAsiaTheme="minorEastAsia" w:hAnsiTheme="minorHAnsi" w:cstheme="minorBidi"/>
              <w:noProof/>
              <w:lang w:val="en-GB" w:eastAsia="en-GB"/>
            </w:rPr>
          </w:pPr>
          <w:hyperlink w:anchor="_Toc225156687" w:history="1">
            <w:r w:rsidRPr="004178C7">
              <w:rPr>
                <w:rStyle w:val="Hyperlink"/>
                <w:noProof/>
                <w:lang w:val="en-GB"/>
              </w:rPr>
              <w:t>Reference list</w:t>
            </w:r>
            <w:r>
              <w:rPr>
                <w:noProof/>
                <w:webHidden/>
              </w:rPr>
              <w:tab/>
            </w:r>
            <w:r>
              <w:rPr>
                <w:noProof/>
                <w:webHidden/>
              </w:rPr>
              <w:fldChar w:fldCharType="begin"/>
            </w:r>
            <w:r>
              <w:rPr>
                <w:noProof/>
                <w:webHidden/>
              </w:rPr>
              <w:instrText xml:space="preserve"> PAGEREF _Toc225156687 \h </w:instrText>
            </w:r>
            <w:r>
              <w:rPr>
                <w:noProof/>
                <w:webHidden/>
              </w:rPr>
            </w:r>
            <w:r>
              <w:rPr>
                <w:noProof/>
                <w:webHidden/>
              </w:rPr>
              <w:fldChar w:fldCharType="separate"/>
            </w:r>
            <w:r>
              <w:rPr>
                <w:noProof/>
                <w:webHidden/>
              </w:rPr>
              <w:t>8</w:t>
            </w:r>
            <w:r>
              <w:rPr>
                <w:noProof/>
                <w:webHidden/>
              </w:rPr>
              <w:fldChar w:fldCharType="end"/>
            </w:r>
          </w:hyperlink>
        </w:p>
        <w:p w14:paraId="46D89AEB" w14:textId="0849D40F" w:rsidR="00C156AE" w:rsidRPr="00AB2F72" w:rsidRDefault="00C156AE" w:rsidP="00C156AE">
          <w:pPr>
            <w:rPr>
              <w:lang w:val="en-GB"/>
            </w:rPr>
          </w:pPr>
          <w:r w:rsidRPr="00AB2F72">
            <w:rPr>
              <w:b/>
              <w:bCs/>
              <w:noProof/>
              <w:sz w:val="24"/>
              <w:szCs w:val="24"/>
              <w:lang w:val="en-GB"/>
            </w:rPr>
            <w:fldChar w:fldCharType="end"/>
          </w:r>
        </w:p>
      </w:sdtContent>
    </w:sdt>
    <w:p w14:paraId="76CC5B4C" w14:textId="77777777" w:rsidR="00C156AE" w:rsidRPr="00AB2F72" w:rsidRDefault="00C156AE" w:rsidP="00C156AE">
      <w:pPr>
        <w:spacing w:before="200"/>
        <w:rPr>
          <w:rFonts w:eastAsia="Times New Roman"/>
          <w:b/>
          <w:bCs/>
          <w:sz w:val="24"/>
          <w:szCs w:val="24"/>
          <w:lang w:val="en-GB"/>
        </w:rPr>
      </w:pPr>
    </w:p>
    <w:p w14:paraId="45138253" w14:textId="77777777" w:rsidR="003E5E13" w:rsidRPr="00AB2F72" w:rsidRDefault="00A01AD5">
      <w:pPr>
        <w:spacing w:before="200"/>
        <w:rPr>
          <w:rFonts w:eastAsia="Times New Roman"/>
          <w:b/>
          <w:bCs/>
          <w:lang w:val="en-GB"/>
        </w:rPr>
      </w:pPr>
      <w:r w:rsidRPr="00AB2F72">
        <w:rPr>
          <w:lang w:val="en-GB"/>
        </w:rPr>
        <w:br w:type="page"/>
      </w:r>
    </w:p>
    <w:p w14:paraId="187B7E73" w14:textId="77777777" w:rsidR="003E5E13" w:rsidRPr="000B4CCC" w:rsidRDefault="00A01AD5" w:rsidP="000B4CCC">
      <w:pPr>
        <w:pStyle w:val="Heading1"/>
      </w:pPr>
      <w:bookmarkStart w:id="0" w:name="_Toc225156680"/>
      <w:r w:rsidRPr="000B4CCC">
        <w:rPr>
          <w:lang w:val="en-GB"/>
        </w:rPr>
        <w:lastRenderedPageBreak/>
        <w:t>1. Introduction</w:t>
      </w:r>
      <w:bookmarkEnd w:id="0"/>
    </w:p>
    <w:p w14:paraId="4F691965" w14:textId="77777777" w:rsidR="003E5E13" w:rsidRPr="00954348" w:rsidRDefault="00A01AD5">
      <w:pPr>
        <w:spacing w:before="200"/>
        <w:rPr>
          <w:rFonts w:eastAsia="Times New Roman"/>
          <w:lang w:val="en-GB"/>
        </w:rPr>
      </w:pPr>
      <w:r w:rsidRPr="00954348">
        <w:rPr>
          <w:rFonts w:eastAsia="Times New Roman"/>
          <w:lang w:val="en-GB"/>
        </w:rPr>
        <w:t xml:space="preserve">Tuberculosis (TB) is a chronic infectious disease that is caused by the Mycobacterium tuberculosis bacterium (CDC, 2024). It occurs mostly in the lungs (pulmonary TB) but may also affect the kidneys, spine and the brain. </w:t>
      </w:r>
    </w:p>
    <w:p w14:paraId="338801C3" w14:textId="0176B422" w:rsidR="003E5E13" w:rsidRPr="00954348" w:rsidRDefault="00A01AD5">
      <w:pPr>
        <w:spacing w:before="200"/>
        <w:rPr>
          <w:rFonts w:eastAsia="Times New Roman"/>
          <w:lang w:val="en-GB"/>
        </w:rPr>
      </w:pPr>
      <w:r w:rsidRPr="00954348">
        <w:rPr>
          <w:rFonts w:eastAsia="Times New Roman"/>
          <w:lang w:val="en-GB"/>
        </w:rPr>
        <w:t xml:space="preserve">According to </w:t>
      </w:r>
      <w:r w:rsidR="00954348">
        <w:rPr>
          <w:rFonts w:eastAsia="Times New Roman"/>
          <w:lang w:val="en-GB"/>
        </w:rPr>
        <w:t>Mayo Clinic (2025), the disease is mostly spread through airborne droplets, typically released when an infected person coughs or sneezes</w:t>
      </w:r>
      <w:r w:rsidRPr="00954348">
        <w:rPr>
          <w:rFonts w:eastAsia="Times New Roman"/>
          <w:lang w:val="en-GB"/>
        </w:rPr>
        <w:t xml:space="preserve">. Common symptoms and signs include a continuous cough which lasts for over three weeks, chest pain, coughing up blood, fever, night sweats, fatigue and weight loss. </w:t>
      </w:r>
    </w:p>
    <w:p w14:paraId="5217C09F" w14:textId="0CF8B382" w:rsidR="003E5E13" w:rsidRPr="00954348" w:rsidRDefault="00A01AD5">
      <w:pPr>
        <w:spacing w:before="200"/>
        <w:rPr>
          <w:rFonts w:eastAsia="Times New Roman"/>
          <w:lang w:val="en-GB"/>
        </w:rPr>
      </w:pPr>
      <w:r w:rsidRPr="00954348">
        <w:rPr>
          <w:rFonts w:eastAsia="Times New Roman"/>
          <w:lang w:val="en-GB"/>
        </w:rPr>
        <w:t xml:space="preserve">TB is considered to be one of the key public health issues worldwide. In 2024, it was estimated that 10.7 million individuals developed the disease, while a 1.23 million mortality rate has been evidenced, including 150,000 individuals who are living with HIV (WHO, 2025). Comparatively, in the UK, tuberculosis remains one of the highest rates of disease prevalence, </w:t>
      </w:r>
      <w:r w:rsidR="00C156AE" w:rsidRPr="00954348">
        <w:rPr>
          <w:rFonts w:eastAsia="Times New Roman"/>
          <w:lang w:val="en-GB"/>
        </w:rPr>
        <w:t>especially</w:t>
      </w:r>
      <w:r w:rsidRPr="00954348">
        <w:rPr>
          <w:rFonts w:eastAsia="Times New Roman"/>
          <w:lang w:val="en-GB"/>
        </w:rPr>
        <w:t xml:space="preserve"> in Western Europe, with 5,490 notifications from England in 2024 (GOV.UK, 2025). This has marked a 26% rise since the last two years (2022-2023). Further, London shows a record high of 20.6 per 100, 000 people, which highlights that TB is still serious in both the global setting and in the UK.</w:t>
      </w:r>
    </w:p>
    <w:p w14:paraId="744566EE" w14:textId="77777777" w:rsidR="003E5E13" w:rsidRPr="00AB2F72" w:rsidRDefault="00A01AD5">
      <w:pPr>
        <w:spacing w:before="200"/>
        <w:jc w:val="center"/>
        <w:rPr>
          <w:rFonts w:eastAsia="Times New Roman"/>
          <w:highlight w:val="yellow"/>
          <w:lang w:val="en-GB"/>
        </w:rPr>
      </w:pPr>
      <w:r w:rsidRPr="00AB2F72">
        <w:rPr>
          <w:rFonts w:eastAsia="Times New Roman"/>
          <w:noProof/>
          <w:highlight w:val="yellow"/>
          <w:lang w:val="en-GB" w:eastAsia="en-GB"/>
        </w:rPr>
        <w:drawing>
          <wp:inline distT="114300" distB="114300" distL="114300" distR="114300" wp14:anchorId="0A75085F" wp14:editId="46CECCC0">
            <wp:extent cx="3995738" cy="2665956"/>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995738" cy="2665956"/>
                    </a:xfrm>
                    <a:prstGeom prst="rect">
                      <a:avLst/>
                    </a:prstGeom>
                    <a:ln w="12700">
                      <a:solidFill>
                        <a:srgbClr val="000000"/>
                      </a:solidFill>
                      <a:prstDash val="solid"/>
                    </a:ln>
                  </pic:spPr>
                </pic:pic>
              </a:graphicData>
            </a:graphic>
          </wp:inline>
        </w:drawing>
      </w:r>
    </w:p>
    <w:p w14:paraId="258AAA21" w14:textId="77777777" w:rsidR="003E5E13" w:rsidRPr="00954348" w:rsidRDefault="00A01AD5">
      <w:pPr>
        <w:spacing w:before="200"/>
        <w:jc w:val="center"/>
        <w:rPr>
          <w:rFonts w:eastAsia="Times New Roman"/>
          <w:b/>
          <w:bCs/>
          <w:lang w:val="en-GB"/>
        </w:rPr>
      </w:pPr>
      <w:r w:rsidRPr="00954348">
        <w:rPr>
          <w:rFonts w:eastAsia="Times New Roman"/>
          <w:b/>
          <w:bCs/>
          <w:lang w:val="en-GB"/>
        </w:rPr>
        <w:t>Figure 1: Recorded TB cases across England from 2021-2024</w:t>
      </w:r>
    </w:p>
    <w:p w14:paraId="53AD7C98" w14:textId="77777777" w:rsidR="003E5E13" w:rsidRPr="00AB2F72" w:rsidRDefault="00A01AD5">
      <w:pPr>
        <w:spacing w:before="200"/>
        <w:jc w:val="center"/>
        <w:rPr>
          <w:rFonts w:eastAsia="Times New Roman"/>
          <w:lang w:val="en-GB"/>
        </w:rPr>
      </w:pPr>
      <w:r w:rsidRPr="00954348">
        <w:rPr>
          <w:rFonts w:eastAsia="Times New Roman"/>
          <w:lang w:val="en-GB"/>
        </w:rPr>
        <w:t>(Source: GOV.UK, 2025)</w:t>
      </w:r>
      <w:r w:rsidRPr="00AB2F72">
        <w:rPr>
          <w:rFonts w:eastAsia="Times New Roman"/>
          <w:lang w:val="en-GB"/>
        </w:rPr>
        <w:t xml:space="preserve"> </w:t>
      </w:r>
    </w:p>
    <w:p w14:paraId="4191AD6F" w14:textId="0BF74714" w:rsidR="003E5E13" w:rsidRPr="00AB2F72" w:rsidRDefault="00A01AD5" w:rsidP="00C156AE">
      <w:pPr>
        <w:pStyle w:val="Heading1"/>
        <w:rPr>
          <w:lang w:val="en-GB"/>
        </w:rPr>
      </w:pPr>
      <w:bookmarkStart w:id="1" w:name="_Toc225156681"/>
      <w:r w:rsidRPr="00AB2F72">
        <w:rPr>
          <w:lang w:val="en-GB"/>
        </w:rPr>
        <w:lastRenderedPageBreak/>
        <w:t>2. Critical Discussion of the Disease</w:t>
      </w:r>
      <w:bookmarkEnd w:id="1"/>
    </w:p>
    <w:p w14:paraId="0CB7497A" w14:textId="77777777" w:rsidR="003E5E13" w:rsidRPr="00AB2F72" w:rsidRDefault="00A01AD5" w:rsidP="00C156AE">
      <w:pPr>
        <w:pStyle w:val="Heading2"/>
        <w:rPr>
          <w:lang w:val="en-GB"/>
        </w:rPr>
      </w:pPr>
      <w:bookmarkStart w:id="2" w:name="_Toc225156682"/>
      <w:r w:rsidRPr="00AB2F72">
        <w:rPr>
          <w:lang w:val="en-GB"/>
        </w:rPr>
        <w:t>2.1 Different approaches to measure and monitor these diseases</w:t>
      </w:r>
      <w:bookmarkEnd w:id="2"/>
    </w:p>
    <w:p w14:paraId="6E8A921A" w14:textId="78B09E0F" w:rsidR="003E5E13" w:rsidRPr="00AB2F72" w:rsidRDefault="00A01AD5">
      <w:pPr>
        <w:spacing w:before="200"/>
        <w:rPr>
          <w:rFonts w:eastAsia="Times New Roman"/>
          <w:lang w:val="en-GB"/>
        </w:rPr>
      </w:pPr>
      <w:r w:rsidRPr="00AB2F72">
        <w:rPr>
          <w:rFonts w:eastAsia="Times New Roman"/>
          <w:lang w:val="en-GB"/>
        </w:rPr>
        <w:t xml:space="preserve">The monitoring of tuberculosis depends on a </w:t>
      </w:r>
      <w:r w:rsidR="00D86678" w:rsidRPr="00AB2F72">
        <w:rPr>
          <w:rFonts w:eastAsia="Times New Roman"/>
          <w:lang w:val="en-GB"/>
        </w:rPr>
        <w:t>systematic surveillance &amp; diagnostic procedure</w:t>
      </w:r>
      <w:r w:rsidRPr="00AB2F72">
        <w:rPr>
          <w:rFonts w:eastAsia="Times New Roman"/>
          <w:lang w:val="en-GB"/>
        </w:rPr>
        <w:t xml:space="preserve">. Globally, as evidenced by the WHO (2024), TB surveillance is typically organised by the </w:t>
      </w:r>
      <w:r w:rsidRPr="00AB2F72">
        <w:rPr>
          <w:rFonts w:eastAsia="Times New Roman"/>
          <w:b/>
          <w:bCs/>
          <w:lang w:val="en-GB"/>
        </w:rPr>
        <w:t>"World Health Organisation"</w:t>
      </w:r>
      <w:r w:rsidRPr="00AB2F72">
        <w:rPr>
          <w:rFonts w:eastAsia="Times New Roman"/>
          <w:lang w:val="en-GB"/>
        </w:rPr>
        <w:t xml:space="preserve"> (WHO) through its </w:t>
      </w:r>
      <w:r w:rsidRPr="00AB2F72">
        <w:rPr>
          <w:rFonts w:eastAsia="Times New Roman"/>
          <w:b/>
          <w:bCs/>
          <w:lang w:val="en-GB"/>
        </w:rPr>
        <w:t>"End TB Strategy",</w:t>
      </w:r>
      <w:r w:rsidRPr="00AB2F72">
        <w:rPr>
          <w:rFonts w:eastAsia="Times New Roman"/>
          <w:lang w:val="en-GB"/>
        </w:rPr>
        <w:t xml:space="preserve"> which prioritises standardised measurement, including cases, electronic health records (EHR), and data collection through surveys on incidences such as deaths and drug resistance. According to </w:t>
      </w:r>
      <w:r w:rsidR="00954348" w:rsidRPr="00AB2F72">
        <w:rPr>
          <w:rFonts w:eastAsia="Times New Roman"/>
          <w:lang w:val="en-GB"/>
        </w:rPr>
        <w:t>Ajuda</w:t>
      </w:r>
      <w:r w:rsidRPr="00AB2F72">
        <w:rPr>
          <w:rFonts w:eastAsia="Times New Roman"/>
          <w:lang w:val="en-GB"/>
        </w:rPr>
        <w:t xml:space="preserve"> and Mash (2025), surveillance is the systematic monitoring, examination and recording of TB cases, where countries systematically monitor trends and assess various intervention strategies.</w:t>
      </w:r>
    </w:p>
    <w:p w14:paraId="5513E5E8" w14:textId="77777777" w:rsidR="003E5E13" w:rsidRPr="00AB2F72" w:rsidRDefault="00A01AD5">
      <w:pPr>
        <w:spacing w:before="200"/>
        <w:rPr>
          <w:rFonts w:eastAsia="Times New Roman"/>
          <w:lang w:val="en-GB"/>
        </w:rPr>
      </w:pPr>
      <w:r w:rsidRPr="00AB2F72">
        <w:rPr>
          <w:rFonts w:eastAsia="Times New Roman"/>
          <w:lang w:val="en-GB"/>
        </w:rPr>
        <w:t>In the UK, TB monitoring is observed by the</w:t>
      </w:r>
      <w:r w:rsidRPr="00AB2F72">
        <w:rPr>
          <w:rFonts w:eastAsia="Times New Roman"/>
          <w:b/>
          <w:bCs/>
          <w:lang w:val="en-GB"/>
        </w:rPr>
        <w:t xml:space="preserve"> "UK Health Security Agency"</w:t>
      </w:r>
      <w:r w:rsidRPr="00AB2F72">
        <w:rPr>
          <w:rFonts w:eastAsia="Times New Roman"/>
          <w:lang w:val="en-GB"/>
        </w:rPr>
        <w:t xml:space="preserve"> (UKHSA) through statutory notification systems (Andrews </w:t>
      </w:r>
      <w:r w:rsidRPr="00AB2F72">
        <w:rPr>
          <w:rFonts w:eastAsia="Times New Roman"/>
          <w:i/>
          <w:iCs/>
          <w:lang w:val="en-GB"/>
        </w:rPr>
        <w:t xml:space="preserve">et al., </w:t>
      </w:r>
      <w:r w:rsidRPr="00AB2F72">
        <w:rPr>
          <w:rFonts w:eastAsia="Times New Roman"/>
          <w:lang w:val="en-GB"/>
        </w:rPr>
        <w:t xml:space="preserve">2023). Clinicians need to inform the suspected TB cases within three days of diagnosis, which contributes to a quick response in terms of public health. The microbiological culture is the most common way of establishing a diagnosis, which provides detailed data regarding how to deal with drug resistance and the patterns of transmission. Further in the UK, the TB </w:t>
      </w:r>
      <w:r w:rsidRPr="00AB2F72">
        <w:rPr>
          <w:rFonts w:eastAsia="Times New Roman"/>
          <w:b/>
          <w:bCs/>
          <w:lang w:val="en-GB"/>
        </w:rPr>
        <w:t>"Strategy Monitoring Indicators"</w:t>
      </w:r>
      <w:r w:rsidRPr="00AB2F72">
        <w:rPr>
          <w:rFonts w:eastAsia="Times New Roman"/>
          <w:lang w:val="en-GB"/>
        </w:rPr>
        <w:t xml:space="preserve"> are introduced, which enable the local health authorities to measure their performance against national targets, as well as compare prevalence rates regionally while measuring service requirements (PHE, 2025).</w:t>
      </w:r>
    </w:p>
    <w:p w14:paraId="7767D5DC" w14:textId="77777777" w:rsidR="003E5E13" w:rsidRPr="00AB2F72" w:rsidRDefault="00A01AD5">
      <w:pPr>
        <w:spacing w:before="200"/>
        <w:rPr>
          <w:rFonts w:eastAsia="Times New Roman"/>
          <w:lang w:val="en-GB"/>
        </w:rPr>
      </w:pPr>
      <w:r w:rsidRPr="00AB2F72">
        <w:rPr>
          <w:rFonts w:eastAsia="Times New Roman"/>
          <w:lang w:val="en-GB"/>
        </w:rPr>
        <w:t>In essence, global surveillance, statutory notification, microbiological diagnostics, and performance indicators represent a holistic approach in society for detecting TB incidences, tracking the progression of the disease, and providing an appropriate controlling strategy.</w:t>
      </w:r>
    </w:p>
    <w:p w14:paraId="65845E4B" w14:textId="77777777" w:rsidR="003E5E13" w:rsidRPr="00AB2F72" w:rsidRDefault="00A01AD5" w:rsidP="00C156AE">
      <w:pPr>
        <w:pStyle w:val="Heading2"/>
        <w:rPr>
          <w:lang w:val="en-GB"/>
        </w:rPr>
      </w:pPr>
      <w:bookmarkStart w:id="3" w:name="_Toc225156683"/>
      <w:r w:rsidRPr="00AB2F72">
        <w:rPr>
          <w:lang w:val="en-GB"/>
        </w:rPr>
        <w:t>2.2 Disease control</w:t>
      </w:r>
      <w:bookmarkEnd w:id="3"/>
    </w:p>
    <w:p w14:paraId="22224960" w14:textId="59AAB119" w:rsidR="003E5E13" w:rsidRPr="00AB2F72" w:rsidRDefault="00A01AD5">
      <w:pPr>
        <w:spacing w:before="200"/>
        <w:rPr>
          <w:rFonts w:eastAsia="Times New Roman"/>
          <w:lang w:val="en-GB"/>
        </w:rPr>
      </w:pPr>
      <w:r w:rsidRPr="00AB2F72">
        <w:rPr>
          <w:rFonts w:eastAsia="Times New Roman"/>
          <w:lang w:val="en-GB"/>
        </w:rPr>
        <w:t xml:space="preserve">In the UK, the approach to managing TB is enhanced by the </w:t>
      </w:r>
      <w:r w:rsidRPr="00AB2F72">
        <w:rPr>
          <w:rFonts w:eastAsia="Times New Roman"/>
          <w:b/>
          <w:bCs/>
          <w:lang w:val="en-GB"/>
        </w:rPr>
        <w:t xml:space="preserve">"National TB Action Plan" </w:t>
      </w:r>
      <w:r w:rsidRPr="00AB2F72">
        <w:rPr>
          <w:rFonts w:eastAsia="Times New Roman"/>
          <w:lang w:val="en-GB"/>
        </w:rPr>
        <w:t xml:space="preserve">(GOV.UK, 2026). As explained by Zhao </w:t>
      </w:r>
      <w:r w:rsidRPr="00954348">
        <w:rPr>
          <w:rFonts w:eastAsia="Times New Roman"/>
          <w:lang w:val="en-GB"/>
        </w:rPr>
        <w:t>et al.</w:t>
      </w:r>
      <w:r w:rsidRPr="00AB2F72">
        <w:rPr>
          <w:rFonts w:eastAsia="Times New Roman"/>
          <w:lang w:val="en-GB"/>
        </w:rPr>
        <w:t xml:space="preserve"> (2025)</w:t>
      </w:r>
      <w:r w:rsidR="00954348">
        <w:rPr>
          <w:rFonts w:eastAsia="Times New Roman"/>
          <w:lang w:val="en-GB"/>
        </w:rPr>
        <w:t>,</w:t>
      </w:r>
      <w:r w:rsidRPr="00AB2F72">
        <w:rPr>
          <w:rFonts w:eastAsia="Times New Roman"/>
          <w:lang w:val="en-GB"/>
        </w:rPr>
        <w:t xml:space="preserve"> the strategy aligns with the World Health Organisation's </w:t>
      </w:r>
      <w:r w:rsidRPr="00AB2F72">
        <w:rPr>
          <w:rFonts w:eastAsia="Times New Roman"/>
          <w:b/>
          <w:bCs/>
          <w:lang w:val="en-GB"/>
        </w:rPr>
        <w:t>"End TB Strategy"</w:t>
      </w:r>
      <w:r w:rsidRPr="00AB2F72">
        <w:rPr>
          <w:rFonts w:eastAsia="Times New Roman"/>
          <w:lang w:val="en-GB"/>
        </w:rPr>
        <w:t>, thus signifying an integrated intervention for disease control. This plan has marked specific targets, such as reducing TB incidences by 90%, which includes mortality and morbidity.</w:t>
      </w:r>
    </w:p>
    <w:p w14:paraId="1865B175" w14:textId="77777777" w:rsidR="003E5E13" w:rsidRPr="00AB2F72" w:rsidRDefault="00A01AD5">
      <w:pPr>
        <w:spacing w:before="200"/>
        <w:rPr>
          <w:rFonts w:eastAsia="Times New Roman"/>
          <w:lang w:val="en-GB"/>
        </w:rPr>
      </w:pPr>
      <w:r w:rsidRPr="00AB2F72">
        <w:rPr>
          <w:rFonts w:eastAsia="Times New Roman"/>
          <w:lang w:val="en-GB"/>
        </w:rPr>
        <w:t>As such, key control measures identified in the UK are:</w:t>
      </w:r>
    </w:p>
    <w:p w14:paraId="10559738" w14:textId="77777777" w:rsidR="003E5E13" w:rsidRPr="00AB2F72" w:rsidRDefault="00A01AD5" w:rsidP="00954348">
      <w:pPr>
        <w:spacing w:before="200"/>
        <w:rPr>
          <w:rFonts w:eastAsia="Times New Roman"/>
          <w:lang w:val="en-GB"/>
        </w:rPr>
      </w:pPr>
      <w:r w:rsidRPr="00AB2F72">
        <w:rPr>
          <w:rFonts w:eastAsia="Times New Roman"/>
          <w:b/>
          <w:bCs/>
          <w:lang w:val="en-GB"/>
        </w:rPr>
        <w:lastRenderedPageBreak/>
        <w:t>Statutory Notification</w:t>
      </w:r>
      <w:r w:rsidRPr="00AB2F72">
        <w:rPr>
          <w:rFonts w:eastAsia="Times New Roman"/>
          <w:lang w:val="en-GB"/>
        </w:rPr>
        <w:t xml:space="preserve"> - It is mandatory to report all suspected TB cases within three days (Andrews </w:t>
      </w:r>
      <w:r w:rsidRPr="00AB2F72">
        <w:rPr>
          <w:rFonts w:eastAsia="Times New Roman"/>
          <w:i/>
          <w:iCs/>
          <w:lang w:val="en-GB"/>
        </w:rPr>
        <w:t xml:space="preserve">et al., </w:t>
      </w:r>
      <w:r w:rsidRPr="00AB2F72">
        <w:rPr>
          <w:rFonts w:eastAsia="Times New Roman"/>
          <w:lang w:val="en-GB"/>
        </w:rPr>
        <w:t>2023). Through this information, it can be stated that a prompt response from the community health and contact tracing can be undertaken.</w:t>
      </w:r>
    </w:p>
    <w:p w14:paraId="3E96FE49" w14:textId="77777777" w:rsidR="003E5E13" w:rsidRPr="00AB2F72" w:rsidRDefault="00A01AD5" w:rsidP="00954348">
      <w:pPr>
        <w:spacing w:before="200"/>
        <w:rPr>
          <w:rFonts w:eastAsia="Times New Roman"/>
          <w:lang w:val="en-GB"/>
        </w:rPr>
      </w:pPr>
      <w:r w:rsidRPr="00AB2F72">
        <w:rPr>
          <w:rFonts w:eastAsia="Times New Roman"/>
          <w:b/>
          <w:bCs/>
          <w:lang w:val="en-GB"/>
        </w:rPr>
        <w:t>Diagnostic Testing</w:t>
      </w:r>
      <w:r w:rsidRPr="00AB2F72">
        <w:rPr>
          <w:rFonts w:eastAsia="Times New Roman"/>
          <w:lang w:val="en-GB"/>
        </w:rPr>
        <w:t xml:space="preserve"> - TB is confirmed by the microbiological culture and molecular diagnostic tests (for example, GeneXpert) (Zeka </w:t>
      </w:r>
      <w:r w:rsidRPr="00AB2F72">
        <w:rPr>
          <w:rFonts w:eastAsia="Times New Roman"/>
          <w:i/>
          <w:iCs/>
          <w:lang w:val="en-GB"/>
        </w:rPr>
        <w:t>et al.,</w:t>
      </w:r>
      <w:r w:rsidRPr="00AB2F72">
        <w:rPr>
          <w:rFonts w:eastAsia="Times New Roman"/>
          <w:lang w:val="en-GB"/>
        </w:rPr>
        <w:t xml:space="preserve"> 2021). This not only identifies drug resistance but also ensures a proper treatment regimen.</w:t>
      </w:r>
    </w:p>
    <w:p w14:paraId="41A6002D" w14:textId="77777777" w:rsidR="003E5E13" w:rsidRPr="00AB2F72" w:rsidRDefault="00A01AD5" w:rsidP="00954348">
      <w:pPr>
        <w:spacing w:before="200"/>
        <w:rPr>
          <w:rFonts w:eastAsia="Times New Roman"/>
          <w:lang w:val="en-GB"/>
        </w:rPr>
      </w:pPr>
      <w:r w:rsidRPr="00AB2F72">
        <w:rPr>
          <w:rFonts w:eastAsia="Times New Roman"/>
          <w:b/>
          <w:bCs/>
          <w:lang w:val="en-GB"/>
        </w:rPr>
        <w:t>Treatment Protocols</w:t>
      </w:r>
      <w:r w:rsidRPr="00AB2F72">
        <w:rPr>
          <w:rFonts w:eastAsia="Times New Roman"/>
          <w:lang w:val="en-GB"/>
        </w:rPr>
        <w:t xml:space="preserve"> - Based on the evidence by HIV.gov (2022), </w:t>
      </w:r>
      <w:r w:rsidRPr="00AB2F72">
        <w:rPr>
          <w:rFonts w:eastAsia="Times New Roman"/>
          <w:b/>
          <w:bCs/>
          <w:lang w:val="en-GB"/>
        </w:rPr>
        <w:t>"Standard Therapy"</w:t>
      </w:r>
      <w:r w:rsidRPr="00AB2F72">
        <w:rPr>
          <w:rFonts w:eastAsia="Times New Roman"/>
          <w:lang w:val="en-GB"/>
        </w:rPr>
        <w:t xml:space="preserve"> is introduced for 6 months, depending on antibiotics (isoniazid, rifampicin, pyrazinamide and ethambutol), but the dosage might change in case of complications and symptoms. Besides, the </w:t>
      </w:r>
      <w:r w:rsidRPr="00AB2F72">
        <w:rPr>
          <w:rFonts w:eastAsia="Times New Roman"/>
          <w:b/>
          <w:bCs/>
          <w:lang w:val="en-GB"/>
        </w:rPr>
        <w:t>"Directly Observed Therapy"</w:t>
      </w:r>
      <w:r w:rsidRPr="00AB2F72">
        <w:rPr>
          <w:rFonts w:eastAsia="Times New Roman"/>
          <w:lang w:val="en-GB"/>
        </w:rPr>
        <w:t xml:space="preserve"> (DOT) is used in specific instances for monitoring adherence (Stoner </w:t>
      </w:r>
      <w:r w:rsidRPr="00AB2F72">
        <w:rPr>
          <w:rFonts w:eastAsia="Times New Roman"/>
          <w:i/>
          <w:iCs/>
          <w:lang w:val="en-GB"/>
        </w:rPr>
        <w:t>et al.,</w:t>
      </w:r>
      <w:r w:rsidRPr="00AB2F72">
        <w:rPr>
          <w:rFonts w:eastAsia="Times New Roman"/>
          <w:lang w:val="en-GB"/>
        </w:rPr>
        <w:t xml:space="preserve"> 2022).</w:t>
      </w:r>
    </w:p>
    <w:p w14:paraId="18618708" w14:textId="1328C97A" w:rsidR="003E5E13" w:rsidRPr="00AB2F72" w:rsidRDefault="00A01AD5" w:rsidP="00954348">
      <w:pPr>
        <w:spacing w:before="200"/>
        <w:rPr>
          <w:rFonts w:eastAsia="Times New Roman"/>
          <w:lang w:val="en-GB"/>
        </w:rPr>
      </w:pPr>
      <w:r w:rsidRPr="00AB2F72">
        <w:rPr>
          <w:rFonts w:eastAsia="Times New Roman"/>
          <w:b/>
          <w:bCs/>
          <w:lang w:val="en-GB"/>
        </w:rPr>
        <w:t xml:space="preserve">Vaccination </w:t>
      </w:r>
      <w:r w:rsidRPr="00AB2F72">
        <w:rPr>
          <w:rFonts w:eastAsia="Times New Roman"/>
          <w:lang w:val="en-GB"/>
        </w:rPr>
        <w:t xml:space="preserve">- Infants and high-risk groups, especially those in locations with higher incidences, for example, London, receive </w:t>
      </w:r>
      <w:r w:rsidRPr="00AB2F72">
        <w:rPr>
          <w:rFonts w:eastAsia="Times New Roman"/>
          <w:b/>
          <w:bCs/>
          <w:lang w:val="en-GB"/>
        </w:rPr>
        <w:t>Bacillus Calmette-Guerin</w:t>
      </w:r>
      <w:r w:rsidRPr="00AB2F72">
        <w:rPr>
          <w:rFonts w:eastAsia="Times New Roman"/>
          <w:lang w:val="en-GB"/>
        </w:rPr>
        <w:t xml:space="preserve"> (BCG) to fight against the disease (</w:t>
      </w:r>
      <w:r w:rsidR="00954348" w:rsidRPr="00AB2F72">
        <w:rPr>
          <w:rFonts w:eastAsia="Times New Roman"/>
          <w:lang w:val="en-GB"/>
        </w:rPr>
        <w:t>Starshinas</w:t>
      </w:r>
      <w:r w:rsidRPr="00AB2F72">
        <w:rPr>
          <w:rFonts w:eastAsia="Times New Roman"/>
          <w:lang w:val="en-GB"/>
        </w:rPr>
        <w:t xml:space="preserve"> </w:t>
      </w:r>
      <w:r w:rsidRPr="00954348">
        <w:rPr>
          <w:rFonts w:eastAsia="Times New Roman"/>
          <w:lang w:val="en-GB"/>
        </w:rPr>
        <w:t>et al</w:t>
      </w:r>
      <w:r w:rsidRPr="00AB2F72">
        <w:rPr>
          <w:rFonts w:eastAsia="Times New Roman"/>
          <w:i/>
          <w:iCs/>
          <w:lang w:val="en-GB"/>
        </w:rPr>
        <w:t xml:space="preserve">., </w:t>
      </w:r>
      <w:r w:rsidRPr="00AB2F72">
        <w:rPr>
          <w:rFonts w:eastAsia="Times New Roman"/>
          <w:lang w:val="en-GB"/>
        </w:rPr>
        <w:t>2025).</w:t>
      </w:r>
    </w:p>
    <w:p w14:paraId="7085F8B9" w14:textId="77777777" w:rsidR="003E5E13" w:rsidRPr="00AB2F72" w:rsidRDefault="00A01AD5" w:rsidP="00954348">
      <w:pPr>
        <w:spacing w:before="200"/>
        <w:rPr>
          <w:rFonts w:eastAsia="Times New Roman"/>
          <w:lang w:val="en-GB"/>
        </w:rPr>
      </w:pPr>
      <w:r w:rsidRPr="00AB2F72">
        <w:rPr>
          <w:rFonts w:eastAsia="Times New Roman"/>
          <w:b/>
          <w:bCs/>
          <w:lang w:val="en-GB"/>
        </w:rPr>
        <w:t>Specific Interventions</w:t>
      </w:r>
      <w:r w:rsidRPr="00AB2F72">
        <w:rPr>
          <w:rFonts w:eastAsia="Times New Roman"/>
          <w:lang w:val="en-GB"/>
        </w:rPr>
        <w:t xml:space="preserve"> - Apart from the above measures, screening initiatives are also considered, which aim at the high-incidence groups, such as migrants in high-incidence regions, homeless people, and HIV-infected individuals.</w:t>
      </w:r>
    </w:p>
    <w:p w14:paraId="5EA3C199" w14:textId="77777777" w:rsidR="003E5E13" w:rsidRPr="00AB2F72" w:rsidRDefault="00A01AD5" w:rsidP="00954348">
      <w:pPr>
        <w:spacing w:before="200"/>
        <w:rPr>
          <w:rFonts w:eastAsia="Times New Roman"/>
          <w:lang w:val="en-GB"/>
        </w:rPr>
      </w:pPr>
      <w:r w:rsidRPr="00AB2F72">
        <w:rPr>
          <w:rFonts w:eastAsia="Times New Roman"/>
          <w:b/>
          <w:bCs/>
          <w:lang w:val="en-GB"/>
        </w:rPr>
        <w:t xml:space="preserve">Public Health Campaigns </w:t>
      </w:r>
      <w:r w:rsidRPr="00AB2F72">
        <w:rPr>
          <w:rFonts w:eastAsia="Times New Roman"/>
          <w:lang w:val="en-GB"/>
        </w:rPr>
        <w:t>- Awareness programs are meant to be used to discourage stigma, foster early diagnosis and adherence to treatment (PHE, 2025).</w:t>
      </w:r>
    </w:p>
    <w:p w14:paraId="4B46F61B" w14:textId="77777777" w:rsidR="003E5E13" w:rsidRPr="00AB2F72" w:rsidRDefault="00A01AD5">
      <w:pPr>
        <w:spacing w:before="200"/>
        <w:rPr>
          <w:rFonts w:eastAsia="Times New Roman"/>
          <w:lang w:val="en-GB"/>
        </w:rPr>
      </w:pPr>
      <w:r w:rsidRPr="00AB2F72">
        <w:rPr>
          <w:rFonts w:eastAsia="Times New Roman"/>
          <w:lang w:val="en-GB"/>
        </w:rPr>
        <w:t>Nevertheless, in 2024, the number of TB cases in England increased by 26% compared to 2023 (GOV.UK, 2025). This evidence particularly implies that sustained vigilance, as well as improved interventions at the community level, are necessary.</w:t>
      </w:r>
    </w:p>
    <w:p w14:paraId="7C5C3662" w14:textId="77777777" w:rsidR="003E5E13" w:rsidRPr="00AB2F72" w:rsidRDefault="00A01AD5" w:rsidP="00C156AE">
      <w:pPr>
        <w:pStyle w:val="Heading2"/>
        <w:rPr>
          <w:lang w:val="en-GB"/>
        </w:rPr>
      </w:pPr>
      <w:bookmarkStart w:id="4" w:name="_Toc225156684"/>
      <w:r w:rsidRPr="00AB2F72">
        <w:rPr>
          <w:lang w:val="en-GB"/>
        </w:rPr>
        <w:t>2.3 Consequences of the illness on people in the community</w:t>
      </w:r>
      <w:bookmarkEnd w:id="4"/>
    </w:p>
    <w:p w14:paraId="789F3FDD" w14:textId="25409005" w:rsidR="003E5E13" w:rsidRPr="00AB2F72" w:rsidRDefault="00A01AD5">
      <w:pPr>
        <w:spacing w:before="200"/>
        <w:rPr>
          <w:rFonts w:eastAsia="Times New Roman"/>
          <w:lang w:val="en-GB"/>
        </w:rPr>
      </w:pPr>
      <w:r w:rsidRPr="00AB2F72">
        <w:rPr>
          <w:rFonts w:eastAsia="Times New Roman"/>
          <w:lang w:val="en-GB"/>
        </w:rPr>
        <w:t xml:space="preserve">Tuberculosis (TB) is a highly contagious disease that spreads beyond the physiological condition. The evidence provided by TB Alliance (2024) informs that TB impact individuals, families, and even communities. From an </w:t>
      </w:r>
      <w:r w:rsidRPr="00AB2F72">
        <w:rPr>
          <w:rFonts w:eastAsia="Times New Roman"/>
          <w:b/>
          <w:bCs/>
          <w:lang w:val="en-GB"/>
        </w:rPr>
        <w:t>individual perspective</w:t>
      </w:r>
      <w:r w:rsidRPr="00AB2F72">
        <w:rPr>
          <w:rFonts w:eastAsia="Times New Roman"/>
          <w:lang w:val="en-GB"/>
        </w:rPr>
        <w:t>, the disease is embedded in chronic ill health with the symptoms, which include chronic cough, fever, night sweats, and weight loss, thus causing fatigue and inability to perform any activities (</w:t>
      </w:r>
      <w:r w:rsidR="00954348" w:rsidRPr="00AB2F72">
        <w:rPr>
          <w:rFonts w:eastAsia="Times New Roman"/>
          <w:lang w:val="en-GB"/>
        </w:rPr>
        <w:t>Myoclonic</w:t>
      </w:r>
      <w:r w:rsidRPr="00AB2F72">
        <w:rPr>
          <w:rFonts w:eastAsia="Times New Roman"/>
          <w:lang w:val="en-GB"/>
        </w:rPr>
        <w:t xml:space="preserve">, 2025). Upon indicating the dilemma, the health regulatory bodies like the WHO and PHE necessitate a long treatment plan, </w:t>
      </w:r>
      <w:r w:rsidRPr="00AB2F72">
        <w:rPr>
          <w:rFonts w:eastAsia="Times New Roman"/>
          <w:lang w:val="en-GB"/>
        </w:rPr>
        <w:lastRenderedPageBreak/>
        <w:t xml:space="preserve">which may range from 6 months to 2 years. However, adherence in most cases can be challenging due to certain factors, including socioeconomic status, lack of knowledge and others. </w:t>
      </w:r>
      <w:r w:rsidR="00954348">
        <w:rPr>
          <w:rFonts w:eastAsia="Times New Roman"/>
          <w:lang w:val="en-GB"/>
        </w:rPr>
        <w:t>(</w:t>
      </w:r>
      <w:r w:rsidRPr="00AB2F72">
        <w:rPr>
          <w:rFonts w:eastAsia="Times New Roman"/>
          <w:lang w:val="en-GB"/>
        </w:rPr>
        <w:t xml:space="preserve">Tiberi </w:t>
      </w:r>
      <w:r w:rsidRPr="00954348">
        <w:rPr>
          <w:rFonts w:eastAsia="Times New Roman"/>
          <w:lang w:val="en-GB"/>
        </w:rPr>
        <w:t>et al.</w:t>
      </w:r>
      <w:r w:rsidR="00954348">
        <w:rPr>
          <w:rFonts w:eastAsia="Times New Roman"/>
          <w:lang w:val="en-GB"/>
        </w:rPr>
        <w:t xml:space="preserve">, </w:t>
      </w:r>
      <w:r w:rsidRPr="00AB2F72">
        <w:rPr>
          <w:rFonts w:eastAsia="Times New Roman"/>
          <w:lang w:val="en-GB"/>
        </w:rPr>
        <w:t>2022) explained that treatment in drug-resistant TB is even more complicated, lengthy and accompanied by serious side effects. This is a significant burden to patients, who often experience stigmatisation, isolation, and psychological trauma. Besides, misconceptions about the disease, HIV complications, and poverty further added to the disparity.</w:t>
      </w:r>
    </w:p>
    <w:p w14:paraId="106201A4" w14:textId="77777777" w:rsidR="003E5E13" w:rsidRPr="00AB2F72" w:rsidRDefault="00A01AD5">
      <w:pPr>
        <w:spacing w:before="200"/>
        <w:rPr>
          <w:rFonts w:eastAsia="Times New Roman"/>
          <w:lang w:val="en-GB"/>
        </w:rPr>
      </w:pPr>
      <w:r w:rsidRPr="00AB2F72">
        <w:rPr>
          <w:rFonts w:eastAsia="Times New Roman"/>
          <w:lang w:val="en-GB"/>
        </w:rPr>
        <w:t xml:space="preserve">Apart from the individual effect, in the case of a </w:t>
      </w:r>
      <w:r w:rsidRPr="00AB2F72">
        <w:rPr>
          <w:rFonts w:eastAsia="Times New Roman"/>
          <w:b/>
          <w:bCs/>
          <w:lang w:val="en-GB"/>
        </w:rPr>
        <w:t>family</w:t>
      </w:r>
      <w:r w:rsidRPr="00AB2F72">
        <w:rPr>
          <w:rFonts w:eastAsia="Times New Roman"/>
          <w:lang w:val="en-GB"/>
        </w:rPr>
        <w:t xml:space="preserve">, TB increases financial distress. As demonstrated by TB Alliance (2024), income loss under critical health conditions, medical costs, dietary needs and frequent hospital visits are unprecedented challenges for deprived communities in the UK. Children, on the other hand, are often burdened with family responsibilities to provide care to TB patients rather than schooling (Atkins </w:t>
      </w:r>
      <w:r w:rsidRPr="00AB2F72">
        <w:rPr>
          <w:rFonts w:eastAsia="Times New Roman"/>
          <w:i/>
          <w:iCs/>
          <w:lang w:val="en-GB"/>
        </w:rPr>
        <w:t>et al.,</w:t>
      </w:r>
      <w:r w:rsidRPr="00AB2F72">
        <w:rPr>
          <w:rFonts w:eastAsia="Times New Roman"/>
          <w:lang w:val="en-GB"/>
        </w:rPr>
        <w:t xml:space="preserve"> 2022). Overall, this implies that families with TB patients experience a cycle of events, which creates disadvantages for the household.</w:t>
      </w:r>
    </w:p>
    <w:p w14:paraId="1AE5A9E7" w14:textId="4B690F07" w:rsidR="003E5E13" w:rsidRPr="00AB2F72" w:rsidRDefault="00A01AD5">
      <w:pPr>
        <w:spacing w:before="200"/>
        <w:rPr>
          <w:rFonts w:eastAsia="Times New Roman"/>
          <w:lang w:val="en-GB"/>
        </w:rPr>
      </w:pPr>
      <w:r w:rsidRPr="00AB2F72">
        <w:rPr>
          <w:rFonts w:eastAsia="Times New Roman"/>
          <w:lang w:val="en-GB"/>
        </w:rPr>
        <w:t xml:space="preserve">Further, TB presents a significant challenge to the </w:t>
      </w:r>
      <w:r w:rsidRPr="00AB2F72">
        <w:rPr>
          <w:rFonts w:eastAsia="Times New Roman"/>
          <w:b/>
          <w:bCs/>
          <w:lang w:val="en-GB"/>
        </w:rPr>
        <w:t>community</w:t>
      </w:r>
      <w:r w:rsidRPr="00AB2F72">
        <w:rPr>
          <w:rFonts w:eastAsia="Times New Roman"/>
          <w:lang w:val="en-GB"/>
        </w:rPr>
        <w:t xml:space="preserve">. Since the disease is contagious, the infection is transmitted in the form of air droplets; therefore, overcrowded living places, homelessness, and migration are predisposing factors (CDC, 2024). High-TB communities are characterised by poor health services, since the resources needed are allocated for diagnosis, treatment, and prevention (Chilala </w:t>
      </w:r>
      <w:r w:rsidRPr="00AB2F72">
        <w:rPr>
          <w:rFonts w:eastAsia="Times New Roman"/>
          <w:i/>
          <w:iCs/>
          <w:lang w:val="en-GB"/>
        </w:rPr>
        <w:t>et al.,</w:t>
      </w:r>
      <w:r w:rsidRPr="00AB2F72">
        <w:rPr>
          <w:rFonts w:eastAsia="Times New Roman"/>
          <w:lang w:val="en-GB"/>
        </w:rPr>
        <w:t xml:space="preserve"> 2024). Moreover, vulnerable populations such as migrants, homeless individuals and </w:t>
      </w:r>
      <w:r w:rsidR="00954348">
        <w:rPr>
          <w:rFonts w:eastAsia="Times New Roman"/>
          <w:lang w:val="en-GB"/>
        </w:rPr>
        <w:t>immunocompromised</w:t>
      </w:r>
      <w:r w:rsidRPr="00AB2F72">
        <w:rPr>
          <w:rFonts w:eastAsia="Times New Roman"/>
          <w:lang w:val="en-GB"/>
        </w:rPr>
        <w:t xml:space="preserve"> people are disproportionately affected by the disease, making health disparities worse.</w:t>
      </w:r>
    </w:p>
    <w:p w14:paraId="77B3B4AB" w14:textId="7644AEA7" w:rsidR="003E5E13" w:rsidRPr="00AB2F72" w:rsidRDefault="00A01AD5">
      <w:pPr>
        <w:spacing w:before="200"/>
        <w:rPr>
          <w:rFonts w:eastAsia="Times New Roman"/>
          <w:lang w:val="en-GB"/>
        </w:rPr>
      </w:pPr>
      <w:r w:rsidRPr="00AB2F72">
        <w:rPr>
          <w:rFonts w:eastAsia="Times New Roman"/>
          <w:lang w:val="en-GB"/>
        </w:rPr>
        <w:t xml:space="preserve">At a global level, TB is one of the leading causes of mortality. Correspondingly, in the UK, the disease continues to be </w:t>
      </w:r>
      <w:r w:rsidR="00954348" w:rsidRPr="00AB2F72">
        <w:rPr>
          <w:rFonts w:eastAsia="Times New Roman"/>
          <w:lang w:val="en-GB"/>
        </w:rPr>
        <w:t>highly incidental</w:t>
      </w:r>
      <w:r w:rsidRPr="00AB2F72">
        <w:rPr>
          <w:rFonts w:eastAsia="Times New Roman"/>
          <w:lang w:val="en-GB"/>
        </w:rPr>
        <w:t>, thus indicating that continuous vigilance is mandatory. The social stigma surrounding TB adversely impacts individuals' perception of seeking early medical attention, thus complicating the treatment process. Hence, it can be stated that the impact of TB is not only a physical but also a social and economic issue, thus reinforcing the strength of the integrated provision of health and social care to address these issues.</w:t>
      </w:r>
    </w:p>
    <w:p w14:paraId="4426F556" w14:textId="77777777" w:rsidR="003E5E13" w:rsidRPr="00AB2F72" w:rsidRDefault="00A01AD5" w:rsidP="00C156AE">
      <w:pPr>
        <w:pStyle w:val="Heading2"/>
        <w:rPr>
          <w:lang w:val="en-GB"/>
        </w:rPr>
      </w:pPr>
      <w:bookmarkStart w:id="5" w:name="_Toc225156685"/>
      <w:r w:rsidRPr="00AB2F72">
        <w:rPr>
          <w:lang w:val="en-GB"/>
        </w:rPr>
        <w:t>2.4 Health and social care support services required to meet the needs of individuals affected by this condition within the community</w:t>
      </w:r>
      <w:bookmarkEnd w:id="5"/>
    </w:p>
    <w:p w14:paraId="259ECFC4" w14:textId="3F4298DA" w:rsidR="003E5E13" w:rsidRPr="00AB2F72" w:rsidRDefault="00A01AD5">
      <w:pPr>
        <w:spacing w:before="200"/>
        <w:rPr>
          <w:rFonts w:eastAsia="Times New Roman"/>
          <w:lang w:val="en-GB"/>
        </w:rPr>
      </w:pPr>
      <w:r w:rsidRPr="00AB2F72">
        <w:rPr>
          <w:rFonts w:eastAsia="Times New Roman"/>
          <w:lang w:val="en-GB"/>
        </w:rPr>
        <w:t>Patients with tuberculosis (TB) in the UK need both health care expertise and social support. As r</w:t>
      </w:r>
      <w:r w:rsidR="00356E9B">
        <w:rPr>
          <w:rFonts w:eastAsia="Times New Roman"/>
          <w:lang w:val="en-GB"/>
        </w:rPr>
        <w:t xml:space="preserve">eported by </w:t>
      </w:r>
      <w:r w:rsidR="00954348">
        <w:rPr>
          <w:rFonts w:eastAsia="Times New Roman"/>
          <w:lang w:val="en-GB"/>
        </w:rPr>
        <w:t xml:space="preserve">the </w:t>
      </w:r>
      <w:r w:rsidR="00356E9B">
        <w:t>NHS (2026)</w:t>
      </w:r>
      <w:r w:rsidRPr="00AB2F72">
        <w:rPr>
          <w:rFonts w:eastAsia="Times New Roman"/>
          <w:lang w:val="en-GB"/>
        </w:rPr>
        <w:t xml:space="preserve">, clinical care is available in NHS TB clinics, which offer diagnostic testing, treatment, and monitoring. Correspondingly, the </w:t>
      </w:r>
      <w:r w:rsidRPr="00AB2F72">
        <w:rPr>
          <w:rFonts w:eastAsia="Times New Roman"/>
          <w:b/>
          <w:bCs/>
          <w:lang w:val="en-GB"/>
        </w:rPr>
        <w:t>6-month antibiotic treatment</w:t>
      </w:r>
      <w:r w:rsidRPr="00AB2F72">
        <w:rPr>
          <w:rFonts w:eastAsia="Times New Roman"/>
          <w:lang w:val="en-GB"/>
        </w:rPr>
        <w:t xml:space="preserve"> provided </w:t>
      </w:r>
      <w:r w:rsidRPr="00AB2F72">
        <w:rPr>
          <w:rFonts w:eastAsia="Times New Roman"/>
          <w:lang w:val="en-GB"/>
        </w:rPr>
        <w:lastRenderedPageBreak/>
        <w:t xml:space="preserve">to patients, and support aided by the </w:t>
      </w:r>
      <w:r w:rsidRPr="00AB2F72">
        <w:rPr>
          <w:rFonts w:eastAsia="Times New Roman"/>
          <w:b/>
          <w:bCs/>
          <w:lang w:val="en-GB"/>
        </w:rPr>
        <w:t>"Directly Observed Therapy"</w:t>
      </w:r>
      <w:r w:rsidRPr="00AB2F72">
        <w:rPr>
          <w:rFonts w:eastAsia="Times New Roman"/>
          <w:lang w:val="en-GB"/>
        </w:rPr>
        <w:t xml:space="preserve"> (DOT), act as strategic imperatives to oversee the intake of medication to eliminate drug resistance (</w:t>
      </w:r>
      <w:r w:rsidR="00B1580C">
        <w:rPr>
          <w:rFonts w:eastAsia="Times New Roman"/>
          <w:lang w:val="en-GB"/>
        </w:rPr>
        <w:t>HIV.gov, 2022</w:t>
      </w:r>
      <w:r w:rsidRPr="00AB2F72">
        <w:rPr>
          <w:rFonts w:eastAsia="Times New Roman"/>
          <w:lang w:val="en-GB"/>
        </w:rPr>
        <w:t>).</w:t>
      </w:r>
    </w:p>
    <w:p w14:paraId="58955EC7" w14:textId="083C20E9" w:rsidR="003E5E13" w:rsidRPr="00AB2F72" w:rsidRDefault="00A01AD5">
      <w:pPr>
        <w:spacing w:before="200"/>
        <w:rPr>
          <w:rFonts w:eastAsia="Times New Roman"/>
          <w:lang w:val="en-GB"/>
        </w:rPr>
      </w:pPr>
      <w:r w:rsidRPr="00AB2F72">
        <w:rPr>
          <w:rFonts w:eastAsia="Times New Roman"/>
          <w:lang w:val="en-GB"/>
        </w:rPr>
        <w:t xml:space="preserve">In addition to medical care, the public health departments play a vital role in </w:t>
      </w:r>
      <w:r w:rsidRPr="00AB2F72">
        <w:rPr>
          <w:rFonts w:eastAsia="Times New Roman"/>
          <w:b/>
          <w:bCs/>
          <w:lang w:val="en-GB"/>
        </w:rPr>
        <w:t>contact tracing</w:t>
      </w:r>
      <w:r w:rsidRPr="00AB2F72">
        <w:rPr>
          <w:rFonts w:eastAsia="Times New Roman"/>
          <w:lang w:val="en-GB"/>
        </w:rPr>
        <w:t xml:space="preserve">, </w:t>
      </w:r>
      <w:r w:rsidRPr="00AB2F72">
        <w:rPr>
          <w:rFonts w:eastAsia="Times New Roman"/>
          <w:b/>
          <w:bCs/>
          <w:lang w:val="en-GB"/>
        </w:rPr>
        <w:t>screening people at risk</w:t>
      </w:r>
      <w:r w:rsidRPr="00AB2F72">
        <w:rPr>
          <w:rFonts w:eastAsia="Times New Roman"/>
          <w:lang w:val="en-GB"/>
        </w:rPr>
        <w:t xml:space="preserve"> (for example, migrants, homeless individuals and people with HIV), and offering </w:t>
      </w:r>
      <w:r w:rsidRPr="00AB2F72">
        <w:rPr>
          <w:rFonts w:eastAsia="Times New Roman"/>
          <w:b/>
          <w:bCs/>
          <w:lang w:val="en-GB"/>
        </w:rPr>
        <w:t xml:space="preserve">vaccination </w:t>
      </w:r>
      <w:r w:rsidRPr="00AB2F72">
        <w:rPr>
          <w:rFonts w:eastAsia="Times New Roman"/>
          <w:lang w:val="en-GB"/>
        </w:rPr>
        <w:t xml:space="preserve">(such as BCG) when needed. Social care services, further evidenced by </w:t>
      </w:r>
      <w:r w:rsidR="00954348" w:rsidRPr="00AB2F72">
        <w:rPr>
          <w:rFonts w:eastAsia="Times New Roman"/>
          <w:lang w:val="en-GB"/>
        </w:rPr>
        <w:t>Starshinas</w:t>
      </w:r>
      <w:r w:rsidRPr="00AB2F72">
        <w:rPr>
          <w:rFonts w:eastAsia="Times New Roman"/>
          <w:lang w:val="en-GB"/>
        </w:rPr>
        <w:t xml:space="preserve"> </w:t>
      </w:r>
      <w:r w:rsidRPr="00954348">
        <w:rPr>
          <w:rFonts w:eastAsia="Times New Roman"/>
          <w:lang w:val="en-GB"/>
        </w:rPr>
        <w:t>et al.</w:t>
      </w:r>
      <w:r w:rsidRPr="00AB2F72">
        <w:rPr>
          <w:rFonts w:eastAsia="Times New Roman"/>
          <w:i/>
          <w:iCs/>
          <w:lang w:val="en-GB"/>
        </w:rPr>
        <w:t xml:space="preserve"> </w:t>
      </w:r>
      <w:r w:rsidRPr="00AB2F72">
        <w:rPr>
          <w:rFonts w:eastAsia="Times New Roman"/>
          <w:lang w:val="en-GB"/>
        </w:rPr>
        <w:t>(2025), are more comprehensive, such as helping homeless people with proper housing, dietary counselling, and psychological aid to alleviate stigma and isolation.</w:t>
      </w:r>
    </w:p>
    <w:p w14:paraId="7561EA8E" w14:textId="05C747DD" w:rsidR="003E5E13" w:rsidRPr="00AB2F72" w:rsidRDefault="00A01AD5">
      <w:pPr>
        <w:spacing w:before="200"/>
        <w:rPr>
          <w:rFonts w:eastAsia="Times New Roman"/>
          <w:lang w:val="en-GB"/>
        </w:rPr>
      </w:pPr>
      <w:r w:rsidRPr="00AB2F72">
        <w:rPr>
          <w:rFonts w:eastAsia="Times New Roman"/>
          <w:lang w:val="en-GB"/>
        </w:rPr>
        <w:t xml:space="preserve">Apart from the already implemented measures, </w:t>
      </w:r>
      <w:r w:rsidRPr="00AB2F72">
        <w:rPr>
          <w:rFonts w:eastAsia="Times New Roman"/>
          <w:b/>
          <w:bCs/>
          <w:lang w:val="en-GB"/>
        </w:rPr>
        <w:t>"Integrated Care Pathways"</w:t>
      </w:r>
      <w:r w:rsidRPr="00AB2F72">
        <w:rPr>
          <w:rFonts w:eastAsia="Times New Roman"/>
          <w:lang w:val="en-GB"/>
        </w:rPr>
        <w:t xml:space="preserve"> (ICP) is a suggested approach in TB treatment and prevention. Bousquet </w:t>
      </w:r>
      <w:r w:rsidRPr="00954348">
        <w:rPr>
          <w:rFonts w:eastAsia="Times New Roman"/>
          <w:lang w:val="en-GB"/>
        </w:rPr>
        <w:t>et al.</w:t>
      </w:r>
      <w:r w:rsidRPr="00AB2F72">
        <w:rPr>
          <w:rFonts w:eastAsia="Times New Roman"/>
          <w:lang w:val="en-GB"/>
        </w:rPr>
        <w:t xml:space="preserve"> (2024) explained that ICPs guarantee coordination among hospitals, GPs, social workers, and voluntary organisations, which allows patients to receive medical and social support. This holistic approach is necessary to enhance the recovery process, lower transmission rates, and address health inequalities in the UK communities.</w:t>
      </w:r>
    </w:p>
    <w:p w14:paraId="487049DD" w14:textId="77777777" w:rsidR="003E5E13" w:rsidRPr="00AB2F72" w:rsidRDefault="00A01AD5" w:rsidP="00C156AE">
      <w:pPr>
        <w:pStyle w:val="Heading1"/>
        <w:rPr>
          <w:lang w:val="en-GB"/>
        </w:rPr>
      </w:pPr>
      <w:bookmarkStart w:id="6" w:name="_Toc225156686"/>
      <w:r w:rsidRPr="00AB2F72">
        <w:rPr>
          <w:lang w:val="en-GB"/>
        </w:rPr>
        <w:t>3. Conclusion</w:t>
      </w:r>
      <w:bookmarkEnd w:id="6"/>
    </w:p>
    <w:p w14:paraId="16CE7BEE" w14:textId="77777777" w:rsidR="003E5E13" w:rsidRPr="00AB2F72" w:rsidRDefault="00A01AD5">
      <w:pPr>
        <w:spacing w:before="200"/>
        <w:rPr>
          <w:rFonts w:eastAsia="Times New Roman"/>
          <w:lang w:val="en-GB"/>
        </w:rPr>
      </w:pPr>
      <w:r w:rsidRPr="00AB2F72">
        <w:rPr>
          <w:rFonts w:eastAsia="Times New Roman"/>
          <w:lang w:val="en-GB"/>
        </w:rPr>
        <w:t>Tuberculosis is one of the major health issues among the population of the UK and worldwide. Although the disease can be prevented and treated, the evidence demonstrates the significance of effective surveillance, early diagnosis, and efficient methods of treatment. The disease affects individuals not only with long-term illness and stigma but also by increasing economic and social pressures on families and societies. In the UK, increasing incidence rates indicate that vigilance, interventions and a combination of health and social care support are required for effective disease management. Further, to mitigate transmission rates, enhance patient outcomes, and reduce inequalities for better TB treatment, an integrated holistic care approach is needed.</w:t>
      </w:r>
    </w:p>
    <w:p w14:paraId="0243E117" w14:textId="011ED9FE" w:rsidR="00D86678" w:rsidRPr="00AB2F72" w:rsidRDefault="00D86678">
      <w:pPr>
        <w:rPr>
          <w:rFonts w:ascii="Times New Roman" w:eastAsia="Times New Roman" w:hAnsi="Times New Roman" w:cs="Times New Roman"/>
          <w:sz w:val="24"/>
          <w:szCs w:val="24"/>
          <w:lang w:val="en-GB"/>
        </w:rPr>
      </w:pPr>
      <w:r w:rsidRPr="00AB2F72">
        <w:rPr>
          <w:rFonts w:ascii="Times New Roman" w:eastAsia="Times New Roman" w:hAnsi="Times New Roman" w:cs="Times New Roman"/>
          <w:sz w:val="24"/>
          <w:szCs w:val="24"/>
          <w:lang w:val="en-GB"/>
        </w:rPr>
        <w:br w:type="page"/>
      </w:r>
    </w:p>
    <w:p w14:paraId="46DC5035" w14:textId="77777777" w:rsidR="00D86678" w:rsidRPr="00AB2F72" w:rsidRDefault="00D86678" w:rsidP="00D86678">
      <w:pPr>
        <w:pStyle w:val="Heading1"/>
        <w:rPr>
          <w:lang w:val="en-GB"/>
        </w:rPr>
      </w:pPr>
      <w:bookmarkStart w:id="7" w:name="_Toc225156687"/>
      <w:r w:rsidRPr="00AB2F72">
        <w:rPr>
          <w:lang w:val="en-GB"/>
        </w:rPr>
        <w:lastRenderedPageBreak/>
        <w:t>Reference list</w:t>
      </w:r>
      <w:bookmarkEnd w:id="7"/>
    </w:p>
    <w:p w14:paraId="1B13D529" w14:textId="77777777" w:rsidR="00424277" w:rsidRPr="00AB2F72" w:rsidRDefault="00424277" w:rsidP="00D86678">
      <w:pPr>
        <w:spacing w:before="240"/>
        <w:rPr>
          <w:lang w:val="en-GB"/>
        </w:rPr>
      </w:pPr>
      <w:r w:rsidRPr="00AB2F72">
        <w:rPr>
          <w:lang w:val="en-GB"/>
        </w:rPr>
        <w:t xml:space="preserve">Ajudua, F.I. and Mash, R. (2025) ‘Implementing active surveillance for tuberculosis: A quality improvement project.’ </w:t>
      </w:r>
      <w:r w:rsidRPr="00AB2F72">
        <w:rPr>
          <w:i/>
          <w:iCs/>
          <w:lang w:val="en-GB"/>
        </w:rPr>
        <w:t>South African Family Practice</w:t>
      </w:r>
      <w:r w:rsidRPr="00AB2F72">
        <w:rPr>
          <w:lang w:val="en-GB"/>
        </w:rPr>
        <w:t xml:space="preserve">, 67(1). Available at: </w:t>
      </w:r>
      <w:hyperlink r:id="rId9" w:history="1">
        <w:r w:rsidRPr="00AB2F72">
          <w:rPr>
            <w:rStyle w:val="Hyperlink"/>
            <w:lang w:val="en-GB"/>
          </w:rPr>
          <w:t>https://doi.org/10.4102/safp.v67i1.6106</w:t>
        </w:r>
      </w:hyperlink>
      <w:r w:rsidRPr="00AB2F72">
        <w:rPr>
          <w:lang w:val="en-GB"/>
        </w:rPr>
        <w:t xml:space="preserve"> </w:t>
      </w:r>
    </w:p>
    <w:p w14:paraId="62E556D1" w14:textId="77777777" w:rsidR="00424277" w:rsidRPr="00AB2F72" w:rsidRDefault="00424277" w:rsidP="00D86678">
      <w:pPr>
        <w:spacing w:before="240"/>
        <w:rPr>
          <w:lang w:val="en-GB"/>
        </w:rPr>
      </w:pPr>
      <w:r w:rsidRPr="00AB2F72">
        <w:rPr>
          <w:lang w:val="en-GB"/>
        </w:rPr>
        <w:t xml:space="preserve">Andrews, F.M., Welch, S., Scandrett, K., Kaur, H., O’Shea, M.K. and Dedicoat, M. (2023) ‘Outcomes of TB contact tracing and predictors of success: a 10-year retrospective cohort analysis in Birmingham, UK.’ </w:t>
      </w:r>
      <w:r w:rsidRPr="00AB2F72">
        <w:rPr>
          <w:i/>
          <w:iCs/>
          <w:lang w:val="en-GB"/>
        </w:rPr>
        <w:t>International Journal of Tuberculosis and Lung Disease</w:t>
      </w:r>
      <w:r w:rsidRPr="00AB2F72">
        <w:rPr>
          <w:lang w:val="en-GB"/>
        </w:rPr>
        <w:t xml:space="preserve">, 27(10), pp.766–771. Available at: </w:t>
      </w:r>
      <w:hyperlink r:id="rId10" w:history="1">
        <w:r w:rsidRPr="00AB2F72">
          <w:rPr>
            <w:rStyle w:val="Hyperlink"/>
            <w:lang w:val="en-GB"/>
          </w:rPr>
          <w:t>https://doi.org/10.5588/ijtld.22.0575</w:t>
        </w:r>
      </w:hyperlink>
      <w:r w:rsidRPr="00AB2F72">
        <w:rPr>
          <w:lang w:val="en-GB"/>
        </w:rPr>
        <w:t xml:space="preserve"> </w:t>
      </w:r>
    </w:p>
    <w:p w14:paraId="1340705D" w14:textId="77777777" w:rsidR="00424277" w:rsidRPr="00AB2F72" w:rsidRDefault="00424277" w:rsidP="00D86678">
      <w:pPr>
        <w:spacing w:before="240"/>
        <w:rPr>
          <w:lang w:val="en-GB"/>
        </w:rPr>
      </w:pPr>
      <w:r w:rsidRPr="00AB2F72">
        <w:rPr>
          <w:lang w:val="en-GB"/>
        </w:rPr>
        <w:t xml:space="preserve">Atkins, S., Heimo, L., Carter, D., Ribas Closa, M., Vanleeuw, L., Chenciner, L., Wambi, P., Sidney-Annerstedt, K., Egere, U., Verkuijl, S., Brands, A., Masini, T., Viney, K., Wingfield, T., Lönnroth, K. and Boccia, D. (2022) ‘The socioeconomic impact of tuberculosis on children and adolescents: a scoping review and conceptual framework.’ </w:t>
      </w:r>
      <w:r w:rsidRPr="00AB2F72">
        <w:rPr>
          <w:i/>
          <w:iCs/>
          <w:lang w:val="en-GB"/>
        </w:rPr>
        <w:t>BMC Public Health</w:t>
      </w:r>
      <w:r w:rsidRPr="00AB2F72">
        <w:rPr>
          <w:lang w:val="en-GB"/>
        </w:rPr>
        <w:t xml:space="preserve">, [online] 22(1). Available at: </w:t>
      </w:r>
      <w:hyperlink r:id="rId11" w:history="1">
        <w:r w:rsidRPr="00AB2F72">
          <w:rPr>
            <w:rStyle w:val="Hyperlink"/>
            <w:lang w:val="en-GB"/>
          </w:rPr>
          <w:t>https://doi.org/10.1186/s12889-022-14579-7</w:t>
        </w:r>
      </w:hyperlink>
      <w:r w:rsidRPr="00AB2F72">
        <w:rPr>
          <w:lang w:val="en-GB"/>
        </w:rPr>
        <w:t xml:space="preserve"> [Accessed 11 March 2026]</w:t>
      </w:r>
    </w:p>
    <w:p w14:paraId="2A234A7F" w14:textId="77777777" w:rsidR="00424277" w:rsidRPr="00AB2F72" w:rsidRDefault="00424277" w:rsidP="00D86678">
      <w:pPr>
        <w:spacing w:before="240"/>
        <w:rPr>
          <w:lang w:val="en-GB"/>
        </w:rPr>
      </w:pPr>
      <w:r w:rsidRPr="00AB2F72">
        <w:rPr>
          <w:lang w:val="en-GB"/>
        </w:rPr>
        <w:t xml:space="preserve">Bousquet, J., Schünemann, H.J., Sousa-Pinto, B., Zuberbier, T., Togias, A., Samolinski, B., Bedbrook, A., Czarlewski, W., Hofmann-Apitius, M., Litynska, J., Vieira, R.J., Anto, J.M., Fonseca, J.A., Brozek, J., Bognanni, A., Brussino, L., Canonica, G.W., Cherrez-Ojeda, I., Cruz, A.A. and Vecillas, L. de las (2024) ‘Concepts for the Development of Person-Centered, Digitally Enabled, Artificial Intelligence–Assisted ARIA Care Pathways (ARIA 2024).’ </w:t>
      </w:r>
      <w:r w:rsidRPr="00AB2F72">
        <w:rPr>
          <w:i/>
          <w:iCs/>
          <w:lang w:val="en-GB"/>
        </w:rPr>
        <w:t>The Journal of Allergy and Clinical Immunology: In Practice</w:t>
      </w:r>
      <w:r w:rsidRPr="00AB2F72">
        <w:rPr>
          <w:lang w:val="en-GB"/>
        </w:rPr>
        <w:t xml:space="preserve">, [online] 12(10), pp.2648-2668.e2. Available at: </w:t>
      </w:r>
      <w:hyperlink r:id="rId12" w:history="1">
        <w:r w:rsidRPr="00AB2F72">
          <w:rPr>
            <w:rStyle w:val="Hyperlink"/>
            <w:lang w:val="en-GB"/>
          </w:rPr>
          <w:t>https://doi.org/10.1016/j.jaip.2024.06.040</w:t>
        </w:r>
      </w:hyperlink>
      <w:r w:rsidRPr="00AB2F72">
        <w:rPr>
          <w:lang w:val="en-GB"/>
        </w:rPr>
        <w:t xml:space="preserve"> </w:t>
      </w:r>
    </w:p>
    <w:p w14:paraId="26EDB225" w14:textId="77777777" w:rsidR="00424277" w:rsidRPr="00AB2F72" w:rsidRDefault="00424277" w:rsidP="00D86678">
      <w:pPr>
        <w:spacing w:before="240"/>
        <w:rPr>
          <w:lang w:val="en-GB"/>
        </w:rPr>
      </w:pPr>
      <w:r w:rsidRPr="00AB2F72">
        <w:rPr>
          <w:lang w:val="en-GB"/>
        </w:rPr>
        <w:t xml:space="preserve">CDC (2024) </w:t>
      </w:r>
      <w:r w:rsidRPr="00AB2F72">
        <w:rPr>
          <w:i/>
          <w:iCs/>
          <w:lang w:val="en-GB"/>
        </w:rPr>
        <w:t>About Tuberculosis</w:t>
      </w:r>
      <w:r w:rsidRPr="00AB2F72">
        <w:rPr>
          <w:lang w:val="en-GB"/>
        </w:rPr>
        <w:t xml:space="preserve">. Tuberculosis (TB); CDC. </w:t>
      </w:r>
      <w:hyperlink r:id="rId13" w:history="1">
        <w:r w:rsidRPr="00AB2F72">
          <w:rPr>
            <w:rStyle w:val="Hyperlink"/>
            <w:lang w:val="en-GB"/>
          </w:rPr>
          <w:t>https://www.cdc.gov/tb/about/index.html</w:t>
        </w:r>
      </w:hyperlink>
      <w:r w:rsidRPr="00AB2F72">
        <w:rPr>
          <w:lang w:val="en-GB"/>
        </w:rPr>
        <w:t xml:space="preserve"> [Accessed 11 March 2026]</w:t>
      </w:r>
    </w:p>
    <w:p w14:paraId="07D7FE47" w14:textId="77777777" w:rsidR="00424277" w:rsidRPr="00AB2F72" w:rsidRDefault="00424277" w:rsidP="00D86678">
      <w:pPr>
        <w:spacing w:before="240"/>
        <w:rPr>
          <w:lang w:val="en-GB"/>
        </w:rPr>
      </w:pPr>
      <w:r w:rsidRPr="00AB2F72">
        <w:rPr>
          <w:lang w:val="en-GB"/>
        </w:rPr>
        <w:t xml:space="preserve">Chilala, S.B., Silumbwe, A., Zulu, J.M., Tetui, M., Bulawayo, M., Chewe, M. and Hangoma, P. (2024) ‘Individual, community and health systems factors influencing time to notification of tuberculosis: situating software and hardware bottlenecks in local health systems.’ </w:t>
      </w:r>
      <w:r w:rsidRPr="00AB2F72">
        <w:rPr>
          <w:i/>
          <w:iCs/>
          <w:lang w:val="en-GB"/>
        </w:rPr>
        <w:t>BMC Health Services Research</w:t>
      </w:r>
      <w:r w:rsidRPr="00AB2F72">
        <w:rPr>
          <w:lang w:val="en-GB"/>
        </w:rPr>
        <w:t xml:space="preserve">, 24(1). Available at: </w:t>
      </w:r>
      <w:hyperlink r:id="rId14" w:history="1">
        <w:r w:rsidRPr="00AB2F72">
          <w:rPr>
            <w:rStyle w:val="Hyperlink"/>
            <w:lang w:val="en-GB"/>
          </w:rPr>
          <w:t>https://doi.org/10.1186/s12913-024-11697-3</w:t>
        </w:r>
      </w:hyperlink>
      <w:r w:rsidRPr="00AB2F72">
        <w:rPr>
          <w:lang w:val="en-GB"/>
        </w:rPr>
        <w:t xml:space="preserve"> </w:t>
      </w:r>
    </w:p>
    <w:p w14:paraId="04428C30" w14:textId="77777777" w:rsidR="00424277" w:rsidRPr="00AB2F72" w:rsidRDefault="00424277" w:rsidP="00D86678">
      <w:pPr>
        <w:spacing w:before="240"/>
        <w:rPr>
          <w:lang w:val="en-GB"/>
        </w:rPr>
      </w:pPr>
      <w:r w:rsidRPr="00AB2F72">
        <w:rPr>
          <w:lang w:val="en-GB"/>
        </w:rPr>
        <w:t xml:space="preserve">GOV.UK (2025) </w:t>
      </w:r>
      <w:r w:rsidRPr="00AB2F72">
        <w:rPr>
          <w:i/>
          <w:iCs/>
          <w:lang w:val="en-GB"/>
        </w:rPr>
        <w:t>TB rates in England continue to increase in 2024</w:t>
      </w:r>
      <w:r w:rsidRPr="00AB2F72">
        <w:rPr>
          <w:lang w:val="en-GB"/>
        </w:rPr>
        <w:t xml:space="preserve">. [online] GOV.UK. Available at: </w:t>
      </w:r>
      <w:hyperlink r:id="rId15" w:history="1">
        <w:r w:rsidRPr="00AB2F72">
          <w:rPr>
            <w:rStyle w:val="Hyperlink"/>
            <w:lang w:val="en-GB"/>
          </w:rPr>
          <w:t>https://www.gov.uk/government/news/tb-rates-in-england-continue-to-increase-in-2024</w:t>
        </w:r>
      </w:hyperlink>
      <w:r w:rsidRPr="00AB2F72">
        <w:rPr>
          <w:lang w:val="en-GB"/>
        </w:rPr>
        <w:t xml:space="preserve"> [Accessed 11 March 2026]</w:t>
      </w:r>
    </w:p>
    <w:p w14:paraId="0808CF3A" w14:textId="77777777" w:rsidR="00424277" w:rsidRPr="00AB2F72" w:rsidRDefault="00424277" w:rsidP="00D86678">
      <w:pPr>
        <w:spacing w:before="240"/>
        <w:rPr>
          <w:lang w:val="en-GB"/>
        </w:rPr>
      </w:pPr>
      <w:r w:rsidRPr="00AB2F72">
        <w:rPr>
          <w:lang w:val="en-GB"/>
        </w:rPr>
        <w:lastRenderedPageBreak/>
        <w:t xml:space="preserve">GOV.UK (2026) </w:t>
      </w:r>
      <w:r w:rsidRPr="00AB2F72">
        <w:rPr>
          <w:i/>
          <w:iCs/>
          <w:lang w:val="en-GB"/>
        </w:rPr>
        <w:t>1. Tuberculosis incidence and epidemiology, England, 2024</w:t>
      </w:r>
      <w:r w:rsidRPr="00AB2F72">
        <w:rPr>
          <w:lang w:val="en-GB"/>
        </w:rPr>
        <w:t xml:space="preserve">. [online] GOV.UK. Available at: </w:t>
      </w:r>
      <w:hyperlink r:id="rId16" w:history="1">
        <w:r w:rsidRPr="00AB2F72">
          <w:rPr>
            <w:rStyle w:val="Hyperlink"/>
            <w:lang w:val="en-GB"/>
          </w:rPr>
          <w:t>https://www.gov.uk/government/publications/tuberculosis-in-england-2025-report/1-tuberculosis-incidence-and-epidemiology-england-2024</w:t>
        </w:r>
      </w:hyperlink>
      <w:r w:rsidRPr="00AB2F72">
        <w:rPr>
          <w:lang w:val="en-GB"/>
        </w:rPr>
        <w:t xml:space="preserve"> [Accessed 11 March 2026]</w:t>
      </w:r>
    </w:p>
    <w:p w14:paraId="5502A9FA" w14:textId="77777777" w:rsidR="00424277" w:rsidRPr="00AB2F72" w:rsidRDefault="00424277" w:rsidP="00D86678">
      <w:pPr>
        <w:spacing w:before="240"/>
        <w:rPr>
          <w:lang w:val="en-GB"/>
        </w:rPr>
      </w:pPr>
      <w:r w:rsidRPr="00AB2F72">
        <w:rPr>
          <w:lang w:val="en-GB"/>
        </w:rPr>
        <w:t xml:space="preserve">HIV.gov (2022) </w:t>
      </w:r>
      <w:r w:rsidRPr="00AB2F72">
        <w:rPr>
          <w:i/>
          <w:iCs/>
          <w:lang w:val="en-GB"/>
        </w:rPr>
        <w:t>Mycobacterium tuberculosis Infection and Disease | NIH</w:t>
      </w:r>
      <w:r w:rsidRPr="00AB2F72">
        <w:rPr>
          <w:lang w:val="en-GB"/>
        </w:rPr>
        <w:t xml:space="preserve">. [online] clinicalinfo.hiv.gov. Available at: </w:t>
      </w:r>
      <w:hyperlink r:id="rId17" w:history="1">
        <w:r w:rsidRPr="00AB2F72">
          <w:rPr>
            <w:rStyle w:val="Hyperlink"/>
            <w:lang w:val="en-GB"/>
          </w:rPr>
          <w:t>https://clinicalinfo.hiv.gov/en/guidelines/hiv-clinical-guidelines-adult-and-adolescent-opportunistic-infections/mycobacterium</w:t>
        </w:r>
      </w:hyperlink>
      <w:r w:rsidRPr="00AB2F72">
        <w:rPr>
          <w:lang w:val="en-GB"/>
        </w:rPr>
        <w:t xml:space="preserve"> [Accessed 11 March 2026]</w:t>
      </w:r>
    </w:p>
    <w:p w14:paraId="623FC7B7" w14:textId="77777777" w:rsidR="00424277" w:rsidRPr="00AB2F72" w:rsidRDefault="00424277" w:rsidP="00D86678">
      <w:pPr>
        <w:spacing w:before="240"/>
        <w:rPr>
          <w:lang w:val="en-GB"/>
        </w:rPr>
      </w:pPr>
      <w:r w:rsidRPr="00AB2F72">
        <w:rPr>
          <w:lang w:val="en-GB"/>
        </w:rPr>
        <w:t xml:space="preserve">Mayoclinic (2025) </w:t>
      </w:r>
      <w:r w:rsidRPr="00AB2F72">
        <w:rPr>
          <w:i/>
          <w:iCs/>
          <w:lang w:val="en-GB"/>
        </w:rPr>
        <w:t>Tuberculosis</w:t>
      </w:r>
      <w:r w:rsidRPr="00AB2F72">
        <w:rPr>
          <w:lang w:val="en-GB"/>
        </w:rPr>
        <w:t xml:space="preserve">. [online] Mayo Clinic. Available at: </w:t>
      </w:r>
      <w:hyperlink r:id="rId18" w:history="1">
        <w:r w:rsidRPr="00AB2F72">
          <w:rPr>
            <w:rStyle w:val="Hyperlink"/>
            <w:lang w:val="en-GB"/>
          </w:rPr>
          <w:t>https://www.mayoclinic.org/diseases-conditions/tuberculosis/symptoms-causes/syc-20351250</w:t>
        </w:r>
      </w:hyperlink>
      <w:r w:rsidRPr="00AB2F72">
        <w:rPr>
          <w:lang w:val="en-GB"/>
        </w:rPr>
        <w:t xml:space="preserve"> [Accessed 11 March 2026]</w:t>
      </w:r>
    </w:p>
    <w:p w14:paraId="43DDA6E6" w14:textId="77777777" w:rsidR="00424277" w:rsidRPr="00AB2F72" w:rsidRDefault="00424277" w:rsidP="00B17EFF">
      <w:pPr>
        <w:spacing w:before="240"/>
        <w:rPr>
          <w:lang w:val="en-GB"/>
        </w:rPr>
      </w:pPr>
      <w:r>
        <w:t xml:space="preserve">NHS (2026) </w:t>
      </w:r>
      <w:r>
        <w:rPr>
          <w:i/>
          <w:iCs/>
        </w:rPr>
        <w:t>NHS England» National latent tuberculosis infection testing and treatment programme</w:t>
      </w:r>
      <w:r>
        <w:t xml:space="preserve">. [online] www.england.nhs.uk. Available at: </w:t>
      </w:r>
      <w:hyperlink r:id="rId19" w:history="1">
        <w:r w:rsidRPr="00D07840">
          <w:rPr>
            <w:rStyle w:val="Hyperlink"/>
          </w:rPr>
          <w:t>https://www.england.nhs.uk/ourwork/prevention/tuberculosis-programme/national-latent-tuberculosis-infection-testing-and-treatment-programme/</w:t>
        </w:r>
      </w:hyperlink>
      <w:r>
        <w:t xml:space="preserve"> </w:t>
      </w:r>
      <w:r>
        <w:rPr>
          <w:lang w:val="en-GB"/>
        </w:rPr>
        <w:t>[Accessed 23</w:t>
      </w:r>
      <w:r w:rsidRPr="00AB2F72">
        <w:rPr>
          <w:lang w:val="en-GB"/>
        </w:rPr>
        <w:t xml:space="preserve"> March 2026]</w:t>
      </w:r>
    </w:p>
    <w:p w14:paraId="2958A337" w14:textId="77777777" w:rsidR="00424277" w:rsidRPr="00AB2F72" w:rsidRDefault="00424277" w:rsidP="00D86678">
      <w:pPr>
        <w:spacing w:before="240"/>
        <w:rPr>
          <w:lang w:val="en-GB"/>
        </w:rPr>
      </w:pPr>
      <w:r w:rsidRPr="00AB2F72">
        <w:rPr>
          <w:lang w:val="en-GB"/>
        </w:rPr>
        <w:t xml:space="preserve">PHE (2025) </w:t>
      </w:r>
      <w:r w:rsidRPr="00AB2F72">
        <w:rPr>
          <w:i/>
          <w:iCs/>
          <w:lang w:val="en-GB"/>
        </w:rPr>
        <w:t>Public Health Profiles</w:t>
      </w:r>
      <w:r w:rsidRPr="00AB2F72">
        <w:rPr>
          <w:lang w:val="en-GB"/>
        </w:rPr>
        <w:t xml:space="preserve">. [online] Phe.org.uk. Available at: </w:t>
      </w:r>
      <w:hyperlink r:id="rId20" w:history="1">
        <w:r w:rsidRPr="00AB2F72">
          <w:rPr>
            <w:rStyle w:val="Hyperlink"/>
            <w:lang w:val="en-GB"/>
          </w:rPr>
          <w:t>https://fingertips.phe.org.uk/profile/tb-monitoring</w:t>
        </w:r>
      </w:hyperlink>
      <w:r w:rsidRPr="00AB2F72">
        <w:rPr>
          <w:lang w:val="en-GB"/>
        </w:rPr>
        <w:t xml:space="preserve"> [Accessed 11 March 2026]</w:t>
      </w:r>
    </w:p>
    <w:p w14:paraId="487A50C4" w14:textId="77777777" w:rsidR="00424277" w:rsidRPr="00AB2F72" w:rsidRDefault="00424277" w:rsidP="00D86678">
      <w:pPr>
        <w:spacing w:before="240"/>
        <w:rPr>
          <w:lang w:val="en-GB"/>
        </w:rPr>
      </w:pPr>
      <w:r w:rsidRPr="00AB2F72">
        <w:rPr>
          <w:lang w:val="en-GB"/>
        </w:rPr>
        <w:t xml:space="preserve">Starshinova, A., Kudryavtsev, I., Rubinstein, A., Dovgalyuk, I., Kulpina, A., Churilov, L.P. and Kudlay, D. (2025) ‘BCG vaccination: historical role, modern applications, and future perspectives in tuberculosis and beyond.’ </w:t>
      </w:r>
      <w:r w:rsidRPr="00AB2F72">
        <w:rPr>
          <w:i/>
          <w:iCs/>
          <w:lang w:val="en-GB"/>
        </w:rPr>
        <w:t>Frontiers in Pediatrics</w:t>
      </w:r>
      <w:r w:rsidRPr="00AB2F72">
        <w:rPr>
          <w:lang w:val="en-GB"/>
        </w:rPr>
        <w:t xml:space="preserve">, 13. Available at: </w:t>
      </w:r>
      <w:hyperlink r:id="rId21" w:history="1">
        <w:r w:rsidRPr="00AB2F72">
          <w:rPr>
            <w:rStyle w:val="Hyperlink"/>
            <w:lang w:val="en-GB"/>
          </w:rPr>
          <w:t>https://doi.org/10.3389/fped.2025.1603732</w:t>
        </w:r>
      </w:hyperlink>
      <w:r w:rsidRPr="00AB2F72">
        <w:rPr>
          <w:lang w:val="en-GB"/>
        </w:rPr>
        <w:t xml:space="preserve"> </w:t>
      </w:r>
    </w:p>
    <w:p w14:paraId="25E23AEA" w14:textId="77777777" w:rsidR="00424277" w:rsidRPr="00AB2F72" w:rsidRDefault="00424277" w:rsidP="00D86678">
      <w:pPr>
        <w:spacing w:before="240"/>
        <w:rPr>
          <w:lang w:val="en-GB"/>
        </w:rPr>
      </w:pPr>
      <w:r w:rsidRPr="00AB2F72">
        <w:rPr>
          <w:lang w:val="en-GB"/>
        </w:rPr>
        <w:t xml:space="preserve">TB Alliance (2024) </w:t>
      </w:r>
      <w:r w:rsidRPr="00AB2F72">
        <w:rPr>
          <w:i/>
          <w:iCs/>
          <w:lang w:val="en-GB"/>
        </w:rPr>
        <w:t>Cycle of Poverty - TB Alliance | Putting science to work for better, faster TB cures.</w:t>
      </w:r>
      <w:r w:rsidRPr="00AB2F72">
        <w:rPr>
          <w:lang w:val="en-GB"/>
        </w:rPr>
        <w:t xml:space="preserve"> [online] TB Alliance | Putting science to work for better, faster TB cures. Available at: </w:t>
      </w:r>
      <w:hyperlink r:id="rId22" w:history="1">
        <w:r w:rsidRPr="00AB2F72">
          <w:rPr>
            <w:rStyle w:val="Hyperlink"/>
            <w:lang w:val="en-GB"/>
          </w:rPr>
          <w:t>https://www.tballiance.org/why-new-tb-drugs-cycle-poverty/</w:t>
        </w:r>
      </w:hyperlink>
      <w:r w:rsidRPr="00AB2F72">
        <w:rPr>
          <w:lang w:val="en-GB"/>
        </w:rPr>
        <w:t xml:space="preserve"> [Accessed 11 March 2026]</w:t>
      </w:r>
    </w:p>
    <w:p w14:paraId="72FAFAF9" w14:textId="77777777" w:rsidR="00424277" w:rsidRPr="00AB2F72" w:rsidRDefault="00424277" w:rsidP="00D86678">
      <w:pPr>
        <w:spacing w:before="240"/>
        <w:rPr>
          <w:lang w:val="en-GB"/>
        </w:rPr>
      </w:pPr>
      <w:r w:rsidRPr="00AB2F72">
        <w:rPr>
          <w:lang w:val="en-GB"/>
        </w:rPr>
        <w:t xml:space="preserve">Tiberi, S., Utjesanovic, N., Galvin, J., Centis, R., D’Ambrosio, L., van den Boom, M., Zumla, A. and Migliori, G. (2022) ‘Drug resistant TB – latest developments in epidemiology, diagnostics and management.’ </w:t>
      </w:r>
      <w:r w:rsidRPr="00AB2F72">
        <w:rPr>
          <w:i/>
          <w:iCs/>
          <w:lang w:val="en-GB"/>
        </w:rPr>
        <w:t>International Journal of Infectious Diseases</w:t>
      </w:r>
      <w:r w:rsidRPr="00AB2F72">
        <w:rPr>
          <w:lang w:val="en-GB"/>
        </w:rPr>
        <w:t xml:space="preserve">, [online] 124. Available at: </w:t>
      </w:r>
      <w:hyperlink r:id="rId23" w:history="1">
        <w:r w:rsidRPr="00AB2F72">
          <w:rPr>
            <w:rStyle w:val="Hyperlink"/>
            <w:lang w:val="en-GB"/>
          </w:rPr>
          <w:t>https://doi.org/10.1016/j.ijid.2022.03.026</w:t>
        </w:r>
      </w:hyperlink>
      <w:r w:rsidRPr="00AB2F72">
        <w:rPr>
          <w:lang w:val="en-GB"/>
        </w:rPr>
        <w:t xml:space="preserve"> </w:t>
      </w:r>
    </w:p>
    <w:p w14:paraId="217B05BD" w14:textId="77777777" w:rsidR="00424277" w:rsidRPr="00AB2F72" w:rsidRDefault="00424277" w:rsidP="00D86678">
      <w:pPr>
        <w:spacing w:before="240"/>
        <w:rPr>
          <w:lang w:val="en-GB"/>
        </w:rPr>
      </w:pPr>
      <w:r w:rsidRPr="00AB2F72">
        <w:rPr>
          <w:lang w:val="en-GB"/>
        </w:rPr>
        <w:t xml:space="preserve">WHO (2024) </w:t>
      </w:r>
      <w:r w:rsidRPr="00AB2F72">
        <w:rPr>
          <w:i/>
          <w:iCs/>
          <w:lang w:val="en-GB"/>
        </w:rPr>
        <w:t>TB mortality estimates for the End TB Strategy 2025 milestone and 2030 target assessment: data sources, analytical methods and process Background document 2, for meeting of WHO Global Task Force on TB Impact Measurement</w:t>
      </w:r>
      <w:r w:rsidRPr="00AB2F72">
        <w:rPr>
          <w:lang w:val="en-GB"/>
        </w:rPr>
        <w:t xml:space="preserve">. [online] Available at: </w:t>
      </w:r>
      <w:hyperlink r:id="rId24" w:history="1">
        <w:r w:rsidRPr="00AB2F72">
          <w:rPr>
            <w:rStyle w:val="Hyperlink"/>
            <w:lang w:val="en-GB"/>
          </w:rPr>
          <w:t>https://cdn.who.int/media/docs/default-source/hq-tuberculosis/global-task-force-on-tb-impact-measurement/meetings/2024-09/background-documents/background2-tbmortalityestimates-v1.pdf?sfvrsn=9bd8ad55_3</w:t>
        </w:r>
      </w:hyperlink>
      <w:r w:rsidRPr="00AB2F72">
        <w:rPr>
          <w:lang w:val="en-GB"/>
        </w:rPr>
        <w:t xml:space="preserve"> [Accessed 11 March 2026]</w:t>
      </w:r>
    </w:p>
    <w:p w14:paraId="0797F111" w14:textId="77777777" w:rsidR="00424277" w:rsidRPr="00AB2F72" w:rsidRDefault="00424277" w:rsidP="00D86678">
      <w:pPr>
        <w:spacing w:before="240"/>
        <w:rPr>
          <w:lang w:val="en-GB"/>
        </w:rPr>
      </w:pPr>
      <w:r w:rsidRPr="00AB2F72">
        <w:rPr>
          <w:lang w:val="en-GB"/>
        </w:rPr>
        <w:t xml:space="preserve">WHO (2025) </w:t>
      </w:r>
      <w:r w:rsidRPr="00AB2F72">
        <w:rPr>
          <w:i/>
          <w:iCs/>
          <w:lang w:val="en-GB"/>
        </w:rPr>
        <w:t>Tuberculosis</w:t>
      </w:r>
      <w:r w:rsidRPr="00AB2F72">
        <w:rPr>
          <w:lang w:val="en-GB"/>
        </w:rPr>
        <w:t xml:space="preserve">. [online] World Health Organization. Available at: </w:t>
      </w:r>
      <w:hyperlink r:id="rId25" w:history="1">
        <w:r w:rsidRPr="00AB2F72">
          <w:rPr>
            <w:rStyle w:val="Hyperlink"/>
            <w:lang w:val="en-GB"/>
          </w:rPr>
          <w:t>https://www.who.int/news-room/fact-sheets/detail/tuberculosis</w:t>
        </w:r>
      </w:hyperlink>
      <w:r w:rsidRPr="00AB2F72">
        <w:rPr>
          <w:lang w:val="en-GB"/>
        </w:rPr>
        <w:t xml:space="preserve"> [Accessed 11 March 2026]</w:t>
      </w:r>
    </w:p>
    <w:p w14:paraId="6B07BEA3" w14:textId="77777777" w:rsidR="00424277" w:rsidRPr="00AB2F72" w:rsidRDefault="00424277" w:rsidP="00D86678">
      <w:pPr>
        <w:spacing w:before="240"/>
        <w:rPr>
          <w:lang w:val="en-GB"/>
        </w:rPr>
      </w:pPr>
      <w:r w:rsidRPr="00AB2F72">
        <w:rPr>
          <w:lang w:val="en-GB"/>
        </w:rPr>
        <w:t xml:space="preserve">Zeka, A.N., Tasbakan, S. and Cavusoglu, C. (2021) ‘Evaluation of the GeneXpert MTB/RIF Assay for Rapid Diagnosis of Tuberculosis and Detection of Rifampin Resistance in Pulmonary and Extrapulmonary Specimens.’ </w:t>
      </w:r>
      <w:r w:rsidRPr="00AB2F72">
        <w:rPr>
          <w:i/>
          <w:iCs/>
          <w:lang w:val="en-GB"/>
        </w:rPr>
        <w:t>Journal of Clinical Microbiology</w:t>
      </w:r>
      <w:r w:rsidRPr="00AB2F72">
        <w:rPr>
          <w:lang w:val="en-GB"/>
        </w:rPr>
        <w:t xml:space="preserve">, 49(12), pp.4138–4141. Available at: </w:t>
      </w:r>
      <w:hyperlink r:id="rId26" w:history="1">
        <w:r w:rsidRPr="00AB2F72">
          <w:rPr>
            <w:rStyle w:val="Hyperlink"/>
            <w:lang w:val="en-GB"/>
          </w:rPr>
          <w:t>https://doi.org/10.1128/jcm.05434-11</w:t>
        </w:r>
      </w:hyperlink>
      <w:r w:rsidRPr="00AB2F72">
        <w:rPr>
          <w:lang w:val="en-GB"/>
        </w:rPr>
        <w:t xml:space="preserve"> </w:t>
      </w:r>
    </w:p>
    <w:p w14:paraId="23296C87" w14:textId="77777777" w:rsidR="00424277" w:rsidRDefault="00424277" w:rsidP="00D86678">
      <w:pPr>
        <w:spacing w:before="240"/>
        <w:rPr>
          <w:lang w:val="en-GB"/>
        </w:rPr>
      </w:pPr>
      <w:r w:rsidRPr="00AB2F72">
        <w:rPr>
          <w:lang w:val="en-GB"/>
        </w:rPr>
        <w:t xml:space="preserve">Zhao, C. Y., Song, C., Lu, Y. B., Huang, A. C., Zeng, C. M., Liu, R. H., Li, W. W., Xie, Z. H. and Zhu, Q. D. (2025) ‘A New Era in Tuberculosis Prevention and Treatment: Breakthroughs in Drug Development and Future Prospects.’ </w:t>
      </w:r>
      <w:r w:rsidRPr="00AB2F72">
        <w:rPr>
          <w:i/>
          <w:iCs/>
          <w:lang w:val="en-GB"/>
        </w:rPr>
        <w:t>Infectious Diseases and Therapy</w:t>
      </w:r>
      <w:r w:rsidRPr="00AB2F72">
        <w:rPr>
          <w:lang w:val="en-GB"/>
        </w:rPr>
        <w:t xml:space="preserve">. Available at: </w:t>
      </w:r>
      <w:hyperlink r:id="rId27" w:history="1">
        <w:r w:rsidRPr="00AB2F72">
          <w:rPr>
            <w:rStyle w:val="Hyperlink"/>
            <w:lang w:val="en-GB"/>
          </w:rPr>
          <w:t>https://doi.org/10.1007/s40121-025-01221-3</w:t>
        </w:r>
      </w:hyperlink>
      <w:r w:rsidRPr="00AB2F72">
        <w:rPr>
          <w:lang w:val="en-GB"/>
        </w:rPr>
        <w:t xml:space="preserve"> </w:t>
      </w:r>
    </w:p>
    <w:sectPr w:rsidR="00424277" w:rsidSect="00954348">
      <w:footerReference w:type="default" r:id="rId28"/>
      <w:pgSz w:w="12240" w:h="15840"/>
      <w:pgMar w:top="1440" w:right="1440" w:bottom="1440" w:left="1440" w:header="720" w:footer="720"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1CA6F" w14:textId="77777777" w:rsidR="00EF2EAD" w:rsidRDefault="00EF2EAD" w:rsidP="00C156AE">
      <w:pPr>
        <w:spacing w:line="240" w:lineRule="auto"/>
      </w:pPr>
      <w:r>
        <w:separator/>
      </w:r>
    </w:p>
  </w:endnote>
  <w:endnote w:type="continuationSeparator" w:id="0">
    <w:p w14:paraId="730CC953" w14:textId="77777777" w:rsidR="00EF2EAD" w:rsidRDefault="00EF2EAD" w:rsidP="00C156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C971E54-35BF-42BC-81D3-ABF90D1A0E2E}"/>
  </w:font>
  <w:font w:name="Segoe UI">
    <w:panose1 w:val="020B0502040204020203"/>
    <w:charset w:val="00"/>
    <w:family w:val="swiss"/>
    <w:pitch w:val="variable"/>
    <w:sig w:usb0="E5002EFF" w:usb1="C000E47F" w:usb2="00000029" w:usb3="00000000" w:csb0="000001FF" w:csb1="00000000"/>
    <w:embedRegular r:id="rId2" w:fontKey="{8CE5F879-EB1E-4AF1-B828-12D5543FC67F}"/>
  </w:font>
  <w:font w:name="Cambria">
    <w:panose1 w:val="02040503050406030204"/>
    <w:charset w:val="00"/>
    <w:family w:val="roman"/>
    <w:pitch w:val="variable"/>
    <w:sig w:usb0="E00006FF" w:usb1="420024FF" w:usb2="02000000" w:usb3="00000000" w:csb0="0000019F" w:csb1="00000000"/>
    <w:embedRegular r:id="rId3" w:fontKey="{C933660D-745C-4F2D-A75A-ABF80131C99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8107472"/>
      <w:docPartObj>
        <w:docPartGallery w:val="Page Numbers (Bottom of Page)"/>
        <w:docPartUnique/>
      </w:docPartObj>
    </w:sdtPr>
    <w:sdtEndPr/>
    <w:sdtContent>
      <w:p w14:paraId="2C36F28C" w14:textId="1E5B1927" w:rsidR="00C156AE" w:rsidRDefault="00C156AE">
        <w:pPr>
          <w:pStyle w:val="Footer"/>
          <w:jc w:val="right"/>
        </w:pPr>
        <w:r>
          <w:t xml:space="preserve">Page | </w:t>
        </w:r>
        <w:r>
          <w:fldChar w:fldCharType="begin"/>
        </w:r>
        <w:r>
          <w:instrText xml:space="preserve"> PAGE   \* MERGEFORMAT </w:instrText>
        </w:r>
        <w:r>
          <w:fldChar w:fldCharType="separate"/>
        </w:r>
        <w:r w:rsidR="000B4CCC">
          <w:rPr>
            <w:noProof/>
          </w:rPr>
          <w:t>10</w:t>
        </w:r>
        <w:r>
          <w:rPr>
            <w:noProof/>
          </w:rPr>
          <w:fldChar w:fldCharType="end"/>
        </w:r>
        <w:r>
          <w:t xml:space="preserve"> </w:t>
        </w:r>
      </w:p>
    </w:sdtContent>
  </w:sdt>
  <w:p w14:paraId="4C8DC81B" w14:textId="77777777" w:rsidR="00C156AE" w:rsidRDefault="00C156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B3415" w14:textId="77777777" w:rsidR="00EF2EAD" w:rsidRDefault="00EF2EAD" w:rsidP="00C156AE">
      <w:pPr>
        <w:spacing w:line="240" w:lineRule="auto"/>
      </w:pPr>
      <w:r>
        <w:separator/>
      </w:r>
    </w:p>
  </w:footnote>
  <w:footnote w:type="continuationSeparator" w:id="0">
    <w:p w14:paraId="0DAF072C" w14:textId="77777777" w:rsidR="00EF2EAD" w:rsidRDefault="00EF2EAD" w:rsidP="00C156A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B500C4"/>
    <w:multiLevelType w:val="multilevel"/>
    <w:tmpl w:val="3C202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33316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E13"/>
    <w:rsid w:val="00070C99"/>
    <w:rsid w:val="000766CC"/>
    <w:rsid w:val="00095C12"/>
    <w:rsid w:val="000A6CB4"/>
    <w:rsid w:val="000B4CCC"/>
    <w:rsid w:val="000D1078"/>
    <w:rsid w:val="00134F61"/>
    <w:rsid w:val="00166EE5"/>
    <w:rsid w:val="00231B36"/>
    <w:rsid w:val="002A6E91"/>
    <w:rsid w:val="002B4AE3"/>
    <w:rsid w:val="002F2B27"/>
    <w:rsid w:val="00356E9B"/>
    <w:rsid w:val="00367EDD"/>
    <w:rsid w:val="00371F7F"/>
    <w:rsid w:val="003E5E13"/>
    <w:rsid w:val="004221ED"/>
    <w:rsid w:val="00424277"/>
    <w:rsid w:val="00595EEF"/>
    <w:rsid w:val="005B6D92"/>
    <w:rsid w:val="0067158E"/>
    <w:rsid w:val="006C0536"/>
    <w:rsid w:val="006D3FE4"/>
    <w:rsid w:val="006F31A2"/>
    <w:rsid w:val="00792F9D"/>
    <w:rsid w:val="009235CD"/>
    <w:rsid w:val="009364AA"/>
    <w:rsid w:val="00954348"/>
    <w:rsid w:val="00975212"/>
    <w:rsid w:val="00A01AD5"/>
    <w:rsid w:val="00AB2F72"/>
    <w:rsid w:val="00B1580C"/>
    <w:rsid w:val="00B17EFF"/>
    <w:rsid w:val="00B81F25"/>
    <w:rsid w:val="00C156AE"/>
    <w:rsid w:val="00C908FB"/>
    <w:rsid w:val="00CE5839"/>
    <w:rsid w:val="00D0690E"/>
    <w:rsid w:val="00D47844"/>
    <w:rsid w:val="00D86678"/>
    <w:rsid w:val="00E425FB"/>
    <w:rsid w:val="00E74568"/>
    <w:rsid w:val="00EF2EAD"/>
    <w:rsid w:val="00EF5639"/>
    <w:rsid w:val="00F44E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B3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678"/>
    <w:pPr>
      <w:spacing w:line="360" w:lineRule="auto"/>
      <w:jc w:val="both"/>
    </w:pPr>
  </w:style>
  <w:style w:type="paragraph" w:styleId="Heading1">
    <w:name w:val="heading 1"/>
    <w:basedOn w:val="Normal"/>
    <w:next w:val="Normal"/>
    <w:uiPriority w:val="9"/>
    <w:qFormat/>
    <w:rsid w:val="00D86678"/>
    <w:pPr>
      <w:keepNext/>
      <w:keepLines/>
      <w:spacing w:before="400" w:after="120"/>
      <w:outlineLvl w:val="0"/>
    </w:pPr>
    <w:rPr>
      <w:b/>
      <w:sz w:val="28"/>
      <w:szCs w:val="40"/>
    </w:rPr>
  </w:style>
  <w:style w:type="paragraph" w:styleId="Heading2">
    <w:name w:val="heading 2"/>
    <w:basedOn w:val="Normal"/>
    <w:next w:val="Normal"/>
    <w:uiPriority w:val="9"/>
    <w:unhideWhenUsed/>
    <w:qFormat/>
    <w:rsid w:val="00D86678"/>
    <w:pPr>
      <w:keepNext/>
      <w:keepLines/>
      <w:spacing w:before="360" w:after="120"/>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D86678"/>
    <w:rPr>
      <w:color w:val="0000FF" w:themeColor="hyperlink"/>
      <w:u w:val="single"/>
    </w:rPr>
  </w:style>
  <w:style w:type="paragraph" w:styleId="NoSpacing">
    <w:name w:val="No Spacing"/>
    <w:link w:val="NoSpacingChar"/>
    <w:uiPriority w:val="1"/>
    <w:qFormat/>
    <w:rsid w:val="00C156AE"/>
    <w:pPr>
      <w:spacing w:line="240" w:lineRule="auto"/>
      <w:jc w:val="both"/>
    </w:pPr>
  </w:style>
  <w:style w:type="paragraph" w:styleId="TOCHeading">
    <w:name w:val="TOC Heading"/>
    <w:basedOn w:val="Heading1"/>
    <w:next w:val="Normal"/>
    <w:uiPriority w:val="39"/>
    <w:unhideWhenUsed/>
    <w:qFormat/>
    <w:rsid w:val="00C156A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156AE"/>
    <w:pPr>
      <w:spacing w:after="100"/>
    </w:pPr>
  </w:style>
  <w:style w:type="paragraph" w:styleId="TOC2">
    <w:name w:val="toc 2"/>
    <w:basedOn w:val="Normal"/>
    <w:next w:val="Normal"/>
    <w:autoRedefine/>
    <w:uiPriority w:val="39"/>
    <w:unhideWhenUsed/>
    <w:rsid w:val="00C156AE"/>
    <w:pPr>
      <w:spacing w:after="100"/>
      <w:ind w:left="220"/>
    </w:pPr>
  </w:style>
  <w:style w:type="paragraph" w:styleId="Header">
    <w:name w:val="header"/>
    <w:basedOn w:val="Normal"/>
    <w:link w:val="HeaderChar"/>
    <w:uiPriority w:val="99"/>
    <w:unhideWhenUsed/>
    <w:rsid w:val="00C156AE"/>
    <w:pPr>
      <w:tabs>
        <w:tab w:val="center" w:pos="4513"/>
        <w:tab w:val="right" w:pos="9026"/>
      </w:tabs>
      <w:spacing w:line="240" w:lineRule="auto"/>
    </w:pPr>
  </w:style>
  <w:style w:type="character" w:customStyle="1" w:styleId="HeaderChar">
    <w:name w:val="Header Char"/>
    <w:basedOn w:val="DefaultParagraphFont"/>
    <w:link w:val="Header"/>
    <w:uiPriority w:val="99"/>
    <w:rsid w:val="00C156AE"/>
  </w:style>
  <w:style w:type="paragraph" w:styleId="Footer">
    <w:name w:val="footer"/>
    <w:basedOn w:val="Normal"/>
    <w:link w:val="FooterChar"/>
    <w:uiPriority w:val="99"/>
    <w:unhideWhenUsed/>
    <w:rsid w:val="00C156AE"/>
    <w:pPr>
      <w:tabs>
        <w:tab w:val="center" w:pos="4513"/>
        <w:tab w:val="right" w:pos="9026"/>
      </w:tabs>
      <w:spacing w:line="240" w:lineRule="auto"/>
    </w:pPr>
  </w:style>
  <w:style w:type="character" w:customStyle="1" w:styleId="FooterChar">
    <w:name w:val="Footer Char"/>
    <w:basedOn w:val="DefaultParagraphFont"/>
    <w:link w:val="Footer"/>
    <w:uiPriority w:val="99"/>
    <w:rsid w:val="00C156AE"/>
  </w:style>
  <w:style w:type="character" w:styleId="CommentReference">
    <w:name w:val="annotation reference"/>
    <w:basedOn w:val="DefaultParagraphFont"/>
    <w:uiPriority w:val="99"/>
    <w:semiHidden/>
    <w:unhideWhenUsed/>
    <w:rsid w:val="00166EE5"/>
    <w:rPr>
      <w:sz w:val="16"/>
      <w:szCs w:val="16"/>
    </w:rPr>
  </w:style>
  <w:style w:type="paragraph" w:styleId="CommentText">
    <w:name w:val="annotation text"/>
    <w:basedOn w:val="Normal"/>
    <w:link w:val="CommentTextChar"/>
    <w:uiPriority w:val="99"/>
    <w:semiHidden/>
    <w:unhideWhenUsed/>
    <w:rsid w:val="00166EE5"/>
    <w:pPr>
      <w:spacing w:line="240" w:lineRule="auto"/>
    </w:pPr>
    <w:rPr>
      <w:sz w:val="20"/>
      <w:szCs w:val="20"/>
    </w:rPr>
  </w:style>
  <w:style w:type="character" w:customStyle="1" w:styleId="CommentTextChar">
    <w:name w:val="Comment Text Char"/>
    <w:basedOn w:val="DefaultParagraphFont"/>
    <w:link w:val="CommentText"/>
    <w:uiPriority w:val="99"/>
    <w:semiHidden/>
    <w:rsid w:val="00166EE5"/>
    <w:rPr>
      <w:sz w:val="20"/>
      <w:szCs w:val="20"/>
    </w:rPr>
  </w:style>
  <w:style w:type="paragraph" w:styleId="CommentSubject">
    <w:name w:val="annotation subject"/>
    <w:basedOn w:val="CommentText"/>
    <w:next w:val="CommentText"/>
    <w:link w:val="CommentSubjectChar"/>
    <w:uiPriority w:val="99"/>
    <w:semiHidden/>
    <w:unhideWhenUsed/>
    <w:rsid w:val="00166EE5"/>
    <w:rPr>
      <w:b/>
      <w:bCs/>
    </w:rPr>
  </w:style>
  <w:style w:type="character" w:customStyle="1" w:styleId="CommentSubjectChar">
    <w:name w:val="Comment Subject Char"/>
    <w:basedOn w:val="CommentTextChar"/>
    <w:link w:val="CommentSubject"/>
    <w:uiPriority w:val="99"/>
    <w:semiHidden/>
    <w:rsid w:val="00166EE5"/>
    <w:rPr>
      <w:b/>
      <w:bCs/>
      <w:sz w:val="20"/>
      <w:szCs w:val="20"/>
    </w:rPr>
  </w:style>
  <w:style w:type="paragraph" w:styleId="BalloonText">
    <w:name w:val="Balloon Text"/>
    <w:basedOn w:val="Normal"/>
    <w:link w:val="BalloonTextChar"/>
    <w:uiPriority w:val="99"/>
    <w:semiHidden/>
    <w:unhideWhenUsed/>
    <w:rsid w:val="00166EE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6EE5"/>
    <w:rPr>
      <w:rFonts w:ascii="Segoe UI" w:hAnsi="Segoe UI" w:cs="Segoe UI"/>
      <w:sz w:val="18"/>
      <w:szCs w:val="18"/>
    </w:rPr>
  </w:style>
  <w:style w:type="paragraph" w:styleId="NormalWeb">
    <w:name w:val="Normal (Web)"/>
    <w:basedOn w:val="Normal"/>
    <w:uiPriority w:val="99"/>
    <w:unhideWhenUsed/>
    <w:rsid w:val="00B17EFF"/>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customStyle="1" w:styleId="NoSpacingChar">
    <w:name w:val="No Spacing Char"/>
    <w:basedOn w:val="DefaultParagraphFont"/>
    <w:link w:val="NoSpacing"/>
    <w:uiPriority w:val="1"/>
    <w:rsid w:val="00954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078490">
      <w:bodyDiv w:val="1"/>
      <w:marLeft w:val="0"/>
      <w:marRight w:val="0"/>
      <w:marTop w:val="0"/>
      <w:marBottom w:val="0"/>
      <w:divBdr>
        <w:top w:val="none" w:sz="0" w:space="0" w:color="auto"/>
        <w:left w:val="none" w:sz="0" w:space="0" w:color="auto"/>
        <w:bottom w:val="none" w:sz="0" w:space="0" w:color="auto"/>
        <w:right w:val="none" w:sz="0" w:space="0" w:color="auto"/>
      </w:divBdr>
      <w:divsChild>
        <w:div w:id="87800912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dc.gov/tb/about/index.html" TargetMode="External"/><Relationship Id="rId18" Type="http://schemas.openxmlformats.org/officeDocument/2006/relationships/hyperlink" Target="https://www.mayoclinic.org/diseases-conditions/tuberculosis/symptoms-causes/syc-20351250" TargetMode="External"/><Relationship Id="rId26" Type="http://schemas.openxmlformats.org/officeDocument/2006/relationships/hyperlink" Target="https://doi.org/10.1128/jcm.05434-11" TargetMode="External"/><Relationship Id="rId3" Type="http://schemas.openxmlformats.org/officeDocument/2006/relationships/styles" Target="styles.xml"/><Relationship Id="rId21" Type="http://schemas.openxmlformats.org/officeDocument/2006/relationships/hyperlink" Target="https://doi.org/10.3389/fped.2025.1603732" TargetMode="External"/><Relationship Id="rId7" Type="http://schemas.openxmlformats.org/officeDocument/2006/relationships/endnotes" Target="endnotes.xml"/><Relationship Id="rId12" Type="http://schemas.openxmlformats.org/officeDocument/2006/relationships/hyperlink" Target="https://doi.org/10.1016/j.jaip.2024.06.040" TargetMode="External"/><Relationship Id="rId17" Type="http://schemas.openxmlformats.org/officeDocument/2006/relationships/hyperlink" Target="https://clinicalinfo.hiv.gov/en/guidelines/hiv-clinical-guidelines-adult-and-adolescent-opportunistic-infections/mycobacterium" TargetMode="External"/><Relationship Id="rId25" Type="http://schemas.openxmlformats.org/officeDocument/2006/relationships/hyperlink" Target="https://www.who.int/news-room/fact-sheets/detail/tuberculosis" TargetMode="External"/><Relationship Id="rId2" Type="http://schemas.openxmlformats.org/officeDocument/2006/relationships/numbering" Target="numbering.xml"/><Relationship Id="rId16" Type="http://schemas.openxmlformats.org/officeDocument/2006/relationships/hyperlink" Target="https://www.gov.uk/government/publications/tuberculosis-in-england-2025-report/1-tuberculosis-incidence-and-epidemiology-england-2024" TargetMode="External"/><Relationship Id="rId20" Type="http://schemas.openxmlformats.org/officeDocument/2006/relationships/hyperlink" Target="https://fingertips.phe.org.uk/profile/tb-monitor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889-022-14579-7" TargetMode="External"/><Relationship Id="rId24" Type="http://schemas.openxmlformats.org/officeDocument/2006/relationships/hyperlink" Target="https://cdn.who.int/media/docs/default-source/hq-tuberculosis/global-task-force-on-tb-impact-measurement/meetings/2024-09/background-documents/background2-tbmortalityestimates-v1.pdf?sfvrsn=9bd8ad55_3" TargetMode="External"/><Relationship Id="rId5" Type="http://schemas.openxmlformats.org/officeDocument/2006/relationships/webSettings" Target="webSettings.xml"/><Relationship Id="rId15" Type="http://schemas.openxmlformats.org/officeDocument/2006/relationships/hyperlink" Target="https://www.gov.uk/government/news/tb-rates-in-england-continue-to-increase-in-2024" TargetMode="External"/><Relationship Id="rId23" Type="http://schemas.openxmlformats.org/officeDocument/2006/relationships/hyperlink" Target="https://doi.org/10.1016/j.ijid.2022.03.026" TargetMode="External"/><Relationship Id="rId28" Type="http://schemas.openxmlformats.org/officeDocument/2006/relationships/footer" Target="footer1.xml"/><Relationship Id="rId10" Type="http://schemas.openxmlformats.org/officeDocument/2006/relationships/hyperlink" Target="https://doi.org/10.5588/ijtld.22.0575" TargetMode="External"/><Relationship Id="rId19" Type="http://schemas.openxmlformats.org/officeDocument/2006/relationships/hyperlink" Target="https://www.england.nhs.uk/ourwork/prevention/tuberculosis-programme/national-latent-tuberculosis-infection-testing-and-treatment-programme/" TargetMode="External"/><Relationship Id="rId4" Type="http://schemas.openxmlformats.org/officeDocument/2006/relationships/settings" Target="settings.xml"/><Relationship Id="rId9" Type="http://schemas.openxmlformats.org/officeDocument/2006/relationships/hyperlink" Target="https://doi.org/10.4102/safp.v67i1.6106" TargetMode="External"/><Relationship Id="rId14" Type="http://schemas.openxmlformats.org/officeDocument/2006/relationships/hyperlink" Target="https://doi.org/10.1186/s12913-024-11697-3" TargetMode="External"/><Relationship Id="rId22" Type="http://schemas.openxmlformats.org/officeDocument/2006/relationships/hyperlink" Target="https://www.tballiance.org/why-new-tb-drugs-cycle-poverty/" TargetMode="External"/><Relationship Id="rId27" Type="http://schemas.openxmlformats.org/officeDocument/2006/relationships/hyperlink" Target="https://doi.org/10.1007/s40121-025-01221-3" TargetMode="Externa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1F314-AE66-468B-B9F1-9D4914BDA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2802</Words>
  <Characters>15978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2026-03-23T21:46:00Z</dcterms:created>
  <dcterms:modified xsi:type="dcterms:W3CDTF">2026-03-24T09:33:00Z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b3ab293a-9d61-45a7-aba8-ccac37ee8ef0</vt:lpwstr>
  </property>
</Properties>
</file>