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0238952D">
                    <wp:simplePos x="0" y="0"/>
                    <wp:positionH relativeFrom="page">
                      <wp:posOffset>47624</wp:posOffset>
                    </wp:positionH>
                    <wp:positionV relativeFrom="page">
                      <wp:posOffset>1000125</wp:posOffset>
                    </wp:positionV>
                    <wp:extent cx="7515225" cy="48672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515225" cy="4867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3CAF7A3B" w:rsidR="00CB1EE0" w:rsidRPr="00EB2A8E" w:rsidRDefault="00EB2A8E" w:rsidP="00EB2A8E">
                                <w:pPr>
                                  <w:rPr>
                                    <w:color w:val="5B9BD5" w:themeColor="accent1"/>
                                    <w:sz w:val="144"/>
                                    <w:szCs w:val="144"/>
                                  </w:rPr>
                                </w:pPr>
                                <w:r w:rsidRPr="00EB2A8E">
                                  <w:rPr>
                                    <w:caps/>
                                    <w:color w:val="5B9BD5" w:themeColor="accent1"/>
                                    <w:sz w:val="144"/>
                                    <w:szCs w:val="144"/>
                                  </w:rPr>
                                  <w:t>Report Case Study: The City Hotel</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91.75pt;height:383.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" filled="f" stroked="f" strokeweight=".5pt">
                    <v:textbox inset="126pt,0,54pt,0">
                      <w:txbxContent>
                        <w:p w14:paraId="7E24B26B" w14:textId="3CAF7A3B" w:rsidR="00CB1EE0" w:rsidRPr="00EB2A8E" w:rsidRDefault="00EB2A8E" w:rsidP="00EB2A8E">
                          <w:pPr>
                            <w:rPr>
                              <w:color w:val="5B9BD5" w:themeColor="accent1"/>
                              <w:sz w:val="144"/>
                              <w:szCs w:val="144"/>
                            </w:rPr>
                          </w:pPr>
                          <w:r w:rsidRPr="00EB2A8E">
                            <w:rPr>
                              <w:caps/>
                              <w:color w:val="5B9BD5" w:themeColor="accent1"/>
                              <w:sz w:val="144"/>
                              <w:szCs w:val="144"/>
                            </w:rPr>
                            <w:t>Report Case Study: The City Hotel</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7E24B220" w14:textId="23CFAB05" w:rsidR="00DB69C8" w:rsidRPr="00421649" w:rsidRDefault="00DB69C8" w:rsidP="00FA592A">
          <w:pPr>
            <w:numPr>
              <w:ilvl w:val="0"/>
              <w:numId w:val="1"/>
            </w:numPr>
            <w:rPr>
              <w:rFonts w:ascii="Georgia" w:hAnsi="Georgia"/>
              <w:bCs/>
              <w:sz w:val="36"/>
              <w:szCs w:val="36"/>
            </w:rPr>
          </w:pPr>
          <w:r w:rsidRPr="00421649">
            <w:rPr>
              <w:rFonts w:ascii="Georgia" w:hAnsi="Georgia"/>
              <w:bCs/>
              <w:sz w:val="36"/>
              <w:szCs w:val="36"/>
            </w:rPr>
            <w:t xml:space="preserve">Module title: </w:t>
          </w:r>
          <w:r w:rsidR="006D2D60" w:rsidRPr="006D2D60">
            <w:rPr>
              <w:rFonts w:ascii="Georgia" w:hAnsi="Georgia"/>
              <w:bCs/>
              <w:sz w:val="36"/>
              <w:szCs w:val="36"/>
            </w:rPr>
            <w:t>BMIH5007</w:t>
          </w:r>
          <w:r w:rsidR="00931778" w:rsidRPr="00931778">
            <w:rPr>
              <w:rFonts w:ascii="Georgia" w:hAnsi="Georgia"/>
              <w:bCs/>
              <w:sz w:val="36"/>
              <w:szCs w:val="36"/>
            </w:rPr>
            <w:t xml:space="preserve"> </w:t>
          </w:r>
          <w:r w:rsidR="00F36403" w:rsidRPr="00F36403">
            <w:rPr>
              <w:rFonts w:ascii="Georgia" w:hAnsi="Georgia"/>
              <w:bCs/>
              <w:sz w:val="36"/>
              <w:szCs w:val="36"/>
            </w:rPr>
            <w:t>Financial Management for the Hotel Industry</w:t>
          </w:r>
        </w:p>
        <w:p w14:paraId="7E24B221" w14:textId="768DE20E" w:rsidR="00DB69C8" w:rsidRDefault="00DB69C8" w:rsidP="00FA592A">
          <w:pPr>
            <w:numPr>
              <w:ilvl w:val="0"/>
              <w:numId w:val="1"/>
            </w:numPr>
            <w:rPr>
              <w:rFonts w:ascii="Georgia" w:hAnsi="Georgia"/>
              <w:bCs/>
              <w:sz w:val="36"/>
              <w:szCs w:val="36"/>
            </w:rPr>
          </w:pPr>
          <w:r w:rsidRPr="00421649">
            <w:rPr>
              <w:rFonts w:ascii="Georgia" w:hAnsi="Georgia"/>
              <w:bCs/>
              <w:sz w:val="36"/>
              <w:szCs w:val="36"/>
            </w:rPr>
            <w:t xml:space="preserve">Lecturer’s name: </w:t>
          </w:r>
          <w:r w:rsidR="00F36403" w:rsidRPr="00F36403">
            <w:rPr>
              <w:rFonts w:ascii="Georgia" w:hAnsi="Georgia"/>
              <w:bCs/>
              <w:sz w:val="36"/>
              <w:szCs w:val="36"/>
            </w:rPr>
            <w:t>Tristan Hawkins</w:t>
          </w:r>
          <w:r w:rsidR="004A2D91">
            <w:rPr>
              <w:rFonts w:ascii="Georgia" w:hAnsi="Georgia"/>
              <w:bCs/>
              <w:sz w:val="36"/>
              <w:szCs w:val="36"/>
            </w:rPr>
            <w:t xml:space="preserve"> / </w:t>
          </w:r>
          <w:r w:rsidR="00603114" w:rsidRPr="00603114">
            <w:rPr>
              <w:rFonts w:ascii="Georgia" w:hAnsi="Georgia"/>
              <w:bCs/>
              <w:sz w:val="36"/>
              <w:szCs w:val="36"/>
            </w:rPr>
            <w:t>Kathryn Roberts</w:t>
          </w:r>
        </w:p>
        <w:p w14:paraId="5359C50B" w14:textId="7EFC4FCB" w:rsidR="002022F1" w:rsidRPr="00421649" w:rsidRDefault="002022F1" w:rsidP="00FA592A">
          <w:pPr>
            <w:numPr>
              <w:ilvl w:val="0"/>
              <w:numId w:val="1"/>
            </w:numPr>
            <w:rPr>
              <w:rFonts w:ascii="Georgia" w:hAnsi="Georgia"/>
              <w:bCs/>
              <w:sz w:val="36"/>
              <w:szCs w:val="36"/>
            </w:rPr>
          </w:pPr>
          <w:r>
            <w:rPr>
              <w:rFonts w:ascii="Georgia" w:hAnsi="Georgia"/>
              <w:bCs/>
              <w:sz w:val="36"/>
              <w:szCs w:val="36"/>
            </w:rPr>
            <w:t xml:space="preserve">Word Count: </w:t>
          </w:r>
          <w:r w:rsidR="00BC00AE">
            <w:rPr>
              <w:rFonts w:ascii="Georgia" w:hAnsi="Georgia"/>
              <w:bCs/>
              <w:sz w:val="36"/>
              <w:szCs w:val="36"/>
            </w:rPr>
            <w:t>207</w:t>
          </w:r>
          <w:r w:rsidR="00006FF4">
            <w:rPr>
              <w:rFonts w:ascii="Georgia" w:hAnsi="Georgia"/>
              <w:bCs/>
              <w:sz w:val="36"/>
              <w:szCs w:val="36"/>
            </w:rPr>
            <w:t>2</w:t>
          </w:r>
        </w:p>
        <w:p w14:paraId="5441F8F3" w14:textId="77777777" w:rsidR="00882B46" w:rsidRDefault="00882B46" w:rsidP="009035F5">
          <w:pPr>
            <w:rPr>
              <w:rFonts w:ascii="Georgia" w:hAnsi="Georgia"/>
              <w:sz w:val="28"/>
              <w:szCs w:val="28"/>
            </w:rPr>
          </w:pPr>
        </w:p>
        <w:p w14:paraId="6452E6D2" w14:textId="77777777" w:rsidR="00882B46" w:rsidRDefault="00882B46" w:rsidP="009035F5">
          <w:pPr>
            <w:rPr>
              <w:rFonts w:ascii="Georgia" w:hAnsi="Georgia"/>
              <w:sz w:val="28"/>
              <w:szCs w:val="28"/>
            </w:rPr>
          </w:pPr>
        </w:p>
        <w:p w14:paraId="32FFEA96" w14:textId="64E8F18C" w:rsidR="00107A66" w:rsidRDefault="00107A66" w:rsidP="009A36D7">
          <w:pPr>
            <w:spacing w:line="360" w:lineRule="auto"/>
            <w:rPr>
              <w:rFonts w:ascii="Georgia" w:hAnsi="Georgia"/>
              <w:sz w:val="28"/>
              <w:szCs w:val="28"/>
            </w:rPr>
          </w:pPr>
          <w:r w:rsidRPr="009A36D7">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14:paraId="4DF6468B" w14:textId="77777777" w:rsidR="00107A66" w:rsidRDefault="00107A66" w:rsidP="00107A66">
      <w:pPr>
        <w:rPr>
          <w:rFonts w:ascii="Arial" w:hAnsi="Arial" w:cs="Arial"/>
          <w:b/>
          <w:bCs/>
          <w:sz w:val="24"/>
          <w:szCs w:val="24"/>
          <w:lang w:val="en-US"/>
        </w:rPr>
      </w:pPr>
    </w:p>
    <w:p w14:paraId="3BBB784E" w14:textId="77777777" w:rsidR="00107A66" w:rsidRDefault="00107A66" w:rsidP="00107A66">
      <w:pPr>
        <w:rPr>
          <w:rFonts w:ascii="Arial" w:hAnsi="Arial" w:cs="Arial"/>
          <w:b/>
          <w:bCs/>
          <w:sz w:val="24"/>
          <w:szCs w:val="24"/>
          <w:lang w:val="en-US"/>
        </w:rPr>
      </w:pPr>
    </w:p>
    <w:p w14:paraId="6EBE58F2" w14:textId="77777777" w:rsidR="00107A66" w:rsidRDefault="00107A66" w:rsidP="00107A66">
      <w:pPr>
        <w:rPr>
          <w:rFonts w:ascii="Arial" w:hAnsi="Arial" w:cs="Arial"/>
          <w:b/>
          <w:bCs/>
          <w:sz w:val="24"/>
          <w:szCs w:val="24"/>
          <w:lang w:val="en-US"/>
        </w:rPr>
      </w:pPr>
    </w:p>
    <w:p w14:paraId="6D606951" w14:textId="77777777" w:rsidR="00107A66" w:rsidRDefault="00107A66" w:rsidP="00107A66">
      <w:pPr>
        <w:rPr>
          <w:rFonts w:ascii="Arial" w:hAnsi="Arial" w:cs="Arial"/>
          <w:b/>
          <w:bCs/>
          <w:sz w:val="24"/>
          <w:szCs w:val="24"/>
          <w:lang w:val="en-US"/>
        </w:rPr>
      </w:pPr>
    </w:p>
    <w:p w14:paraId="11F28E35" w14:textId="77777777" w:rsidR="00107A66" w:rsidRDefault="00107A66" w:rsidP="00107A66">
      <w:pPr>
        <w:rPr>
          <w:rFonts w:ascii="Arial" w:hAnsi="Arial" w:cs="Arial"/>
          <w:b/>
          <w:bCs/>
          <w:sz w:val="24"/>
          <w:szCs w:val="24"/>
          <w:lang w:val="en-US"/>
        </w:rPr>
      </w:pPr>
    </w:p>
    <w:p w14:paraId="21F3DF51" w14:textId="77777777" w:rsidR="00107A66" w:rsidRDefault="00107A66" w:rsidP="00107A66">
      <w:pPr>
        <w:rPr>
          <w:rFonts w:ascii="Arial" w:hAnsi="Arial" w:cs="Arial"/>
          <w:b/>
          <w:bCs/>
          <w:sz w:val="24"/>
          <w:szCs w:val="24"/>
          <w:lang w:val="en-US"/>
        </w:rPr>
      </w:pPr>
    </w:p>
    <w:p w14:paraId="3D09EB8F" w14:textId="77777777" w:rsidR="00107A66" w:rsidRDefault="00107A66" w:rsidP="00107A66">
      <w:pPr>
        <w:rPr>
          <w:rFonts w:ascii="Arial" w:hAnsi="Arial" w:cs="Arial"/>
          <w:b/>
          <w:bCs/>
          <w:sz w:val="24"/>
          <w:szCs w:val="24"/>
          <w:lang w:val="en-US"/>
        </w:rPr>
      </w:pPr>
    </w:p>
    <w:p w14:paraId="1F3B1E89" w14:textId="77777777" w:rsidR="00107A66" w:rsidRDefault="00107A66" w:rsidP="00107A66">
      <w:pPr>
        <w:rPr>
          <w:rFonts w:ascii="Arial" w:hAnsi="Arial" w:cs="Arial"/>
          <w:b/>
          <w:bCs/>
          <w:sz w:val="24"/>
          <w:szCs w:val="24"/>
          <w:lang w:val="en-US"/>
        </w:rPr>
      </w:pPr>
    </w:p>
    <w:p w14:paraId="72589599" w14:textId="77777777" w:rsidR="00107A66" w:rsidRDefault="00107A66" w:rsidP="00107A66">
      <w:pPr>
        <w:rPr>
          <w:rFonts w:ascii="Arial" w:hAnsi="Arial" w:cs="Arial"/>
          <w:b/>
          <w:bCs/>
          <w:sz w:val="24"/>
          <w:szCs w:val="24"/>
          <w:lang w:val="en-US"/>
        </w:rPr>
      </w:pPr>
    </w:p>
    <w:p w14:paraId="23533998" w14:textId="77777777" w:rsidR="00107A66" w:rsidRDefault="00107A66" w:rsidP="00107A66">
      <w:pPr>
        <w:rPr>
          <w:rFonts w:ascii="Arial" w:hAnsi="Arial" w:cs="Arial"/>
          <w:b/>
          <w:bCs/>
          <w:sz w:val="24"/>
          <w:szCs w:val="24"/>
          <w:lang w:val="en-US"/>
        </w:rPr>
      </w:pPr>
    </w:p>
    <w:p w14:paraId="74E8F3E7" w14:textId="77777777" w:rsidR="00107A66" w:rsidRDefault="00107A66" w:rsidP="00107A66">
      <w:pPr>
        <w:rPr>
          <w:rFonts w:ascii="Arial" w:hAnsi="Arial" w:cs="Arial"/>
          <w:b/>
          <w:bCs/>
          <w:sz w:val="24"/>
          <w:szCs w:val="24"/>
          <w:lang w:val="en-US"/>
        </w:rPr>
      </w:pPr>
    </w:p>
    <w:p w14:paraId="1FE90A65" w14:textId="77777777" w:rsidR="00107A66" w:rsidRDefault="00107A66" w:rsidP="00107A66">
      <w:pPr>
        <w:rPr>
          <w:rFonts w:ascii="Arial" w:hAnsi="Arial" w:cs="Arial"/>
          <w:b/>
          <w:bCs/>
          <w:sz w:val="24"/>
          <w:szCs w:val="24"/>
          <w:lang w:val="en-US"/>
        </w:rPr>
      </w:pPr>
    </w:p>
    <w:p w14:paraId="2679F95B" w14:textId="77777777" w:rsidR="00107A66" w:rsidRDefault="00107A66" w:rsidP="00107A66">
      <w:pPr>
        <w:rPr>
          <w:rFonts w:ascii="Arial" w:hAnsi="Arial" w:cs="Arial"/>
          <w:b/>
          <w:bCs/>
          <w:sz w:val="24"/>
          <w:szCs w:val="24"/>
          <w:lang w:val="en-US"/>
        </w:rPr>
      </w:pPr>
    </w:p>
    <w:p w14:paraId="683ADF7B" w14:textId="77777777" w:rsidR="00107A66" w:rsidRDefault="00107A66" w:rsidP="00107A66">
      <w:pPr>
        <w:rPr>
          <w:rFonts w:ascii="Arial" w:hAnsi="Arial" w:cs="Arial"/>
          <w:b/>
          <w:bCs/>
          <w:sz w:val="24"/>
          <w:szCs w:val="24"/>
          <w:lang w:val="en-US"/>
        </w:rPr>
      </w:pPr>
    </w:p>
    <w:p w14:paraId="4982B469" w14:textId="77777777" w:rsidR="00107A66" w:rsidRDefault="00107A66" w:rsidP="00107A66">
      <w:pPr>
        <w:rPr>
          <w:rFonts w:ascii="Arial" w:hAnsi="Arial" w:cs="Arial"/>
          <w:b/>
          <w:bCs/>
          <w:sz w:val="24"/>
          <w:szCs w:val="24"/>
          <w:lang w:val="en-US"/>
        </w:rPr>
      </w:pPr>
    </w:p>
    <w:p w14:paraId="34BA6FC8" w14:textId="77777777" w:rsidR="00107A66" w:rsidRDefault="00107A66" w:rsidP="00107A66">
      <w:pPr>
        <w:rPr>
          <w:rFonts w:ascii="Arial" w:hAnsi="Arial" w:cs="Arial"/>
          <w:b/>
          <w:bCs/>
          <w:sz w:val="24"/>
          <w:szCs w:val="24"/>
          <w:lang w:val="en-US"/>
        </w:rPr>
      </w:pPr>
    </w:p>
    <w:p w14:paraId="2DEC84CE" w14:textId="77777777" w:rsidR="00107A66" w:rsidRDefault="00107A66" w:rsidP="00107A66">
      <w:pPr>
        <w:rPr>
          <w:rFonts w:ascii="Arial" w:hAnsi="Arial" w:cs="Arial"/>
          <w:b/>
          <w:bCs/>
          <w:sz w:val="24"/>
          <w:szCs w:val="24"/>
          <w:lang w:val="en-US"/>
        </w:rPr>
      </w:pPr>
    </w:p>
    <w:p w14:paraId="1D191633" w14:textId="77777777" w:rsidR="00107A66" w:rsidRDefault="00107A66" w:rsidP="00107A66">
      <w:pPr>
        <w:rPr>
          <w:rFonts w:ascii="Arial" w:hAnsi="Arial" w:cs="Arial"/>
          <w:b/>
          <w:bCs/>
          <w:sz w:val="24"/>
          <w:szCs w:val="24"/>
          <w:lang w:val="en-US"/>
        </w:rPr>
      </w:pPr>
    </w:p>
    <w:p w14:paraId="3E4EB796" w14:textId="77777777" w:rsidR="00107A66" w:rsidRDefault="00107A66" w:rsidP="00107A66">
      <w:pPr>
        <w:rPr>
          <w:rFonts w:ascii="Arial" w:hAnsi="Arial" w:cs="Arial"/>
          <w:b/>
          <w:bCs/>
          <w:sz w:val="24"/>
          <w:szCs w:val="24"/>
          <w:lang w:val="en-US"/>
        </w:rPr>
      </w:pPr>
    </w:p>
    <w:p w14:paraId="48E7EF30" w14:textId="77777777" w:rsidR="00107A66" w:rsidRDefault="00107A66" w:rsidP="00107A66">
      <w:pPr>
        <w:rPr>
          <w:rFonts w:ascii="Arial" w:hAnsi="Arial" w:cs="Arial"/>
          <w:b/>
          <w:bCs/>
          <w:sz w:val="24"/>
          <w:szCs w:val="24"/>
          <w:lang w:val="en-US"/>
        </w:rPr>
      </w:pPr>
    </w:p>
    <w:p w14:paraId="34082D0E" w14:textId="77777777" w:rsidR="00107A66" w:rsidRDefault="00107A66" w:rsidP="00107A66">
      <w:pPr>
        <w:rPr>
          <w:rFonts w:ascii="Arial" w:hAnsi="Arial" w:cs="Arial"/>
          <w:b/>
          <w:bCs/>
          <w:sz w:val="24"/>
          <w:szCs w:val="24"/>
          <w:lang w:val="en-US"/>
        </w:rPr>
      </w:pPr>
    </w:p>
    <w:p w14:paraId="1BDE6F6A" w14:textId="77777777" w:rsidR="00107A66" w:rsidRDefault="00107A66" w:rsidP="00107A66">
      <w:pPr>
        <w:rPr>
          <w:rFonts w:ascii="Arial" w:hAnsi="Arial" w:cs="Arial"/>
          <w:b/>
          <w:bCs/>
          <w:sz w:val="24"/>
          <w:szCs w:val="24"/>
          <w:lang w:val="en-US"/>
        </w:rPr>
      </w:pPr>
    </w:p>
    <w:p w14:paraId="1DF75576" w14:textId="77777777" w:rsidR="00107A66" w:rsidRDefault="00107A66" w:rsidP="00107A66">
      <w:pPr>
        <w:rPr>
          <w:rFonts w:ascii="Arial" w:hAnsi="Arial" w:cs="Arial"/>
          <w:b/>
          <w:bCs/>
          <w:sz w:val="24"/>
          <w:szCs w:val="24"/>
          <w:lang w:val="en-US"/>
        </w:rPr>
      </w:pPr>
    </w:p>
    <w:p w14:paraId="06C174B1" w14:textId="77777777" w:rsidR="00107A66" w:rsidRDefault="00107A66" w:rsidP="00107A66">
      <w:pPr>
        <w:rPr>
          <w:rFonts w:ascii="Arial" w:hAnsi="Arial" w:cs="Arial"/>
          <w:b/>
          <w:bCs/>
          <w:sz w:val="24"/>
          <w:szCs w:val="24"/>
          <w:lang w:val="en-US"/>
        </w:rPr>
      </w:pPr>
    </w:p>
    <w:p w14:paraId="3E580E23" w14:textId="77777777" w:rsidR="00107A66" w:rsidRDefault="00107A66" w:rsidP="00107A66">
      <w:pPr>
        <w:rPr>
          <w:rFonts w:ascii="Arial" w:hAnsi="Arial" w:cs="Arial"/>
          <w:b/>
          <w:bCs/>
          <w:sz w:val="24"/>
          <w:szCs w:val="24"/>
          <w:lang w:val="en-US"/>
        </w:rPr>
      </w:pPr>
    </w:p>
    <w:p w14:paraId="42793BA6" w14:textId="77777777" w:rsidR="00603114" w:rsidRDefault="00603114" w:rsidP="00107A66">
      <w:pPr>
        <w:rPr>
          <w:rFonts w:ascii="Arial" w:hAnsi="Arial" w:cs="Arial"/>
          <w:b/>
          <w:bCs/>
          <w:sz w:val="24"/>
          <w:szCs w:val="24"/>
          <w:lang w:val="en-US"/>
        </w:rPr>
      </w:pPr>
    </w:p>
    <w:p w14:paraId="63833506" w14:textId="2A7AA6A7" w:rsidR="009035F5" w:rsidRPr="00107A66" w:rsidRDefault="009035F5" w:rsidP="00107A66">
      <w:pPr>
        <w:rPr>
          <w:rFonts w:ascii="Georgia" w:hAnsi="Georgia"/>
          <w:sz w:val="28"/>
          <w:szCs w:val="28"/>
        </w:rPr>
      </w:pPr>
      <w:r w:rsidRPr="00897DFB">
        <w:rPr>
          <w:rFonts w:ascii="Arial" w:hAnsi="Arial" w:cs="Arial"/>
          <w:b/>
          <w:bCs/>
          <w:sz w:val="24"/>
          <w:szCs w:val="24"/>
          <w:lang w:val="en-US"/>
        </w:rPr>
        <w:lastRenderedPageBreak/>
        <w:t>Executive Summary</w:t>
      </w:r>
    </w:p>
    <w:p w14:paraId="662F52AD" w14:textId="5ED62D1E" w:rsidR="00682336" w:rsidRPr="00682336" w:rsidRDefault="00682336" w:rsidP="00682336">
      <w:pPr>
        <w:spacing w:line="360" w:lineRule="auto"/>
        <w:rPr>
          <w:rFonts w:ascii="Arial" w:hAnsi="Arial" w:cs="Arial"/>
          <w:sz w:val="24"/>
          <w:szCs w:val="24"/>
        </w:rPr>
      </w:pPr>
      <w:r w:rsidRPr="00682336">
        <w:rPr>
          <w:rFonts w:ascii="Arial" w:hAnsi="Arial" w:cs="Arial"/>
          <w:sz w:val="24"/>
          <w:szCs w:val="24"/>
        </w:rPr>
        <w:t>This report presents an in-depth financial analysis of The City Hotel, a hospitality business located in an urban landscape that has faced a significant decline in performance over the past three years. Despite its established presence and diversified offerings—including accommodation, dining, and event facilities—the hotel has seen a consistent decrease in revenue, profitability, and customer satisfaction. This has raised concerns about the long-term sustainability of the business, prompting the owner to seek a comprehensive assessment and potential turnaround strategy.</w:t>
      </w:r>
    </w:p>
    <w:p w14:paraId="14BC85CF" w14:textId="6403AC94" w:rsidR="00682336" w:rsidRPr="00682336" w:rsidRDefault="00682336" w:rsidP="00682336">
      <w:pPr>
        <w:spacing w:line="360" w:lineRule="auto"/>
        <w:rPr>
          <w:rFonts w:ascii="Arial" w:hAnsi="Arial" w:cs="Arial"/>
          <w:sz w:val="24"/>
          <w:szCs w:val="24"/>
        </w:rPr>
      </w:pPr>
      <w:r w:rsidRPr="00682336">
        <w:rPr>
          <w:rFonts w:ascii="Arial" w:hAnsi="Arial" w:cs="Arial"/>
          <w:sz w:val="24"/>
          <w:szCs w:val="24"/>
        </w:rPr>
        <w:t xml:space="preserve">The analysis conducted focuses on the hotel’s financial data from 2021 to 2023, evaluating key indicators such as profitability, liquidity, and solvency. The findings reveal a sharp decline in profitability, driven by a substantial drop in revenue and persistent high costs, particularly related to employee expenses. Liquidity issues have also emerged, with the current ratio falling below 1, </w:t>
      </w:r>
      <w:proofErr w:type="spellStart"/>
      <w:r w:rsidRPr="00682336">
        <w:rPr>
          <w:rFonts w:ascii="Arial" w:hAnsi="Arial" w:cs="Arial"/>
          <w:sz w:val="24"/>
          <w:szCs w:val="24"/>
        </w:rPr>
        <w:t>signaling</w:t>
      </w:r>
      <w:proofErr w:type="spellEnd"/>
      <w:r w:rsidRPr="00682336">
        <w:rPr>
          <w:rFonts w:ascii="Arial" w:hAnsi="Arial" w:cs="Arial"/>
          <w:sz w:val="24"/>
          <w:szCs w:val="24"/>
        </w:rPr>
        <w:t xml:space="preserve"> the hotel’s limited capacity to meet short-term obligations. Additionally, the increasing debt-to-equity ratio highlights a growing reliance on external financing, exacerbating financial risk.</w:t>
      </w:r>
    </w:p>
    <w:p w14:paraId="27EFEAA2" w14:textId="3ABB2A2D" w:rsidR="00682336" w:rsidRPr="00682336" w:rsidRDefault="00682336" w:rsidP="00682336">
      <w:pPr>
        <w:spacing w:line="360" w:lineRule="auto"/>
        <w:rPr>
          <w:rFonts w:ascii="Arial" w:hAnsi="Arial" w:cs="Arial"/>
          <w:sz w:val="24"/>
          <w:szCs w:val="24"/>
        </w:rPr>
      </w:pPr>
      <w:r w:rsidRPr="00682336">
        <w:rPr>
          <w:rFonts w:ascii="Arial" w:hAnsi="Arial" w:cs="Arial"/>
          <w:sz w:val="24"/>
          <w:szCs w:val="24"/>
        </w:rPr>
        <w:t>Based on the analysis, a series of strategic recommendations have been proposed to address these challenges. The turnaround plan includes cost reduction initiatives, revenue enhancement strategies, improved debt management, and better utilization of the hotel’s assets. If implemented effectively, these measures have the potential to stabilize the hotel’s financial performance, enhance customer satisfaction, and restore its reputation in the market.</w:t>
      </w:r>
    </w:p>
    <w:p w14:paraId="7105A01A" w14:textId="3D4F827A" w:rsidR="00BF60FD" w:rsidRDefault="00682336" w:rsidP="00682336">
      <w:pPr>
        <w:spacing w:line="360" w:lineRule="auto"/>
        <w:rPr>
          <w:rFonts w:ascii="Arial" w:hAnsi="Arial" w:cs="Arial"/>
          <w:sz w:val="24"/>
          <w:szCs w:val="24"/>
        </w:rPr>
      </w:pPr>
      <w:r w:rsidRPr="00682336">
        <w:rPr>
          <w:rFonts w:ascii="Arial" w:hAnsi="Arial" w:cs="Arial"/>
          <w:sz w:val="24"/>
          <w:szCs w:val="24"/>
        </w:rPr>
        <w:t>This report concludes that while the current financial outlook is concerning, a well-executed turnaround strategy could offer a feasible path to recovery, positioning The City Hotel for sustainable growth in the future.</w:t>
      </w:r>
    </w:p>
    <w:p w14:paraId="36B1E768" w14:textId="77777777" w:rsidR="008B5E0E" w:rsidRDefault="008B5E0E" w:rsidP="00682336">
      <w:pPr>
        <w:spacing w:line="360" w:lineRule="auto"/>
        <w:rPr>
          <w:rFonts w:ascii="Arial" w:hAnsi="Arial" w:cs="Arial"/>
          <w:sz w:val="24"/>
          <w:szCs w:val="24"/>
        </w:rPr>
      </w:pPr>
    </w:p>
    <w:p w14:paraId="4C077BA5" w14:textId="77777777" w:rsidR="008B5E0E" w:rsidRDefault="008B5E0E" w:rsidP="00682336">
      <w:pPr>
        <w:spacing w:line="360" w:lineRule="auto"/>
        <w:rPr>
          <w:rFonts w:ascii="Arial" w:hAnsi="Arial" w:cs="Arial"/>
          <w:sz w:val="24"/>
          <w:szCs w:val="24"/>
        </w:rPr>
      </w:pPr>
    </w:p>
    <w:p w14:paraId="797363B8" w14:textId="77777777" w:rsidR="00AE25F8" w:rsidRDefault="00AE25F8" w:rsidP="00682336">
      <w:pPr>
        <w:spacing w:line="360" w:lineRule="auto"/>
        <w:rPr>
          <w:rFonts w:ascii="Arial" w:hAnsi="Arial" w:cs="Arial"/>
          <w:sz w:val="24"/>
          <w:szCs w:val="24"/>
        </w:rPr>
      </w:pPr>
    </w:p>
    <w:p w14:paraId="6808979F" w14:textId="77777777" w:rsidR="00AE25F8" w:rsidRDefault="00AE25F8" w:rsidP="00682336">
      <w:pPr>
        <w:spacing w:line="360" w:lineRule="auto"/>
        <w:rPr>
          <w:rFonts w:ascii="Arial" w:hAnsi="Arial" w:cs="Arial"/>
          <w:sz w:val="24"/>
          <w:szCs w:val="24"/>
        </w:rPr>
      </w:pPr>
    </w:p>
    <w:p w14:paraId="1E26AB04" w14:textId="77777777" w:rsidR="00AE25F8" w:rsidRPr="00682336" w:rsidRDefault="00AE25F8" w:rsidP="00682336">
      <w:pPr>
        <w:spacing w:line="360" w:lineRule="auto"/>
        <w:rPr>
          <w:rFonts w:ascii="Arial" w:hAnsi="Arial" w:cs="Arial"/>
          <w:sz w:val="24"/>
          <w:szCs w:val="24"/>
        </w:rPr>
      </w:pPr>
    </w:p>
    <w:p w14:paraId="582AD68D" w14:textId="77777777" w:rsidR="005F5941" w:rsidRPr="005F5941" w:rsidRDefault="005F5941" w:rsidP="005F5941">
      <w:pPr>
        <w:spacing w:before="100" w:beforeAutospacing="1" w:after="100" w:afterAutospacing="1" w:line="360" w:lineRule="auto"/>
        <w:outlineLvl w:val="2"/>
        <w:rPr>
          <w:rFonts w:ascii="Arial" w:eastAsia="Times New Roman" w:hAnsi="Arial" w:cs="Arial"/>
          <w:b/>
          <w:bCs/>
          <w:sz w:val="24"/>
          <w:szCs w:val="24"/>
          <w:lang w:val="en-US"/>
        </w:rPr>
      </w:pPr>
      <w:r w:rsidRPr="005F5941">
        <w:rPr>
          <w:rFonts w:ascii="Arial" w:eastAsia="Times New Roman" w:hAnsi="Arial" w:cs="Arial"/>
          <w:b/>
          <w:bCs/>
          <w:sz w:val="24"/>
          <w:szCs w:val="24"/>
          <w:lang w:val="en-US"/>
        </w:rPr>
        <w:lastRenderedPageBreak/>
        <w:t>Table of Contents</w:t>
      </w:r>
    </w:p>
    <w:p w14:paraId="6B3D2121" w14:textId="5A64AABA" w:rsidR="00C07E3A" w:rsidRPr="00A5662E" w:rsidRDefault="00C07E3A" w:rsidP="00A5662E">
      <w:pPr>
        <w:pStyle w:val="ListParagraph"/>
        <w:numPr>
          <w:ilvl w:val="0"/>
          <w:numId w:val="23"/>
        </w:numPr>
        <w:spacing w:line="360" w:lineRule="auto"/>
        <w:rPr>
          <w:rFonts w:ascii="Arial" w:eastAsia="Times New Roman" w:hAnsi="Arial" w:cs="Arial"/>
          <w:b/>
          <w:bCs/>
          <w:sz w:val="24"/>
          <w:szCs w:val="24"/>
          <w:lang w:val="en-US"/>
        </w:rPr>
      </w:pPr>
      <w:r w:rsidRPr="00A5662E">
        <w:rPr>
          <w:rFonts w:ascii="Arial" w:eastAsia="Times New Roman" w:hAnsi="Arial" w:cs="Arial"/>
          <w:b/>
          <w:bCs/>
          <w:sz w:val="24"/>
          <w:szCs w:val="24"/>
          <w:lang w:val="en-US"/>
        </w:rPr>
        <w:t>Introduction ------------------------------------------------------------------</w:t>
      </w:r>
      <w:r w:rsidR="00E51287">
        <w:rPr>
          <w:rFonts w:ascii="Arial" w:eastAsia="Times New Roman" w:hAnsi="Arial" w:cs="Arial"/>
          <w:b/>
          <w:bCs/>
          <w:sz w:val="24"/>
          <w:szCs w:val="24"/>
          <w:lang w:val="en-US"/>
        </w:rPr>
        <w:t>---</w:t>
      </w:r>
      <w:r w:rsidRPr="00A5662E">
        <w:rPr>
          <w:rFonts w:ascii="Arial" w:eastAsia="Times New Roman" w:hAnsi="Arial" w:cs="Arial"/>
          <w:b/>
          <w:bCs/>
          <w:sz w:val="24"/>
          <w:szCs w:val="24"/>
          <w:lang w:val="en-US"/>
        </w:rPr>
        <w:t>------------</w:t>
      </w:r>
      <w:r w:rsidR="0033619F" w:rsidRPr="00A5662E">
        <w:rPr>
          <w:rFonts w:ascii="Arial" w:eastAsia="Times New Roman" w:hAnsi="Arial" w:cs="Arial"/>
          <w:b/>
          <w:bCs/>
          <w:sz w:val="24"/>
          <w:szCs w:val="24"/>
          <w:lang w:val="en-US"/>
        </w:rPr>
        <w:t xml:space="preserve"> 4</w:t>
      </w:r>
    </w:p>
    <w:p w14:paraId="232CD651" w14:textId="66F75291" w:rsidR="00C07E3A" w:rsidRPr="00A5662E" w:rsidRDefault="00C07E3A" w:rsidP="00A5662E">
      <w:pPr>
        <w:pStyle w:val="ListParagraph"/>
        <w:numPr>
          <w:ilvl w:val="0"/>
          <w:numId w:val="23"/>
        </w:numPr>
        <w:spacing w:line="360" w:lineRule="auto"/>
        <w:rPr>
          <w:rFonts w:ascii="Arial" w:eastAsia="Times New Roman" w:hAnsi="Arial" w:cs="Arial"/>
          <w:b/>
          <w:bCs/>
          <w:sz w:val="24"/>
          <w:szCs w:val="24"/>
          <w:lang w:val="en-US"/>
        </w:rPr>
      </w:pPr>
      <w:r w:rsidRPr="00A5662E">
        <w:rPr>
          <w:rFonts w:ascii="Arial" w:eastAsia="Times New Roman" w:hAnsi="Arial" w:cs="Arial"/>
          <w:b/>
          <w:bCs/>
          <w:sz w:val="24"/>
          <w:szCs w:val="24"/>
          <w:lang w:val="en-US"/>
        </w:rPr>
        <w:t>Financial</w:t>
      </w:r>
      <w:r w:rsidRPr="00A5662E">
        <w:rPr>
          <w:rFonts w:ascii="Arial" w:eastAsia="Times New Roman" w:hAnsi="Arial" w:cs="Arial"/>
          <w:b/>
          <w:bCs/>
          <w:sz w:val="24"/>
          <w:szCs w:val="24"/>
          <w:lang w:val="en-US"/>
        </w:rPr>
        <w:t xml:space="preserve"> Performance Analysis</w:t>
      </w:r>
      <w:r w:rsidR="0033619F" w:rsidRPr="00A5662E">
        <w:rPr>
          <w:rFonts w:ascii="Arial" w:eastAsia="Times New Roman" w:hAnsi="Arial" w:cs="Arial"/>
          <w:b/>
          <w:bCs/>
          <w:sz w:val="24"/>
          <w:szCs w:val="24"/>
          <w:lang w:val="en-US"/>
        </w:rPr>
        <w:t xml:space="preserve"> ------------------------------------------------------5</w:t>
      </w:r>
    </w:p>
    <w:p w14:paraId="0A26A77D" w14:textId="62F67DBB" w:rsidR="00C07E3A" w:rsidRPr="00C07E3A" w:rsidRDefault="00C07E3A" w:rsidP="00A5662E">
      <w:pPr>
        <w:numPr>
          <w:ilvl w:val="0"/>
          <w:numId w:val="20"/>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2.1 Revenue Trends</w:t>
      </w:r>
      <w:r w:rsidR="0033619F" w:rsidRPr="00A5662E">
        <w:rPr>
          <w:rFonts w:ascii="Arial" w:eastAsia="Times New Roman" w:hAnsi="Arial" w:cs="Arial"/>
          <w:sz w:val="24"/>
          <w:szCs w:val="24"/>
          <w:lang w:val="en-US"/>
        </w:rPr>
        <w:t xml:space="preserve"> ----------------------------------------------------------------------</w:t>
      </w:r>
      <w:r w:rsidR="00E51287">
        <w:rPr>
          <w:rFonts w:ascii="Arial" w:eastAsia="Times New Roman" w:hAnsi="Arial" w:cs="Arial"/>
          <w:sz w:val="24"/>
          <w:szCs w:val="24"/>
          <w:lang w:val="en-US"/>
        </w:rPr>
        <w:t>-</w:t>
      </w:r>
      <w:r w:rsidR="0033619F" w:rsidRPr="00A5662E">
        <w:rPr>
          <w:rFonts w:ascii="Arial" w:eastAsia="Times New Roman" w:hAnsi="Arial" w:cs="Arial"/>
          <w:sz w:val="24"/>
          <w:szCs w:val="24"/>
          <w:lang w:val="en-US"/>
        </w:rPr>
        <w:t>-</w:t>
      </w:r>
      <w:r w:rsidR="0033619F" w:rsidRPr="00A5662E">
        <w:rPr>
          <w:rFonts w:ascii="Arial" w:eastAsia="Times New Roman" w:hAnsi="Arial" w:cs="Arial"/>
          <w:b/>
          <w:bCs/>
          <w:sz w:val="24"/>
          <w:szCs w:val="24"/>
          <w:lang w:val="en-US"/>
        </w:rPr>
        <w:t>5</w:t>
      </w:r>
    </w:p>
    <w:p w14:paraId="07F41385" w14:textId="5E5062EF" w:rsidR="00C07E3A" w:rsidRPr="00C07E3A" w:rsidRDefault="00C07E3A" w:rsidP="00A5662E">
      <w:pPr>
        <w:numPr>
          <w:ilvl w:val="0"/>
          <w:numId w:val="20"/>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2.2 Expense Analysis</w:t>
      </w:r>
      <w:r w:rsidR="0033619F" w:rsidRPr="00A5662E">
        <w:rPr>
          <w:rFonts w:ascii="Arial" w:eastAsia="Times New Roman" w:hAnsi="Arial" w:cs="Arial"/>
          <w:sz w:val="24"/>
          <w:szCs w:val="24"/>
          <w:lang w:val="en-US"/>
        </w:rPr>
        <w:t xml:space="preserve"> ---------------------------------------------------------------------</w:t>
      </w:r>
      <w:r w:rsidR="0033619F" w:rsidRPr="00A5662E">
        <w:rPr>
          <w:rFonts w:ascii="Arial" w:eastAsia="Times New Roman" w:hAnsi="Arial" w:cs="Arial"/>
          <w:b/>
          <w:bCs/>
          <w:sz w:val="24"/>
          <w:szCs w:val="24"/>
          <w:lang w:val="en-US"/>
        </w:rPr>
        <w:t>5</w:t>
      </w:r>
    </w:p>
    <w:p w14:paraId="399D9621" w14:textId="1575F3A5" w:rsidR="00C07E3A" w:rsidRPr="00C07E3A" w:rsidRDefault="00C07E3A" w:rsidP="00A5662E">
      <w:pPr>
        <w:numPr>
          <w:ilvl w:val="0"/>
          <w:numId w:val="20"/>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2.3 Profitability Assessment</w:t>
      </w:r>
      <w:r w:rsidR="0033619F" w:rsidRPr="00A5662E">
        <w:rPr>
          <w:rFonts w:ascii="Arial" w:eastAsia="Times New Roman" w:hAnsi="Arial" w:cs="Arial"/>
          <w:sz w:val="24"/>
          <w:szCs w:val="24"/>
          <w:lang w:val="en-US"/>
        </w:rPr>
        <w:t xml:space="preserve"> -------------------------------------------------------------</w:t>
      </w:r>
      <w:r w:rsidR="0033619F" w:rsidRPr="00A5662E">
        <w:rPr>
          <w:rFonts w:ascii="Arial" w:eastAsia="Times New Roman" w:hAnsi="Arial" w:cs="Arial"/>
          <w:b/>
          <w:bCs/>
          <w:sz w:val="24"/>
          <w:szCs w:val="24"/>
          <w:lang w:val="en-US"/>
        </w:rPr>
        <w:t>6</w:t>
      </w:r>
    </w:p>
    <w:p w14:paraId="6063AFD9" w14:textId="4CF04B2E" w:rsidR="000269AB" w:rsidRPr="00A5662E" w:rsidRDefault="00C07E3A" w:rsidP="00A5662E">
      <w:pPr>
        <w:numPr>
          <w:ilvl w:val="0"/>
          <w:numId w:val="20"/>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2.4 Liquidity and Solvency Evaluation</w:t>
      </w:r>
      <w:r w:rsidR="000269AB" w:rsidRPr="00A5662E">
        <w:rPr>
          <w:rFonts w:ascii="Arial" w:eastAsia="Times New Roman" w:hAnsi="Arial" w:cs="Arial"/>
          <w:sz w:val="24"/>
          <w:szCs w:val="24"/>
          <w:lang w:val="en-US"/>
        </w:rPr>
        <w:t>-----------------------------------------------</w:t>
      </w:r>
      <w:r w:rsidR="00E51287">
        <w:rPr>
          <w:rFonts w:ascii="Arial" w:eastAsia="Times New Roman" w:hAnsi="Arial" w:cs="Arial"/>
          <w:sz w:val="24"/>
          <w:szCs w:val="24"/>
          <w:lang w:val="en-US"/>
        </w:rPr>
        <w:t>-</w:t>
      </w:r>
      <w:r w:rsidR="000269AB" w:rsidRPr="00A5662E">
        <w:rPr>
          <w:rFonts w:ascii="Arial" w:eastAsia="Times New Roman" w:hAnsi="Arial" w:cs="Arial"/>
          <w:sz w:val="24"/>
          <w:szCs w:val="24"/>
          <w:lang w:val="en-US"/>
        </w:rPr>
        <w:t>--</w:t>
      </w:r>
      <w:r w:rsidR="0033619F" w:rsidRPr="00A5662E">
        <w:rPr>
          <w:rFonts w:ascii="Arial" w:eastAsia="Times New Roman" w:hAnsi="Arial" w:cs="Arial"/>
          <w:b/>
          <w:bCs/>
          <w:sz w:val="24"/>
          <w:szCs w:val="24"/>
          <w:lang w:val="en-US"/>
        </w:rPr>
        <w:t>6</w:t>
      </w:r>
    </w:p>
    <w:p w14:paraId="13ED73CD" w14:textId="160FF00F" w:rsidR="00C07E3A" w:rsidRPr="00A5662E" w:rsidRDefault="00C07E3A" w:rsidP="00A5662E">
      <w:pPr>
        <w:pStyle w:val="ListParagraph"/>
        <w:numPr>
          <w:ilvl w:val="0"/>
          <w:numId w:val="23"/>
        </w:numPr>
        <w:spacing w:before="100" w:beforeAutospacing="1" w:after="100" w:afterAutospacing="1" w:line="360" w:lineRule="auto"/>
        <w:rPr>
          <w:rFonts w:ascii="Arial" w:eastAsia="Times New Roman" w:hAnsi="Arial" w:cs="Arial"/>
          <w:sz w:val="24"/>
          <w:szCs w:val="24"/>
          <w:lang w:val="en-US"/>
        </w:rPr>
      </w:pPr>
      <w:r w:rsidRPr="00A5662E">
        <w:rPr>
          <w:rFonts w:ascii="Arial" w:eastAsia="Times New Roman" w:hAnsi="Arial" w:cs="Arial"/>
          <w:b/>
          <w:bCs/>
          <w:sz w:val="24"/>
          <w:szCs w:val="24"/>
          <w:lang w:val="en-US"/>
        </w:rPr>
        <w:t>Key</w:t>
      </w:r>
      <w:r w:rsidRPr="00A5662E">
        <w:rPr>
          <w:rFonts w:ascii="Arial" w:eastAsia="Times New Roman" w:hAnsi="Arial" w:cs="Arial"/>
          <w:b/>
          <w:bCs/>
          <w:sz w:val="24"/>
          <w:szCs w:val="24"/>
          <w:lang w:val="en-US"/>
        </w:rPr>
        <w:t xml:space="preserve"> Reasons for Decline</w:t>
      </w:r>
      <w:r w:rsidR="000269AB" w:rsidRPr="00A5662E">
        <w:rPr>
          <w:rFonts w:ascii="Arial" w:eastAsia="Times New Roman" w:hAnsi="Arial" w:cs="Arial"/>
          <w:b/>
          <w:bCs/>
          <w:sz w:val="24"/>
          <w:szCs w:val="24"/>
          <w:lang w:val="en-US"/>
        </w:rPr>
        <w:t>----------------------------------------------------------------7</w:t>
      </w:r>
    </w:p>
    <w:p w14:paraId="178043BC" w14:textId="7C97204C" w:rsidR="00C07E3A" w:rsidRPr="00C07E3A" w:rsidRDefault="00C07E3A" w:rsidP="00A5662E">
      <w:pPr>
        <w:numPr>
          <w:ilvl w:val="0"/>
          <w:numId w:val="21"/>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3.1 Economic Conditions and Changing Consumer Behavior</w:t>
      </w:r>
      <w:r w:rsidR="000269AB" w:rsidRPr="00A5662E">
        <w:rPr>
          <w:rFonts w:ascii="Arial" w:eastAsia="Times New Roman" w:hAnsi="Arial" w:cs="Arial"/>
          <w:sz w:val="24"/>
          <w:szCs w:val="24"/>
          <w:lang w:val="en-US"/>
        </w:rPr>
        <w:t>----------------------</w:t>
      </w:r>
      <w:r w:rsidR="000269AB" w:rsidRPr="00A5662E">
        <w:rPr>
          <w:rFonts w:ascii="Arial" w:eastAsia="Times New Roman" w:hAnsi="Arial" w:cs="Arial"/>
          <w:b/>
          <w:bCs/>
          <w:sz w:val="24"/>
          <w:szCs w:val="24"/>
          <w:lang w:val="en-US"/>
        </w:rPr>
        <w:t>7</w:t>
      </w:r>
    </w:p>
    <w:p w14:paraId="2EB348FB" w14:textId="61E15460" w:rsidR="00C07E3A" w:rsidRPr="00C07E3A" w:rsidRDefault="00C07E3A" w:rsidP="00A5662E">
      <w:pPr>
        <w:numPr>
          <w:ilvl w:val="0"/>
          <w:numId w:val="21"/>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3.2 Market Competition and Industry Trends</w:t>
      </w:r>
      <w:r w:rsidR="000269AB" w:rsidRPr="00A5662E">
        <w:rPr>
          <w:rFonts w:ascii="Arial" w:eastAsia="Times New Roman" w:hAnsi="Arial" w:cs="Arial"/>
          <w:sz w:val="24"/>
          <w:szCs w:val="24"/>
          <w:lang w:val="en-US"/>
        </w:rPr>
        <w:t>-----------------------------------------</w:t>
      </w:r>
      <w:r w:rsidR="000269AB" w:rsidRPr="00A5662E">
        <w:rPr>
          <w:rFonts w:ascii="Arial" w:eastAsia="Times New Roman" w:hAnsi="Arial" w:cs="Arial"/>
          <w:b/>
          <w:bCs/>
          <w:sz w:val="24"/>
          <w:szCs w:val="24"/>
          <w:lang w:val="en-US"/>
        </w:rPr>
        <w:t>7</w:t>
      </w:r>
    </w:p>
    <w:p w14:paraId="2F039C2D" w14:textId="3981142E" w:rsidR="00C07E3A" w:rsidRPr="00C07E3A" w:rsidRDefault="00C07E3A" w:rsidP="00A5662E">
      <w:pPr>
        <w:numPr>
          <w:ilvl w:val="0"/>
          <w:numId w:val="21"/>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3.3 Operational Inefficiencies and High Fixed Costs</w:t>
      </w:r>
      <w:r w:rsidR="000269AB" w:rsidRPr="00A5662E">
        <w:rPr>
          <w:rFonts w:ascii="Arial" w:eastAsia="Times New Roman" w:hAnsi="Arial" w:cs="Arial"/>
          <w:sz w:val="24"/>
          <w:szCs w:val="24"/>
          <w:lang w:val="en-US"/>
        </w:rPr>
        <w:t>-------------------------------</w:t>
      </w:r>
      <w:r w:rsidR="000269AB" w:rsidRPr="00A5662E">
        <w:rPr>
          <w:rFonts w:ascii="Arial" w:eastAsia="Times New Roman" w:hAnsi="Arial" w:cs="Arial"/>
          <w:b/>
          <w:bCs/>
          <w:sz w:val="24"/>
          <w:szCs w:val="24"/>
          <w:lang w:val="en-US"/>
        </w:rPr>
        <w:t>7</w:t>
      </w:r>
    </w:p>
    <w:p w14:paraId="388B3FC4" w14:textId="3705F497" w:rsidR="00C07E3A" w:rsidRPr="00C07E3A" w:rsidRDefault="00C07E3A" w:rsidP="00A5662E">
      <w:pPr>
        <w:numPr>
          <w:ilvl w:val="0"/>
          <w:numId w:val="21"/>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3.4 Customer Expectations and Digital Experience Gaps</w:t>
      </w:r>
      <w:r w:rsidR="000269AB" w:rsidRPr="00A5662E">
        <w:rPr>
          <w:rFonts w:ascii="Arial" w:eastAsia="Times New Roman" w:hAnsi="Arial" w:cs="Arial"/>
          <w:sz w:val="24"/>
          <w:szCs w:val="24"/>
          <w:lang w:val="en-US"/>
        </w:rPr>
        <w:t>------------------------</w:t>
      </w:r>
      <w:r w:rsidR="000269AB" w:rsidRPr="00A5662E">
        <w:rPr>
          <w:rFonts w:ascii="Arial" w:eastAsia="Times New Roman" w:hAnsi="Arial" w:cs="Arial"/>
          <w:b/>
          <w:bCs/>
          <w:sz w:val="24"/>
          <w:szCs w:val="24"/>
          <w:lang w:val="en-US"/>
        </w:rPr>
        <w:t>8</w:t>
      </w:r>
    </w:p>
    <w:p w14:paraId="511A1EBD" w14:textId="7365CD60" w:rsidR="00C07E3A" w:rsidRPr="00C07E3A" w:rsidRDefault="00C07E3A" w:rsidP="00A5662E">
      <w:pPr>
        <w:numPr>
          <w:ilvl w:val="0"/>
          <w:numId w:val="21"/>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3.5 High Leverage and Debt-Related Financial Constraints</w:t>
      </w:r>
      <w:r w:rsidR="000269AB" w:rsidRPr="00A5662E">
        <w:rPr>
          <w:rFonts w:ascii="Arial" w:eastAsia="Times New Roman" w:hAnsi="Arial" w:cs="Arial"/>
          <w:sz w:val="24"/>
          <w:szCs w:val="24"/>
          <w:lang w:val="en-US"/>
        </w:rPr>
        <w:t>------------------------</w:t>
      </w:r>
      <w:r w:rsidR="000269AB" w:rsidRPr="00A5662E">
        <w:rPr>
          <w:rFonts w:ascii="Arial" w:eastAsia="Times New Roman" w:hAnsi="Arial" w:cs="Arial"/>
          <w:b/>
          <w:bCs/>
          <w:sz w:val="24"/>
          <w:szCs w:val="24"/>
          <w:lang w:val="en-US"/>
        </w:rPr>
        <w:t>8</w:t>
      </w:r>
    </w:p>
    <w:p w14:paraId="721A1F02" w14:textId="26D9F7D2" w:rsidR="00C07E3A" w:rsidRPr="00A5662E" w:rsidRDefault="00C07E3A" w:rsidP="00A5662E">
      <w:pPr>
        <w:pStyle w:val="ListParagraph"/>
        <w:numPr>
          <w:ilvl w:val="0"/>
          <w:numId w:val="23"/>
        </w:numPr>
        <w:spacing w:line="360" w:lineRule="auto"/>
        <w:rPr>
          <w:rFonts w:ascii="Arial" w:eastAsia="Times New Roman" w:hAnsi="Arial" w:cs="Arial"/>
          <w:sz w:val="24"/>
          <w:szCs w:val="24"/>
          <w:lang w:val="en-US"/>
        </w:rPr>
      </w:pPr>
      <w:r w:rsidRPr="00A5662E">
        <w:rPr>
          <w:rFonts w:ascii="Arial" w:eastAsia="Times New Roman" w:hAnsi="Arial" w:cs="Arial"/>
          <w:b/>
          <w:bCs/>
          <w:sz w:val="24"/>
          <w:szCs w:val="24"/>
          <w:lang w:val="en-US"/>
        </w:rPr>
        <w:t>Turnaround</w:t>
      </w:r>
      <w:r w:rsidRPr="00A5662E">
        <w:rPr>
          <w:rFonts w:ascii="Arial" w:eastAsia="Times New Roman" w:hAnsi="Arial" w:cs="Arial"/>
          <w:b/>
          <w:bCs/>
          <w:sz w:val="24"/>
          <w:szCs w:val="24"/>
          <w:lang w:val="en-US"/>
        </w:rPr>
        <w:t xml:space="preserve"> Strategy</w:t>
      </w:r>
      <w:r w:rsidR="00E73981" w:rsidRPr="00A5662E">
        <w:rPr>
          <w:rFonts w:ascii="Arial" w:eastAsia="Times New Roman" w:hAnsi="Arial" w:cs="Arial"/>
          <w:b/>
          <w:bCs/>
          <w:sz w:val="24"/>
          <w:szCs w:val="24"/>
          <w:lang w:val="en-US"/>
        </w:rPr>
        <w:t>--------------------------------------------------------------</w:t>
      </w:r>
      <w:r w:rsidR="00E51287">
        <w:rPr>
          <w:rFonts w:ascii="Arial" w:eastAsia="Times New Roman" w:hAnsi="Arial" w:cs="Arial"/>
          <w:b/>
          <w:bCs/>
          <w:sz w:val="24"/>
          <w:szCs w:val="24"/>
          <w:lang w:val="en-US"/>
        </w:rPr>
        <w:t>--</w:t>
      </w:r>
      <w:r w:rsidR="00E73981" w:rsidRPr="00A5662E">
        <w:rPr>
          <w:rFonts w:ascii="Arial" w:eastAsia="Times New Roman" w:hAnsi="Arial" w:cs="Arial"/>
          <w:b/>
          <w:bCs/>
          <w:sz w:val="24"/>
          <w:szCs w:val="24"/>
          <w:lang w:val="en-US"/>
        </w:rPr>
        <w:t>-----</w:t>
      </w:r>
      <w:r w:rsidR="00C109CA" w:rsidRPr="00A5662E">
        <w:rPr>
          <w:rFonts w:ascii="Arial" w:eastAsia="Times New Roman" w:hAnsi="Arial" w:cs="Arial"/>
          <w:b/>
          <w:bCs/>
          <w:sz w:val="24"/>
          <w:szCs w:val="24"/>
          <w:lang w:val="en-US"/>
        </w:rPr>
        <w:t>9</w:t>
      </w:r>
    </w:p>
    <w:p w14:paraId="6F249492" w14:textId="386B99DE" w:rsidR="00C07E3A" w:rsidRPr="00C07E3A" w:rsidRDefault="00C07E3A" w:rsidP="00A5662E">
      <w:pPr>
        <w:numPr>
          <w:ilvl w:val="0"/>
          <w:numId w:val="22"/>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4.1 Revenue Growth and Market Repositioning</w:t>
      </w:r>
      <w:r w:rsidR="00C109CA" w:rsidRPr="00A5662E">
        <w:rPr>
          <w:rFonts w:ascii="Arial" w:eastAsia="Times New Roman" w:hAnsi="Arial" w:cs="Arial"/>
          <w:sz w:val="24"/>
          <w:szCs w:val="24"/>
          <w:lang w:val="en-US"/>
        </w:rPr>
        <w:t>-------------------------------------</w:t>
      </w:r>
      <w:r w:rsidR="00C109CA" w:rsidRPr="00A5662E">
        <w:rPr>
          <w:rFonts w:ascii="Arial" w:eastAsia="Times New Roman" w:hAnsi="Arial" w:cs="Arial"/>
          <w:b/>
          <w:bCs/>
          <w:sz w:val="24"/>
          <w:szCs w:val="24"/>
          <w:lang w:val="en-US"/>
        </w:rPr>
        <w:t>9</w:t>
      </w:r>
    </w:p>
    <w:p w14:paraId="6964A730" w14:textId="602A09A9" w:rsidR="00C07E3A" w:rsidRPr="00C07E3A" w:rsidRDefault="00C07E3A" w:rsidP="00A5662E">
      <w:pPr>
        <w:numPr>
          <w:ilvl w:val="0"/>
          <w:numId w:val="22"/>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4.2 Cost Optimization and Operational Efficiency</w:t>
      </w:r>
      <w:r w:rsidR="00C109CA" w:rsidRPr="00A5662E">
        <w:rPr>
          <w:rFonts w:ascii="Arial" w:eastAsia="Times New Roman" w:hAnsi="Arial" w:cs="Arial"/>
          <w:sz w:val="24"/>
          <w:szCs w:val="24"/>
          <w:lang w:val="en-US"/>
        </w:rPr>
        <w:t>---------------------------------</w:t>
      </w:r>
      <w:r w:rsidR="00C109CA" w:rsidRPr="00A5662E">
        <w:rPr>
          <w:rFonts w:ascii="Arial" w:eastAsia="Times New Roman" w:hAnsi="Arial" w:cs="Arial"/>
          <w:b/>
          <w:bCs/>
          <w:sz w:val="24"/>
          <w:szCs w:val="24"/>
          <w:lang w:val="en-US"/>
        </w:rPr>
        <w:t>9</w:t>
      </w:r>
    </w:p>
    <w:p w14:paraId="556EC9E8" w14:textId="5F732A49" w:rsidR="00C07E3A" w:rsidRPr="00C07E3A" w:rsidRDefault="00C07E3A" w:rsidP="00A5662E">
      <w:pPr>
        <w:numPr>
          <w:ilvl w:val="0"/>
          <w:numId w:val="22"/>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4.3 Financial Restructuring and Debt Management</w:t>
      </w:r>
      <w:r w:rsidR="00C109CA" w:rsidRPr="00A5662E">
        <w:rPr>
          <w:rFonts w:ascii="Arial" w:eastAsia="Times New Roman" w:hAnsi="Arial" w:cs="Arial"/>
          <w:sz w:val="24"/>
          <w:szCs w:val="24"/>
          <w:lang w:val="en-US"/>
        </w:rPr>
        <w:t>------------------------------</w:t>
      </w:r>
      <w:r w:rsidR="00C109CA" w:rsidRPr="00A5662E">
        <w:rPr>
          <w:rFonts w:ascii="Arial" w:eastAsia="Times New Roman" w:hAnsi="Arial" w:cs="Arial"/>
          <w:b/>
          <w:bCs/>
          <w:sz w:val="24"/>
          <w:szCs w:val="24"/>
          <w:lang w:val="en-US"/>
        </w:rPr>
        <w:t>10</w:t>
      </w:r>
    </w:p>
    <w:p w14:paraId="1644B196" w14:textId="7FAB463D" w:rsidR="00C07E3A" w:rsidRPr="00C07E3A" w:rsidRDefault="00C07E3A" w:rsidP="00A5662E">
      <w:pPr>
        <w:numPr>
          <w:ilvl w:val="0"/>
          <w:numId w:val="22"/>
        </w:numPr>
        <w:spacing w:before="100" w:beforeAutospacing="1" w:after="100" w:afterAutospacing="1" w:line="360" w:lineRule="auto"/>
        <w:rPr>
          <w:rFonts w:ascii="Arial" w:eastAsia="Times New Roman" w:hAnsi="Arial" w:cs="Arial"/>
          <w:sz w:val="24"/>
          <w:szCs w:val="24"/>
          <w:lang w:val="en-US"/>
        </w:rPr>
      </w:pPr>
      <w:r w:rsidRPr="00C07E3A">
        <w:rPr>
          <w:rFonts w:ascii="Arial" w:eastAsia="Times New Roman" w:hAnsi="Arial" w:cs="Arial"/>
          <w:sz w:val="24"/>
          <w:szCs w:val="24"/>
          <w:lang w:val="en-US"/>
        </w:rPr>
        <w:t>4.4 Enhancing Customer Experience and Digital Modernization</w:t>
      </w:r>
      <w:r w:rsidR="00C109CA" w:rsidRPr="00A5662E">
        <w:rPr>
          <w:rFonts w:ascii="Arial" w:eastAsia="Times New Roman" w:hAnsi="Arial" w:cs="Arial"/>
          <w:sz w:val="24"/>
          <w:szCs w:val="24"/>
          <w:lang w:val="en-US"/>
        </w:rPr>
        <w:t>----------------</w:t>
      </w:r>
      <w:r w:rsidR="00C109CA" w:rsidRPr="00A5662E">
        <w:rPr>
          <w:rFonts w:ascii="Arial" w:eastAsia="Times New Roman" w:hAnsi="Arial" w:cs="Arial"/>
          <w:b/>
          <w:bCs/>
          <w:sz w:val="24"/>
          <w:szCs w:val="24"/>
          <w:lang w:val="en-US"/>
        </w:rPr>
        <w:t>10</w:t>
      </w:r>
    </w:p>
    <w:p w14:paraId="645D74F9" w14:textId="127D17A7" w:rsidR="00C07E3A" w:rsidRPr="00A5662E" w:rsidRDefault="00C07E3A" w:rsidP="00A5662E">
      <w:pPr>
        <w:pStyle w:val="ListParagraph"/>
        <w:numPr>
          <w:ilvl w:val="0"/>
          <w:numId w:val="23"/>
        </w:numPr>
        <w:spacing w:line="360" w:lineRule="auto"/>
        <w:rPr>
          <w:rFonts w:ascii="Arial" w:eastAsia="Times New Roman" w:hAnsi="Arial" w:cs="Arial"/>
          <w:b/>
          <w:bCs/>
          <w:sz w:val="24"/>
          <w:szCs w:val="24"/>
          <w:lang w:val="en-US"/>
        </w:rPr>
      </w:pPr>
      <w:r w:rsidRPr="00A5662E">
        <w:rPr>
          <w:rFonts w:ascii="Arial" w:eastAsia="Times New Roman" w:hAnsi="Arial" w:cs="Arial"/>
          <w:b/>
          <w:bCs/>
          <w:sz w:val="24"/>
          <w:szCs w:val="24"/>
          <w:lang w:val="en-US"/>
        </w:rPr>
        <w:t>Conclusion</w:t>
      </w:r>
      <w:r w:rsidR="00CC5760" w:rsidRPr="00A5662E">
        <w:rPr>
          <w:rFonts w:ascii="Arial" w:eastAsia="Times New Roman" w:hAnsi="Arial" w:cs="Arial"/>
          <w:b/>
          <w:bCs/>
          <w:sz w:val="24"/>
          <w:szCs w:val="24"/>
          <w:lang w:val="en-US"/>
        </w:rPr>
        <w:t>------------------------------------------------------------------------------12</w:t>
      </w:r>
    </w:p>
    <w:p w14:paraId="705D581C" w14:textId="78832085" w:rsidR="00C07E3A" w:rsidRPr="00A5662E" w:rsidRDefault="00C07E3A" w:rsidP="00A5662E">
      <w:pPr>
        <w:pStyle w:val="ListParagraph"/>
        <w:numPr>
          <w:ilvl w:val="0"/>
          <w:numId w:val="23"/>
        </w:numPr>
        <w:spacing w:line="360" w:lineRule="auto"/>
        <w:rPr>
          <w:rFonts w:ascii="Arial" w:eastAsia="Times New Roman" w:hAnsi="Arial" w:cs="Arial"/>
          <w:b/>
          <w:bCs/>
          <w:sz w:val="24"/>
          <w:szCs w:val="24"/>
          <w:lang w:val="en-US"/>
        </w:rPr>
      </w:pPr>
      <w:r w:rsidRPr="00A5662E">
        <w:rPr>
          <w:rFonts w:ascii="Arial" w:eastAsia="Times New Roman" w:hAnsi="Arial" w:cs="Arial"/>
          <w:b/>
          <w:bCs/>
          <w:sz w:val="24"/>
          <w:szCs w:val="24"/>
          <w:lang w:val="en-US"/>
        </w:rPr>
        <w:t>Recommendations</w:t>
      </w:r>
      <w:r w:rsidR="00CC5760" w:rsidRPr="00A5662E">
        <w:rPr>
          <w:rFonts w:ascii="Arial" w:eastAsia="Times New Roman" w:hAnsi="Arial" w:cs="Arial"/>
          <w:b/>
          <w:bCs/>
          <w:sz w:val="24"/>
          <w:szCs w:val="24"/>
          <w:lang w:val="en-US"/>
        </w:rPr>
        <w:t>------------------------------------------------------------------13</w:t>
      </w:r>
    </w:p>
    <w:p w14:paraId="7245B313" w14:textId="64B5490B" w:rsidR="00D64F6C" w:rsidRPr="00A5662E" w:rsidRDefault="00C07E3A" w:rsidP="00A5662E">
      <w:pPr>
        <w:pStyle w:val="ListParagraph"/>
        <w:numPr>
          <w:ilvl w:val="0"/>
          <w:numId w:val="23"/>
        </w:numPr>
        <w:spacing w:line="360" w:lineRule="auto"/>
        <w:rPr>
          <w:rFonts w:ascii="Arial" w:eastAsia="Times New Roman" w:hAnsi="Arial" w:cs="Arial"/>
          <w:b/>
          <w:bCs/>
          <w:sz w:val="24"/>
          <w:szCs w:val="24"/>
          <w:lang w:val="en-US"/>
        </w:rPr>
      </w:pPr>
      <w:r w:rsidRPr="00A5662E">
        <w:rPr>
          <w:rFonts w:ascii="Arial" w:eastAsia="Times New Roman" w:hAnsi="Arial" w:cs="Arial"/>
          <w:b/>
          <w:bCs/>
          <w:sz w:val="24"/>
          <w:szCs w:val="24"/>
          <w:lang w:val="en-US"/>
        </w:rPr>
        <w:t>References</w:t>
      </w:r>
      <w:r w:rsidR="00CC5760" w:rsidRPr="00A5662E">
        <w:rPr>
          <w:rFonts w:ascii="Arial" w:eastAsia="Times New Roman" w:hAnsi="Arial" w:cs="Arial"/>
          <w:b/>
          <w:bCs/>
          <w:sz w:val="24"/>
          <w:szCs w:val="24"/>
          <w:lang w:val="en-US"/>
        </w:rPr>
        <w:t>------------------------------------------------------------------------------14</w:t>
      </w:r>
    </w:p>
    <w:p w14:paraId="00E70BCE" w14:textId="77777777" w:rsidR="00D64F6C" w:rsidRPr="00A5662E" w:rsidRDefault="00D64F6C" w:rsidP="00A5662E">
      <w:pPr>
        <w:spacing w:line="360" w:lineRule="auto"/>
        <w:rPr>
          <w:rFonts w:ascii="Arial" w:eastAsia="Times New Roman" w:hAnsi="Arial" w:cs="Arial"/>
          <w:b/>
          <w:bCs/>
          <w:sz w:val="24"/>
          <w:szCs w:val="24"/>
          <w:lang w:val="en-US"/>
        </w:rPr>
      </w:pPr>
    </w:p>
    <w:p w14:paraId="6D6A8F64" w14:textId="77777777" w:rsidR="00D64F6C" w:rsidRPr="00A5662E" w:rsidRDefault="00D64F6C" w:rsidP="00A5662E">
      <w:pPr>
        <w:spacing w:line="360" w:lineRule="auto"/>
        <w:rPr>
          <w:rFonts w:ascii="Arial" w:eastAsia="Times New Roman" w:hAnsi="Arial" w:cs="Arial"/>
          <w:b/>
          <w:bCs/>
          <w:sz w:val="24"/>
          <w:szCs w:val="24"/>
          <w:lang w:val="en-US"/>
        </w:rPr>
      </w:pPr>
    </w:p>
    <w:p w14:paraId="5EBABFB4" w14:textId="77777777" w:rsidR="00D64F6C" w:rsidRPr="00A5662E" w:rsidRDefault="00D64F6C" w:rsidP="00A5662E">
      <w:pPr>
        <w:spacing w:line="360" w:lineRule="auto"/>
        <w:rPr>
          <w:rFonts w:ascii="Arial" w:eastAsia="Times New Roman" w:hAnsi="Arial" w:cs="Arial"/>
          <w:b/>
          <w:bCs/>
          <w:sz w:val="24"/>
          <w:szCs w:val="24"/>
          <w:lang w:val="en-US"/>
        </w:rPr>
      </w:pPr>
    </w:p>
    <w:p w14:paraId="57CE3118" w14:textId="77777777" w:rsidR="0033619F" w:rsidRPr="00A5662E" w:rsidRDefault="0033619F" w:rsidP="00A5662E">
      <w:pPr>
        <w:spacing w:line="360" w:lineRule="auto"/>
        <w:rPr>
          <w:rFonts w:ascii="Arial" w:eastAsia="Times New Roman" w:hAnsi="Arial" w:cs="Arial"/>
          <w:b/>
          <w:bCs/>
          <w:sz w:val="24"/>
          <w:szCs w:val="24"/>
          <w:lang w:val="en-US"/>
        </w:rPr>
      </w:pPr>
    </w:p>
    <w:p w14:paraId="3AC2CD30" w14:textId="77777777" w:rsidR="0033619F" w:rsidRDefault="0033619F" w:rsidP="00BF60FD">
      <w:pPr>
        <w:spacing w:line="720" w:lineRule="auto"/>
        <w:rPr>
          <w:rFonts w:ascii="Arial" w:eastAsia="Times New Roman" w:hAnsi="Arial" w:cs="Arial"/>
          <w:b/>
          <w:bCs/>
          <w:sz w:val="24"/>
          <w:szCs w:val="24"/>
          <w:lang w:val="en-US"/>
        </w:rPr>
      </w:pPr>
    </w:p>
    <w:p w14:paraId="73E0F804" w14:textId="3A93A32E" w:rsidR="00893D6E" w:rsidRPr="00FC4628" w:rsidRDefault="0044436C" w:rsidP="00FC4628">
      <w:pPr>
        <w:spacing w:line="360" w:lineRule="auto"/>
        <w:rPr>
          <w:rFonts w:ascii="Arial" w:hAnsi="Arial" w:cs="Arial"/>
          <w:b/>
          <w:bCs/>
          <w:sz w:val="24"/>
          <w:szCs w:val="24"/>
          <w:lang w:val="en-US"/>
        </w:rPr>
      </w:pPr>
      <w:r w:rsidRPr="00FC4628">
        <w:rPr>
          <w:rFonts w:ascii="Arial" w:hAnsi="Arial" w:cs="Arial"/>
          <w:b/>
          <w:bCs/>
          <w:sz w:val="24"/>
          <w:szCs w:val="24"/>
          <w:lang w:val="en-US"/>
        </w:rPr>
        <w:lastRenderedPageBreak/>
        <w:t>1.</w:t>
      </w:r>
      <w:r w:rsidR="00587CED" w:rsidRPr="00FC4628">
        <w:rPr>
          <w:rFonts w:ascii="Arial" w:hAnsi="Arial" w:cs="Arial"/>
          <w:b/>
          <w:bCs/>
          <w:sz w:val="24"/>
          <w:szCs w:val="24"/>
          <w:lang w:val="en-US"/>
        </w:rPr>
        <w:t>Introduction</w:t>
      </w:r>
    </w:p>
    <w:p w14:paraId="3E5998BD" w14:textId="77777777" w:rsidR="00083AC1" w:rsidRPr="00FC4628" w:rsidRDefault="00083AC1" w:rsidP="00FC4628">
      <w:pPr>
        <w:spacing w:line="360" w:lineRule="auto"/>
        <w:rPr>
          <w:rFonts w:ascii="Arial" w:hAnsi="Arial" w:cs="Arial"/>
          <w:sz w:val="24"/>
          <w:szCs w:val="24"/>
          <w:lang w:val="en-US"/>
        </w:rPr>
      </w:pPr>
      <w:r w:rsidRPr="00FC4628">
        <w:rPr>
          <w:rFonts w:ascii="Arial" w:hAnsi="Arial" w:cs="Arial"/>
          <w:sz w:val="24"/>
          <w:szCs w:val="24"/>
          <w:lang w:val="en-US"/>
        </w:rPr>
        <w:t>The City Hotel is a prominent hospitality establishment located in an urban setting, offering a range of services including accommodation, a full-service restaurant, a bar, and event facilities. Despite its prime location and diversified service offerings, the hotel has faced a significant decline in financial performance over the past three years. Key indicators such as revenue, occupancy rates, and customer satisfaction have steadily deteriorated, raising concerns about the sustainability of the business. The owner of the hotel has expressed concern regarding its future viability and has sought professional advice to evaluate the financial health of the business and explore potential turnaround strategies.</w:t>
      </w:r>
    </w:p>
    <w:p w14:paraId="0E455E96" w14:textId="77777777" w:rsidR="00083AC1" w:rsidRPr="00FC4628" w:rsidRDefault="00083AC1" w:rsidP="00FC4628">
      <w:pPr>
        <w:spacing w:line="360" w:lineRule="auto"/>
        <w:rPr>
          <w:rFonts w:ascii="Arial" w:hAnsi="Arial" w:cs="Arial"/>
          <w:sz w:val="24"/>
          <w:szCs w:val="24"/>
          <w:lang w:val="en-US"/>
        </w:rPr>
      </w:pPr>
      <w:r w:rsidRPr="00FC4628">
        <w:rPr>
          <w:rFonts w:ascii="Arial" w:hAnsi="Arial" w:cs="Arial"/>
          <w:sz w:val="24"/>
          <w:szCs w:val="24"/>
          <w:lang w:val="en-US"/>
        </w:rPr>
        <w:t>The purpose of this report is to conduct a comprehensive financial assessment of The City Hotel using data from its income statements and balance sheets for the years 2021 to 2023. This analysis will focus on identifying the underlying causes of declining profitability, taking into consideration broader economic conditions and industry-specific challenges. Based on the findings, the report will outline a strategic plan aimed at revitalizing the hotel’s financial performance and restoring its market reputation. The ultimate goal is to determine whether the hotel can be salvaged through targeted interventions or if alternative courses of action are more viable.</w:t>
      </w:r>
    </w:p>
    <w:p w14:paraId="4B005EAF" w14:textId="77777777" w:rsidR="00F3177B" w:rsidRPr="00FC4628" w:rsidRDefault="00F3177B" w:rsidP="0013224D">
      <w:pPr>
        <w:spacing w:line="360" w:lineRule="auto"/>
        <w:rPr>
          <w:rFonts w:ascii="Arial" w:hAnsi="Arial" w:cs="Arial"/>
          <w:sz w:val="24"/>
          <w:szCs w:val="24"/>
        </w:rPr>
      </w:pPr>
    </w:p>
    <w:p w14:paraId="0F1B5155" w14:textId="77777777" w:rsidR="00F3177B" w:rsidRPr="00FC4628" w:rsidRDefault="00F3177B" w:rsidP="0013224D">
      <w:pPr>
        <w:spacing w:line="360" w:lineRule="auto"/>
        <w:rPr>
          <w:rFonts w:ascii="Arial" w:hAnsi="Arial" w:cs="Arial"/>
          <w:sz w:val="24"/>
          <w:szCs w:val="24"/>
        </w:rPr>
      </w:pPr>
    </w:p>
    <w:p w14:paraId="2ED06DE6" w14:textId="77777777" w:rsidR="00F3177B" w:rsidRPr="00FC4628" w:rsidRDefault="00F3177B" w:rsidP="0013224D">
      <w:pPr>
        <w:spacing w:line="360" w:lineRule="auto"/>
        <w:rPr>
          <w:rFonts w:ascii="Arial" w:hAnsi="Arial" w:cs="Arial"/>
          <w:sz w:val="24"/>
          <w:szCs w:val="24"/>
        </w:rPr>
      </w:pPr>
    </w:p>
    <w:p w14:paraId="73157D07" w14:textId="77777777" w:rsidR="00F3177B" w:rsidRPr="00FC4628" w:rsidRDefault="00F3177B" w:rsidP="0013224D">
      <w:pPr>
        <w:spacing w:line="360" w:lineRule="auto"/>
        <w:rPr>
          <w:rFonts w:ascii="Arial" w:hAnsi="Arial" w:cs="Arial"/>
          <w:sz w:val="24"/>
          <w:szCs w:val="24"/>
        </w:rPr>
      </w:pPr>
    </w:p>
    <w:p w14:paraId="01D20B1A" w14:textId="77777777" w:rsidR="00F3177B" w:rsidRPr="00FC4628" w:rsidRDefault="00F3177B" w:rsidP="0013224D">
      <w:pPr>
        <w:spacing w:line="360" w:lineRule="auto"/>
        <w:rPr>
          <w:rFonts w:ascii="Arial" w:hAnsi="Arial" w:cs="Arial"/>
          <w:sz w:val="24"/>
          <w:szCs w:val="24"/>
        </w:rPr>
      </w:pPr>
    </w:p>
    <w:p w14:paraId="189DCF45" w14:textId="77777777" w:rsidR="00F3177B" w:rsidRPr="00FC4628" w:rsidRDefault="00F3177B" w:rsidP="0013224D">
      <w:pPr>
        <w:spacing w:line="360" w:lineRule="auto"/>
        <w:rPr>
          <w:rFonts w:ascii="Arial" w:hAnsi="Arial" w:cs="Arial"/>
          <w:sz w:val="24"/>
          <w:szCs w:val="24"/>
        </w:rPr>
      </w:pPr>
    </w:p>
    <w:p w14:paraId="25E1C1B8" w14:textId="77777777" w:rsidR="00F3177B" w:rsidRPr="00FC4628" w:rsidRDefault="00F3177B" w:rsidP="0013224D">
      <w:pPr>
        <w:spacing w:line="360" w:lineRule="auto"/>
        <w:rPr>
          <w:rFonts w:ascii="Arial" w:hAnsi="Arial" w:cs="Arial"/>
          <w:sz w:val="24"/>
          <w:szCs w:val="24"/>
        </w:rPr>
      </w:pPr>
    </w:p>
    <w:p w14:paraId="60935C24" w14:textId="77777777" w:rsidR="00F3177B" w:rsidRPr="00FC4628" w:rsidRDefault="00F3177B" w:rsidP="0013224D">
      <w:pPr>
        <w:spacing w:line="360" w:lineRule="auto"/>
        <w:rPr>
          <w:rFonts w:ascii="Arial" w:hAnsi="Arial" w:cs="Arial"/>
          <w:sz w:val="24"/>
          <w:szCs w:val="24"/>
        </w:rPr>
      </w:pPr>
    </w:p>
    <w:p w14:paraId="6DA5D15C" w14:textId="77777777" w:rsidR="00F3177B" w:rsidRPr="00FC4628" w:rsidRDefault="00F3177B" w:rsidP="0013224D">
      <w:pPr>
        <w:spacing w:line="360" w:lineRule="auto"/>
        <w:rPr>
          <w:rFonts w:ascii="Arial" w:hAnsi="Arial" w:cs="Arial"/>
          <w:sz w:val="24"/>
          <w:szCs w:val="24"/>
        </w:rPr>
      </w:pPr>
    </w:p>
    <w:p w14:paraId="5FA6E4B2" w14:textId="77777777" w:rsidR="00F3177B" w:rsidRPr="00FC4628" w:rsidRDefault="00F3177B" w:rsidP="0013224D">
      <w:pPr>
        <w:spacing w:line="360" w:lineRule="auto"/>
        <w:rPr>
          <w:rFonts w:ascii="Arial" w:hAnsi="Arial" w:cs="Arial"/>
          <w:sz w:val="24"/>
          <w:szCs w:val="24"/>
        </w:rPr>
      </w:pPr>
    </w:p>
    <w:p w14:paraId="5C0567BF" w14:textId="77777777" w:rsidR="00893D6E" w:rsidRPr="00FC4628" w:rsidRDefault="00893D6E" w:rsidP="0013224D">
      <w:pPr>
        <w:spacing w:line="360" w:lineRule="auto"/>
        <w:rPr>
          <w:rFonts w:ascii="Arial" w:hAnsi="Arial" w:cs="Arial"/>
          <w:sz w:val="24"/>
          <w:szCs w:val="24"/>
        </w:rPr>
      </w:pPr>
    </w:p>
    <w:p w14:paraId="3AB113FA" w14:textId="6007EB32" w:rsidR="00AC3E87" w:rsidRPr="00FC4628" w:rsidRDefault="003F7635" w:rsidP="00BB24DE">
      <w:pPr>
        <w:spacing w:line="360" w:lineRule="auto"/>
        <w:rPr>
          <w:rFonts w:ascii="Arial" w:hAnsi="Arial" w:cs="Arial"/>
          <w:b/>
          <w:bCs/>
          <w:sz w:val="24"/>
          <w:szCs w:val="24"/>
        </w:rPr>
      </w:pPr>
      <w:r w:rsidRPr="00FC4628">
        <w:rPr>
          <w:rFonts w:ascii="Arial" w:hAnsi="Arial" w:cs="Arial"/>
          <w:b/>
          <w:bCs/>
          <w:sz w:val="24"/>
          <w:szCs w:val="24"/>
        </w:rPr>
        <w:lastRenderedPageBreak/>
        <w:t>2. Financial Performance Analysis</w:t>
      </w:r>
    </w:p>
    <w:p w14:paraId="3EB0D313" w14:textId="12230759" w:rsidR="00BB24DE" w:rsidRPr="00FC4628" w:rsidRDefault="00BB24DE" w:rsidP="00BB24DE">
      <w:pPr>
        <w:spacing w:line="360" w:lineRule="auto"/>
        <w:rPr>
          <w:rFonts w:ascii="Arial" w:hAnsi="Arial" w:cs="Arial"/>
          <w:b/>
          <w:bCs/>
          <w:sz w:val="24"/>
          <w:szCs w:val="24"/>
        </w:rPr>
      </w:pPr>
      <w:r w:rsidRPr="00FC4628">
        <w:rPr>
          <w:rFonts w:ascii="Arial" w:hAnsi="Arial" w:cs="Arial"/>
          <w:b/>
          <w:bCs/>
          <w:sz w:val="24"/>
          <w:szCs w:val="24"/>
        </w:rPr>
        <w:t xml:space="preserve">2.1 </w:t>
      </w:r>
      <w:bookmarkStart w:id="0" w:name="_Hlk182410512"/>
      <w:r w:rsidRPr="00FC4628">
        <w:rPr>
          <w:rFonts w:ascii="Arial" w:hAnsi="Arial" w:cs="Arial"/>
          <w:b/>
          <w:bCs/>
          <w:sz w:val="24"/>
          <w:szCs w:val="24"/>
        </w:rPr>
        <w:t>Revenue Trends</w:t>
      </w:r>
      <w:bookmarkEnd w:id="0"/>
    </w:p>
    <w:p w14:paraId="3E966FC0" w14:textId="471D0217" w:rsidR="00BB24DE" w:rsidRPr="00FC4628" w:rsidRDefault="00BB24DE" w:rsidP="00BB24DE">
      <w:pPr>
        <w:spacing w:line="360" w:lineRule="auto"/>
        <w:rPr>
          <w:rFonts w:ascii="Arial" w:hAnsi="Arial" w:cs="Arial"/>
          <w:sz w:val="24"/>
          <w:szCs w:val="24"/>
        </w:rPr>
      </w:pPr>
      <w:r w:rsidRPr="00FC4628">
        <w:rPr>
          <w:rFonts w:ascii="Arial" w:hAnsi="Arial" w:cs="Arial"/>
          <w:sz w:val="24"/>
          <w:szCs w:val="24"/>
        </w:rPr>
        <w:t>Revenue experienced a steep decline from 2022 to 2023, dropping by more than 55%. This significant reduction highlights a potential decrease in occupancy rates, a loss of customer interest, or increased competition. The initial stability from 2021 to 2022 suggests that external factors—likely the lingering effects of COVID-19, economic downturns, or shifts in travel preferences—contributed to the sudden drop in 2023. Recovering from such a loss will require targeted strategies to boost bookings and diversify revenue streams.</w:t>
      </w:r>
    </w:p>
    <w:tbl>
      <w:tblPr>
        <w:tblW w:w="9381" w:type="dxa"/>
        <w:tblLook w:val="04A0" w:firstRow="1" w:lastRow="0" w:firstColumn="1" w:lastColumn="0" w:noHBand="0" w:noVBand="1"/>
      </w:tblPr>
      <w:tblGrid>
        <w:gridCol w:w="3017"/>
        <w:gridCol w:w="6364"/>
      </w:tblGrid>
      <w:tr w:rsidR="00196A38" w:rsidRPr="00FC4628" w14:paraId="5CFE6C94" w14:textId="77777777" w:rsidTr="00196A38">
        <w:trPr>
          <w:trHeight w:val="292"/>
        </w:trPr>
        <w:tc>
          <w:tcPr>
            <w:tcW w:w="3017" w:type="dxa"/>
            <w:tcBorders>
              <w:top w:val="single" w:sz="4" w:space="0" w:color="auto"/>
              <w:left w:val="single" w:sz="4" w:space="0" w:color="auto"/>
              <w:bottom w:val="single" w:sz="4" w:space="0" w:color="auto"/>
              <w:right w:val="single" w:sz="4" w:space="0" w:color="auto"/>
            </w:tcBorders>
            <w:shd w:val="clear" w:color="000000" w:fill="A3DBFF"/>
            <w:noWrap/>
            <w:vAlign w:val="bottom"/>
            <w:hideMark/>
          </w:tcPr>
          <w:p w14:paraId="0A3DF436" w14:textId="77777777" w:rsidR="00196A38" w:rsidRPr="00FC4628" w:rsidRDefault="00196A38" w:rsidP="00BB24DE">
            <w:pPr>
              <w:spacing w:after="0" w:line="36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Year</w:t>
            </w:r>
          </w:p>
        </w:tc>
        <w:tc>
          <w:tcPr>
            <w:tcW w:w="6364" w:type="dxa"/>
            <w:tcBorders>
              <w:top w:val="single" w:sz="4" w:space="0" w:color="auto"/>
              <w:left w:val="nil"/>
              <w:bottom w:val="single" w:sz="4" w:space="0" w:color="auto"/>
              <w:right w:val="single" w:sz="4" w:space="0" w:color="auto"/>
            </w:tcBorders>
            <w:shd w:val="clear" w:color="000000" w:fill="A3DBFF"/>
            <w:noWrap/>
            <w:vAlign w:val="bottom"/>
            <w:hideMark/>
          </w:tcPr>
          <w:p w14:paraId="05CE78D6" w14:textId="77777777" w:rsidR="00196A38" w:rsidRPr="00FC4628" w:rsidRDefault="00196A38" w:rsidP="00BB24DE">
            <w:pPr>
              <w:spacing w:after="0" w:line="36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Revenue (£)</w:t>
            </w:r>
          </w:p>
        </w:tc>
      </w:tr>
      <w:tr w:rsidR="00196A38" w:rsidRPr="00FC4628" w14:paraId="793D0742" w14:textId="77777777" w:rsidTr="00196A38">
        <w:trPr>
          <w:trHeight w:val="292"/>
        </w:trPr>
        <w:tc>
          <w:tcPr>
            <w:tcW w:w="3017" w:type="dxa"/>
            <w:tcBorders>
              <w:top w:val="nil"/>
              <w:left w:val="single" w:sz="4" w:space="0" w:color="auto"/>
              <w:bottom w:val="single" w:sz="4" w:space="0" w:color="auto"/>
              <w:right w:val="single" w:sz="4" w:space="0" w:color="auto"/>
            </w:tcBorders>
            <w:shd w:val="clear" w:color="auto" w:fill="auto"/>
            <w:noWrap/>
            <w:vAlign w:val="bottom"/>
            <w:hideMark/>
          </w:tcPr>
          <w:p w14:paraId="27984481" w14:textId="77777777" w:rsidR="00196A38" w:rsidRPr="00FC4628" w:rsidRDefault="00196A38" w:rsidP="00BB24DE">
            <w:pPr>
              <w:spacing w:after="0" w:line="36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2021</w:t>
            </w:r>
          </w:p>
        </w:tc>
        <w:tc>
          <w:tcPr>
            <w:tcW w:w="6364" w:type="dxa"/>
            <w:tcBorders>
              <w:top w:val="nil"/>
              <w:left w:val="nil"/>
              <w:bottom w:val="single" w:sz="4" w:space="0" w:color="auto"/>
              <w:right w:val="single" w:sz="4" w:space="0" w:color="auto"/>
            </w:tcBorders>
            <w:shd w:val="clear" w:color="auto" w:fill="auto"/>
            <w:noWrap/>
            <w:vAlign w:val="bottom"/>
            <w:hideMark/>
          </w:tcPr>
          <w:p w14:paraId="1788E16E" w14:textId="77777777" w:rsidR="00196A38" w:rsidRPr="00FC4628" w:rsidRDefault="00196A38" w:rsidP="00BB24DE">
            <w:pPr>
              <w:spacing w:after="0" w:line="36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5,248,290</w:t>
            </w:r>
          </w:p>
        </w:tc>
      </w:tr>
      <w:tr w:rsidR="00196A38" w:rsidRPr="00FC4628" w14:paraId="0A1D8262" w14:textId="77777777" w:rsidTr="00196A38">
        <w:trPr>
          <w:trHeight w:val="292"/>
        </w:trPr>
        <w:tc>
          <w:tcPr>
            <w:tcW w:w="3017" w:type="dxa"/>
            <w:tcBorders>
              <w:top w:val="nil"/>
              <w:left w:val="single" w:sz="4" w:space="0" w:color="auto"/>
              <w:bottom w:val="single" w:sz="4" w:space="0" w:color="auto"/>
              <w:right w:val="single" w:sz="4" w:space="0" w:color="auto"/>
            </w:tcBorders>
            <w:shd w:val="clear" w:color="auto" w:fill="auto"/>
            <w:noWrap/>
            <w:vAlign w:val="bottom"/>
            <w:hideMark/>
          </w:tcPr>
          <w:p w14:paraId="354C6810" w14:textId="77777777" w:rsidR="00196A38" w:rsidRPr="00FC4628" w:rsidRDefault="00196A38" w:rsidP="00BB24DE">
            <w:pPr>
              <w:spacing w:after="0" w:line="36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2022</w:t>
            </w:r>
          </w:p>
        </w:tc>
        <w:tc>
          <w:tcPr>
            <w:tcW w:w="6364" w:type="dxa"/>
            <w:tcBorders>
              <w:top w:val="nil"/>
              <w:left w:val="nil"/>
              <w:bottom w:val="single" w:sz="4" w:space="0" w:color="auto"/>
              <w:right w:val="single" w:sz="4" w:space="0" w:color="auto"/>
            </w:tcBorders>
            <w:shd w:val="clear" w:color="auto" w:fill="auto"/>
            <w:noWrap/>
            <w:vAlign w:val="bottom"/>
            <w:hideMark/>
          </w:tcPr>
          <w:p w14:paraId="4F40F5AB" w14:textId="77777777" w:rsidR="00196A38" w:rsidRPr="00FC4628" w:rsidRDefault="00196A38" w:rsidP="00BB24DE">
            <w:pPr>
              <w:spacing w:after="0" w:line="36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5,307,480</w:t>
            </w:r>
          </w:p>
        </w:tc>
      </w:tr>
      <w:tr w:rsidR="00196A38" w:rsidRPr="00FC4628" w14:paraId="3815D67B" w14:textId="77777777" w:rsidTr="00196A38">
        <w:trPr>
          <w:trHeight w:val="292"/>
        </w:trPr>
        <w:tc>
          <w:tcPr>
            <w:tcW w:w="3017" w:type="dxa"/>
            <w:tcBorders>
              <w:top w:val="nil"/>
              <w:left w:val="single" w:sz="4" w:space="0" w:color="auto"/>
              <w:bottom w:val="single" w:sz="4" w:space="0" w:color="auto"/>
              <w:right w:val="single" w:sz="4" w:space="0" w:color="auto"/>
            </w:tcBorders>
            <w:shd w:val="clear" w:color="auto" w:fill="auto"/>
            <w:noWrap/>
            <w:vAlign w:val="bottom"/>
            <w:hideMark/>
          </w:tcPr>
          <w:p w14:paraId="291F943D" w14:textId="77777777" w:rsidR="00196A38" w:rsidRPr="00FC4628" w:rsidRDefault="00196A38" w:rsidP="00BB24DE">
            <w:pPr>
              <w:spacing w:after="0" w:line="36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2023</w:t>
            </w:r>
          </w:p>
        </w:tc>
        <w:tc>
          <w:tcPr>
            <w:tcW w:w="6364" w:type="dxa"/>
            <w:tcBorders>
              <w:top w:val="nil"/>
              <w:left w:val="nil"/>
              <w:bottom w:val="single" w:sz="4" w:space="0" w:color="auto"/>
              <w:right w:val="single" w:sz="4" w:space="0" w:color="auto"/>
            </w:tcBorders>
            <w:shd w:val="clear" w:color="auto" w:fill="auto"/>
            <w:noWrap/>
            <w:vAlign w:val="bottom"/>
            <w:hideMark/>
          </w:tcPr>
          <w:p w14:paraId="3B86A933" w14:textId="77777777" w:rsidR="00196A38" w:rsidRPr="00FC4628" w:rsidRDefault="00196A38" w:rsidP="00BB24DE">
            <w:pPr>
              <w:spacing w:after="0" w:line="36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2,325,440</w:t>
            </w:r>
          </w:p>
        </w:tc>
      </w:tr>
    </w:tbl>
    <w:p w14:paraId="6A90A404" w14:textId="77777777" w:rsidR="00AE25F8" w:rsidRPr="00FC4628" w:rsidRDefault="00AE25F8" w:rsidP="00BB24DE">
      <w:pPr>
        <w:spacing w:line="360" w:lineRule="auto"/>
        <w:rPr>
          <w:rFonts w:ascii="Arial" w:hAnsi="Arial" w:cs="Arial"/>
          <w:b/>
          <w:bCs/>
          <w:sz w:val="24"/>
          <w:szCs w:val="24"/>
        </w:rPr>
      </w:pPr>
    </w:p>
    <w:p w14:paraId="2F47CD60" w14:textId="7E31B3A7" w:rsidR="00C1210B" w:rsidRPr="00FC4628" w:rsidRDefault="00C1210B" w:rsidP="00BB24DE">
      <w:pPr>
        <w:spacing w:line="360" w:lineRule="auto"/>
        <w:rPr>
          <w:rFonts w:ascii="Arial" w:hAnsi="Arial" w:cs="Arial"/>
          <w:b/>
          <w:bCs/>
          <w:sz w:val="24"/>
          <w:szCs w:val="24"/>
        </w:rPr>
      </w:pPr>
      <w:r w:rsidRPr="00FC4628">
        <w:rPr>
          <w:rFonts w:ascii="Arial" w:hAnsi="Arial" w:cs="Arial"/>
          <w:b/>
          <w:bCs/>
          <w:sz w:val="24"/>
          <w:szCs w:val="24"/>
        </w:rPr>
        <w:t xml:space="preserve">2.2 </w:t>
      </w:r>
      <w:bookmarkStart w:id="1" w:name="_Hlk182410526"/>
      <w:r w:rsidRPr="00FC4628">
        <w:rPr>
          <w:rFonts w:ascii="Arial" w:hAnsi="Arial" w:cs="Arial"/>
          <w:b/>
          <w:bCs/>
          <w:sz w:val="24"/>
          <w:szCs w:val="24"/>
        </w:rPr>
        <w:t>Expense Analysis</w:t>
      </w:r>
      <w:bookmarkEnd w:id="1"/>
    </w:p>
    <w:p w14:paraId="180497DE" w14:textId="77777777" w:rsidR="00C1210B" w:rsidRPr="00FC4628" w:rsidRDefault="00C1210B" w:rsidP="00C1210B">
      <w:pPr>
        <w:spacing w:line="360" w:lineRule="auto"/>
        <w:rPr>
          <w:rFonts w:ascii="Arial" w:hAnsi="Arial" w:cs="Arial"/>
          <w:sz w:val="24"/>
          <w:szCs w:val="24"/>
          <w:lang w:val="en-US"/>
        </w:rPr>
      </w:pPr>
      <w:r w:rsidRPr="00FC4628">
        <w:rPr>
          <w:rFonts w:ascii="Arial" w:hAnsi="Arial" w:cs="Arial"/>
          <w:sz w:val="24"/>
          <w:szCs w:val="24"/>
          <w:lang w:val="en-US"/>
        </w:rPr>
        <w:t>Employee costs and external expenses represent the highest areas of expenditure, together accounting for over 50% of total costs each year. Employee costs saw a gradual decrease in 2023, which might reflect attempts to control labor expenses in response to declining revenue. However, despite these cost-cutting measures, the expenses remain high relative to revenue, underscoring the need for more efficient operations.</w:t>
      </w:r>
    </w:p>
    <w:p w14:paraId="0342DC7F" w14:textId="77777777" w:rsidR="00C1210B" w:rsidRPr="00FC4628" w:rsidRDefault="00C1210B" w:rsidP="00C1210B">
      <w:pPr>
        <w:spacing w:line="360" w:lineRule="auto"/>
        <w:rPr>
          <w:rFonts w:ascii="Arial" w:hAnsi="Arial" w:cs="Arial"/>
          <w:sz w:val="24"/>
          <w:szCs w:val="24"/>
          <w:lang w:val="en-US"/>
        </w:rPr>
      </w:pPr>
      <w:r w:rsidRPr="00FC4628">
        <w:rPr>
          <w:rFonts w:ascii="Arial" w:hAnsi="Arial" w:cs="Arial"/>
          <w:sz w:val="24"/>
          <w:szCs w:val="24"/>
          <w:lang w:val="en-US"/>
        </w:rPr>
        <w:t>Depreciation and amortization expenses increased annually, indicating potential investments in assets that may not be yielding expected returns. Reducing these expenses may be challenging, but exploring options like asset leasing or consolidating services could help manage these high fixed costs.</w:t>
      </w:r>
    </w:p>
    <w:tbl>
      <w:tblPr>
        <w:tblpPr w:leftFromText="180" w:rightFromText="180" w:vertAnchor="text" w:horzAnchor="margin" w:tblpY="32"/>
        <w:tblW w:w="9505" w:type="dxa"/>
        <w:tblLook w:val="04A0" w:firstRow="1" w:lastRow="0" w:firstColumn="1" w:lastColumn="0" w:noHBand="0" w:noVBand="1"/>
      </w:tblPr>
      <w:tblGrid>
        <w:gridCol w:w="4618"/>
        <w:gridCol w:w="1629"/>
        <w:gridCol w:w="1629"/>
        <w:gridCol w:w="1629"/>
      </w:tblGrid>
      <w:tr w:rsidR="009D0CD3" w:rsidRPr="00FC4628" w14:paraId="18A58552" w14:textId="77777777" w:rsidTr="009D0CD3">
        <w:trPr>
          <w:trHeight w:val="383"/>
        </w:trPr>
        <w:tc>
          <w:tcPr>
            <w:tcW w:w="4618" w:type="dxa"/>
            <w:tcBorders>
              <w:top w:val="single" w:sz="4" w:space="0" w:color="auto"/>
              <w:left w:val="single" w:sz="4" w:space="0" w:color="auto"/>
              <w:bottom w:val="nil"/>
              <w:right w:val="single" w:sz="4" w:space="0" w:color="auto"/>
            </w:tcBorders>
            <w:shd w:val="clear" w:color="000000" w:fill="A3DBFF"/>
            <w:vAlign w:val="center"/>
            <w:hideMark/>
          </w:tcPr>
          <w:p w14:paraId="7FC6377A" w14:textId="77777777" w:rsidR="00C1210B" w:rsidRPr="00FC4628" w:rsidRDefault="00C1210B" w:rsidP="00C1210B">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Expense Type</w:t>
            </w:r>
          </w:p>
        </w:tc>
        <w:tc>
          <w:tcPr>
            <w:tcW w:w="1629" w:type="dxa"/>
            <w:tcBorders>
              <w:top w:val="single" w:sz="4" w:space="0" w:color="auto"/>
              <w:left w:val="nil"/>
              <w:bottom w:val="nil"/>
              <w:right w:val="single" w:sz="4" w:space="0" w:color="auto"/>
            </w:tcBorders>
            <w:shd w:val="clear" w:color="000000" w:fill="A3DBFF"/>
            <w:vAlign w:val="center"/>
            <w:hideMark/>
          </w:tcPr>
          <w:p w14:paraId="724B3715" w14:textId="77777777" w:rsidR="00C1210B" w:rsidRPr="00FC4628" w:rsidRDefault="00C1210B" w:rsidP="00C1210B">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2021 (£)</w:t>
            </w:r>
          </w:p>
        </w:tc>
        <w:tc>
          <w:tcPr>
            <w:tcW w:w="1629" w:type="dxa"/>
            <w:tcBorders>
              <w:top w:val="single" w:sz="4" w:space="0" w:color="auto"/>
              <w:left w:val="nil"/>
              <w:bottom w:val="nil"/>
              <w:right w:val="single" w:sz="4" w:space="0" w:color="auto"/>
            </w:tcBorders>
            <w:shd w:val="clear" w:color="000000" w:fill="A3DBFF"/>
            <w:vAlign w:val="center"/>
            <w:hideMark/>
          </w:tcPr>
          <w:p w14:paraId="4A8D12E5" w14:textId="77777777" w:rsidR="00C1210B" w:rsidRPr="00FC4628" w:rsidRDefault="00C1210B" w:rsidP="00C1210B">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2022 (£)</w:t>
            </w:r>
          </w:p>
        </w:tc>
        <w:tc>
          <w:tcPr>
            <w:tcW w:w="1629" w:type="dxa"/>
            <w:tcBorders>
              <w:top w:val="single" w:sz="4" w:space="0" w:color="auto"/>
              <w:left w:val="nil"/>
              <w:bottom w:val="nil"/>
              <w:right w:val="single" w:sz="4" w:space="0" w:color="auto"/>
            </w:tcBorders>
            <w:shd w:val="clear" w:color="000000" w:fill="A3DBFF"/>
            <w:vAlign w:val="center"/>
            <w:hideMark/>
          </w:tcPr>
          <w:p w14:paraId="211AB52F" w14:textId="77777777" w:rsidR="00C1210B" w:rsidRPr="00FC4628" w:rsidRDefault="00C1210B" w:rsidP="00C1210B">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2023 (£)</w:t>
            </w:r>
          </w:p>
        </w:tc>
      </w:tr>
      <w:tr w:rsidR="00C1210B" w:rsidRPr="00FC4628" w14:paraId="7DD99634" w14:textId="77777777" w:rsidTr="009D0CD3">
        <w:trPr>
          <w:trHeight w:val="309"/>
        </w:trPr>
        <w:tc>
          <w:tcPr>
            <w:tcW w:w="4618"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20F86BF0"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Cost of Goods Sold</w:t>
            </w:r>
          </w:p>
        </w:tc>
        <w:tc>
          <w:tcPr>
            <w:tcW w:w="1629" w:type="dxa"/>
            <w:tcBorders>
              <w:top w:val="single" w:sz="8" w:space="0" w:color="auto"/>
              <w:left w:val="nil"/>
              <w:bottom w:val="single" w:sz="4" w:space="0" w:color="auto"/>
              <w:right w:val="single" w:sz="4" w:space="0" w:color="auto"/>
            </w:tcBorders>
            <w:shd w:val="clear" w:color="auto" w:fill="auto"/>
            <w:vAlign w:val="center"/>
            <w:hideMark/>
          </w:tcPr>
          <w:p w14:paraId="7551A529"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411,600</w:t>
            </w:r>
          </w:p>
        </w:tc>
        <w:tc>
          <w:tcPr>
            <w:tcW w:w="1629" w:type="dxa"/>
            <w:tcBorders>
              <w:top w:val="single" w:sz="8" w:space="0" w:color="auto"/>
              <w:left w:val="nil"/>
              <w:bottom w:val="single" w:sz="4" w:space="0" w:color="auto"/>
              <w:right w:val="single" w:sz="4" w:space="0" w:color="auto"/>
            </w:tcBorders>
            <w:shd w:val="clear" w:color="auto" w:fill="auto"/>
            <w:vAlign w:val="center"/>
            <w:hideMark/>
          </w:tcPr>
          <w:p w14:paraId="583A00F7"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401,510</w:t>
            </w:r>
          </w:p>
        </w:tc>
        <w:tc>
          <w:tcPr>
            <w:tcW w:w="1629" w:type="dxa"/>
            <w:tcBorders>
              <w:top w:val="single" w:sz="8" w:space="0" w:color="auto"/>
              <w:left w:val="nil"/>
              <w:bottom w:val="single" w:sz="4" w:space="0" w:color="auto"/>
              <w:right w:val="single" w:sz="8" w:space="0" w:color="auto"/>
            </w:tcBorders>
            <w:shd w:val="clear" w:color="auto" w:fill="auto"/>
            <w:vAlign w:val="center"/>
            <w:hideMark/>
          </w:tcPr>
          <w:p w14:paraId="4443F34C"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176,250</w:t>
            </w:r>
          </w:p>
        </w:tc>
      </w:tr>
      <w:tr w:rsidR="00C1210B" w:rsidRPr="00FC4628" w14:paraId="6022487F" w14:textId="77777777" w:rsidTr="009D0CD3">
        <w:trPr>
          <w:trHeight w:val="383"/>
        </w:trPr>
        <w:tc>
          <w:tcPr>
            <w:tcW w:w="4618" w:type="dxa"/>
            <w:tcBorders>
              <w:top w:val="nil"/>
              <w:left w:val="single" w:sz="8" w:space="0" w:color="auto"/>
              <w:bottom w:val="single" w:sz="4" w:space="0" w:color="auto"/>
              <w:right w:val="single" w:sz="4" w:space="0" w:color="auto"/>
            </w:tcBorders>
            <w:shd w:val="clear" w:color="auto" w:fill="auto"/>
            <w:vAlign w:val="center"/>
            <w:hideMark/>
          </w:tcPr>
          <w:p w14:paraId="1F6442CD"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Employee Costs</w:t>
            </w:r>
          </w:p>
        </w:tc>
        <w:tc>
          <w:tcPr>
            <w:tcW w:w="1629" w:type="dxa"/>
            <w:tcBorders>
              <w:top w:val="nil"/>
              <w:left w:val="nil"/>
              <w:bottom w:val="single" w:sz="4" w:space="0" w:color="auto"/>
              <w:right w:val="single" w:sz="4" w:space="0" w:color="auto"/>
            </w:tcBorders>
            <w:shd w:val="clear" w:color="auto" w:fill="auto"/>
            <w:vAlign w:val="center"/>
            <w:hideMark/>
          </w:tcPr>
          <w:p w14:paraId="64637A54"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1,724,760</w:t>
            </w:r>
          </w:p>
        </w:tc>
        <w:tc>
          <w:tcPr>
            <w:tcW w:w="1629" w:type="dxa"/>
            <w:tcBorders>
              <w:top w:val="nil"/>
              <w:left w:val="nil"/>
              <w:bottom w:val="single" w:sz="4" w:space="0" w:color="auto"/>
              <w:right w:val="single" w:sz="4" w:space="0" w:color="auto"/>
            </w:tcBorders>
            <w:shd w:val="clear" w:color="auto" w:fill="auto"/>
            <w:vAlign w:val="center"/>
            <w:hideMark/>
          </w:tcPr>
          <w:p w14:paraId="5758C9C5"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1,770,700</w:t>
            </w:r>
          </w:p>
        </w:tc>
        <w:tc>
          <w:tcPr>
            <w:tcW w:w="1629" w:type="dxa"/>
            <w:tcBorders>
              <w:top w:val="nil"/>
              <w:left w:val="nil"/>
              <w:bottom w:val="single" w:sz="4" w:space="0" w:color="auto"/>
              <w:right w:val="single" w:sz="8" w:space="0" w:color="auto"/>
            </w:tcBorders>
            <w:shd w:val="clear" w:color="auto" w:fill="auto"/>
            <w:vAlign w:val="center"/>
            <w:hideMark/>
          </w:tcPr>
          <w:p w14:paraId="044181EE"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1,233,160</w:t>
            </w:r>
          </w:p>
        </w:tc>
      </w:tr>
      <w:tr w:rsidR="00C1210B" w:rsidRPr="00FC4628" w14:paraId="2FC21342" w14:textId="77777777" w:rsidTr="009D0CD3">
        <w:trPr>
          <w:trHeight w:val="383"/>
        </w:trPr>
        <w:tc>
          <w:tcPr>
            <w:tcW w:w="4618" w:type="dxa"/>
            <w:tcBorders>
              <w:top w:val="nil"/>
              <w:left w:val="single" w:sz="8" w:space="0" w:color="auto"/>
              <w:bottom w:val="single" w:sz="4" w:space="0" w:color="auto"/>
              <w:right w:val="single" w:sz="4" w:space="0" w:color="auto"/>
            </w:tcBorders>
            <w:shd w:val="clear" w:color="auto" w:fill="auto"/>
            <w:vAlign w:val="center"/>
            <w:hideMark/>
          </w:tcPr>
          <w:p w14:paraId="1E442374"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External Expenses</w:t>
            </w:r>
          </w:p>
        </w:tc>
        <w:tc>
          <w:tcPr>
            <w:tcW w:w="1629" w:type="dxa"/>
            <w:tcBorders>
              <w:top w:val="nil"/>
              <w:left w:val="nil"/>
              <w:bottom w:val="single" w:sz="4" w:space="0" w:color="auto"/>
              <w:right w:val="single" w:sz="4" w:space="0" w:color="auto"/>
            </w:tcBorders>
            <w:shd w:val="clear" w:color="auto" w:fill="auto"/>
            <w:vAlign w:val="center"/>
            <w:hideMark/>
          </w:tcPr>
          <w:p w14:paraId="3710E186"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1,894,720</w:t>
            </w:r>
          </w:p>
        </w:tc>
        <w:tc>
          <w:tcPr>
            <w:tcW w:w="1629" w:type="dxa"/>
            <w:tcBorders>
              <w:top w:val="nil"/>
              <w:left w:val="nil"/>
              <w:bottom w:val="single" w:sz="4" w:space="0" w:color="auto"/>
              <w:right w:val="single" w:sz="4" w:space="0" w:color="auto"/>
            </w:tcBorders>
            <w:shd w:val="clear" w:color="auto" w:fill="auto"/>
            <w:vAlign w:val="center"/>
            <w:hideMark/>
          </w:tcPr>
          <w:p w14:paraId="1DA896FE"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1,675,410</w:t>
            </w:r>
          </w:p>
        </w:tc>
        <w:tc>
          <w:tcPr>
            <w:tcW w:w="1629" w:type="dxa"/>
            <w:tcBorders>
              <w:top w:val="nil"/>
              <w:left w:val="nil"/>
              <w:bottom w:val="single" w:sz="4" w:space="0" w:color="auto"/>
              <w:right w:val="single" w:sz="8" w:space="0" w:color="auto"/>
            </w:tcBorders>
            <w:shd w:val="clear" w:color="auto" w:fill="auto"/>
            <w:vAlign w:val="center"/>
            <w:hideMark/>
          </w:tcPr>
          <w:p w14:paraId="67B5426C"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1,071,030</w:t>
            </w:r>
          </w:p>
        </w:tc>
      </w:tr>
      <w:tr w:rsidR="00C1210B" w:rsidRPr="00FC4628" w14:paraId="0E6D3564" w14:textId="77777777" w:rsidTr="009D0CD3">
        <w:trPr>
          <w:trHeight w:val="383"/>
        </w:trPr>
        <w:tc>
          <w:tcPr>
            <w:tcW w:w="4618" w:type="dxa"/>
            <w:tcBorders>
              <w:top w:val="nil"/>
              <w:left w:val="single" w:sz="8" w:space="0" w:color="auto"/>
              <w:bottom w:val="single" w:sz="4" w:space="0" w:color="auto"/>
              <w:right w:val="single" w:sz="4" w:space="0" w:color="auto"/>
            </w:tcBorders>
            <w:shd w:val="clear" w:color="auto" w:fill="auto"/>
            <w:vAlign w:val="center"/>
            <w:hideMark/>
          </w:tcPr>
          <w:p w14:paraId="4369A5A4"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Taxes and Duties</w:t>
            </w:r>
          </w:p>
        </w:tc>
        <w:tc>
          <w:tcPr>
            <w:tcW w:w="1629" w:type="dxa"/>
            <w:tcBorders>
              <w:top w:val="nil"/>
              <w:left w:val="nil"/>
              <w:bottom w:val="single" w:sz="4" w:space="0" w:color="auto"/>
              <w:right w:val="single" w:sz="4" w:space="0" w:color="auto"/>
            </w:tcBorders>
            <w:shd w:val="clear" w:color="auto" w:fill="auto"/>
            <w:vAlign w:val="center"/>
            <w:hideMark/>
          </w:tcPr>
          <w:p w14:paraId="4704562D"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144,070</w:t>
            </w:r>
          </w:p>
        </w:tc>
        <w:tc>
          <w:tcPr>
            <w:tcW w:w="1629" w:type="dxa"/>
            <w:tcBorders>
              <w:top w:val="nil"/>
              <w:left w:val="nil"/>
              <w:bottom w:val="single" w:sz="4" w:space="0" w:color="auto"/>
              <w:right w:val="single" w:sz="4" w:space="0" w:color="auto"/>
            </w:tcBorders>
            <w:shd w:val="clear" w:color="auto" w:fill="auto"/>
            <w:vAlign w:val="center"/>
            <w:hideMark/>
          </w:tcPr>
          <w:p w14:paraId="0C6ACEC6"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133,020</w:t>
            </w:r>
          </w:p>
        </w:tc>
        <w:tc>
          <w:tcPr>
            <w:tcW w:w="1629" w:type="dxa"/>
            <w:tcBorders>
              <w:top w:val="nil"/>
              <w:left w:val="nil"/>
              <w:bottom w:val="single" w:sz="4" w:space="0" w:color="auto"/>
              <w:right w:val="single" w:sz="8" w:space="0" w:color="auto"/>
            </w:tcBorders>
            <w:shd w:val="clear" w:color="auto" w:fill="auto"/>
            <w:vAlign w:val="center"/>
            <w:hideMark/>
          </w:tcPr>
          <w:p w14:paraId="788B2DE9"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88,950</w:t>
            </w:r>
          </w:p>
        </w:tc>
      </w:tr>
      <w:tr w:rsidR="00C1210B" w:rsidRPr="00FC4628" w14:paraId="24FE5EB2" w14:textId="77777777" w:rsidTr="009D0CD3">
        <w:trPr>
          <w:trHeight w:val="383"/>
        </w:trPr>
        <w:tc>
          <w:tcPr>
            <w:tcW w:w="4618" w:type="dxa"/>
            <w:tcBorders>
              <w:top w:val="nil"/>
              <w:left w:val="single" w:sz="8" w:space="0" w:color="auto"/>
              <w:bottom w:val="single" w:sz="8" w:space="0" w:color="auto"/>
              <w:right w:val="single" w:sz="4" w:space="0" w:color="auto"/>
            </w:tcBorders>
            <w:shd w:val="clear" w:color="auto" w:fill="auto"/>
            <w:vAlign w:val="center"/>
            <w:hideMark/>
          </w:tcPr>
          <w:p w14:paraId="0EA5E69E"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 xml:space="preserve">Depreciation &amp; </w:t>
            </w:r>
            <w:proofErr w:type="spellStart"/>
            <w:r w:rsidRPr="00FC4628">
              <w:rPr>
                <w:rFonts w:ascii="Arial" w:eastAsia="Times New Roman" w:hAnsi="Arial" w:cs="Arial"/>
                <w:color w:val="000000"/>
                <w:sz w:val="24"/>
                <w:szCs w:val="24"/>
                <w:lang w:val="en-US"/>
              </w:rPr>
              <w:t>Amortisation</w:t>
            </w:r>
            <w:proofErr w:type="spellEnd"/>
          </w:p>
        </w:tc>
        <w:tc>
          <w:tcPr>
            <w:tcW w:w="1629" w:type="dxa"/>
            <w:tcBorders>
              <w:top w:val="nil"/>
              <w:left w:val="nil"/>
              <w:bottom w:val="single" w:sz="8" w:space="0" w:color="auto"/>
              <w:right w:val="single" w:sz="4" w:space="0" w:color="auto"/>
            </w:tcBorders>
            <w:shd w:val="clear" w:color="auto" w:fill="auto"/>
            <w:vAlign w:val="center"/>
            <w:hideMark/>
          </w:tcPr>
          <w:p w14:paraId="0D8CF219"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409,190</w:t>
            </w:r>
          </w:p>
        </w:tc>
        <w:tc>
          <w:tcPr>
            <w:tcW w:w="1629" w:type="dxa"/>
            <w:tcBorders>
              <w:top w:val="nil"/>
              <w:left w:val="nil"/>
              <w:bottom w:val="single" w:sz="8" w:space="0" w:color="auto"/>
              <w:right w:val="single" w:sz="4" w:space="0" w:color="auto"/>
            </w:tcBorders>
            <w:shd w:val="clear" w:color="auto" w:fill="auto"/>
            <w:vAlign w:val="center"/>
            <w:hideMark/>
          </w:tcPr>
          <w:p w14:paraId="7330737C"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634,030</w:t>
            </w:r>
          </w:p>
        </w:tc>
        <w:tc>
          <w:tcPr>
            <w:tcW w:w="1629" w:type="dxa"/>
            <w:tcBorders>
              <w:top w:val="nil"/>
              <w:left w:val="nil"/>
              <w:bottom w:val="single" w:sz="8" w:space="0" w:color="auto"/>
              <w:right w:val="single" w:sz="8" w:space="0" w:color="auto"/>
            </w:tcBorders>
            <w:shd w:val="clear" w:color="auto" w:fill="auto"/>
            <w:vAlign w:val="center"/>
            <w:hideMark/>
          </w:tcPr>
          <w:p w14:paraId="24CB440D" w14:textId="77777777" w:rsidR="00C1210B" w:rsidRPr="00FC4628" w:rsidRDefault="00C1210B" w:rsidP="00C1210B">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661,590</w:t>
            </w:r>
          </w:p>
        </w:tc>
      </w:tr>
    </w:tbl>
    <w:p w14:paraId="5318AE1C" w14:textId="366013BA" w:rsidR="00C1210B" w:rsidRPr="00FC4628" w:rsidRDefault="0032046A" w:rsidP="00BB24DE">
      <w:pPr>
        <w:spacing w:line="360" w:lineRule="auto"/>
        <w:rPr>
          <w:rFonts w:ascii="Arial" w:hAnsi="Arial" w:cs="Arial"/>
          <w:b/>
          <w:bCs/>
          <w:sz w:val="24"/>
          <w:szCs w:val="24"/>
        </w:rPr>
      </w:pPr>
      <w:r w:rsidRPr="00FC4628">
        <w:rPr>
          <w:rFonts w:ascii="Arial" w:hAnsi="Arial" w:cs="Arial"/>
          <w:b/>
          <w:bCs/>
          <w:sz w:val="24"/>
          <w:szCs w:val="24"/>
        </w:rPr>
        <w:lastRenderedPageBreak/>
        <w:t xml:space="preserve">2.3 </w:t>
      </w:r>
      <w:bookmarkStart w:id="2" w:name="_Hlk182410542"/>
      <w:r w:rsidRPr="00FC4628">
        <w:rPr>
          <w:rFonts w:ascii="Arial" w:hAnsi="Arial" w:cs="Arial"/>
          <w:b/>
          <w:bCs/>
          <w:sz w:val="24"/>
          <w:szCs w:val="24"/>
        </w:rPr>
        <w:t>Profitability Assessment</w:t>
      </w:r>
      <w:bookmarkEnd w:id="2"/>
    </w:p>
    <w:p w14:paraId="3C2E0319" w14:textId="77777777" w:rsidR="006E65FB" w:rsidRPr="00FC4628" w:rsidRDefault="006E65FB" w:rsidP="006E65FB">
      <w:pPr>
        <w:spacing w:line="360" w:lineRule="auto"/>
        <w:rPr>
          <w:rFonts w:ascii="Arial" w:hAnsi="Arial" w:cs="Arial"/>
          <w:sz w:val="24"/>
          <w:szCs w:val="24"/>
          <w:lang w:val="en-US"/>
        </w:rPr>
      </w:pPr>
      <w:r w:rsidRPr="00FC4628">
        <w:rPr>
          <w:rFonts w:ascii="Arial" w:hAnsi="Arial" w:cs="Arial"/>
          <w:sz w:val="24"/>
          <w:szCs w:val="24"/>
          <w:lang w:val="en-US"/>
        </w:rPr>
        <w:t>The operating income analysis reflects a stark transition from positive profitability in 2021 and 2022 to a significant operating loss in 2023. This decline is largely attributed to falling revenue without a proportional decrease in expenses. The operating loss of over £1.2 million in 2023 suggests that The City Hotel’s revenue is no longer sufficient to cover its core expenses.</w:t>
      </w:r>
    </w:p>
    <w:p w14:paraId="4C39AC8D" w14:textId="77777777" w:rsidR="006E65FB" w:rsidRPr="00FC4628" w:rsidRDefault="006E65FB" w:rsidP="006E65FB">
      <w:pPr>
        <w:spacing w:line="360" w:lineRule="auto"/>
        <w:rPr>
          <w:rFonts w:ascii="Arial" w:hAnsi="Arial" w:cs="Arial"/>
          <w:sz w:val="24"/>
          <w:szCs w:val="24"/>
          <w:lang w:val="en-US"/>
        </w:rPr>
      </w:pPr>
      <w:r w:rsidRPr="00FC4628">
        <w:rPr>
          <w:rFonts w:ascii="Arial" w:hAnsi="Arial" w:cs="Arial"/>
          <w:sz w:val="24"/>
          <w:szCs w:val="24"/>
          <w:lang w:val="en-US"/>
        </w:rPr>
        <w:t>To restore profitability, the hotel must prioritize strategies that increase revenue or significantly lower operational costs. Potential solutions include diversifying revenue through new service offerings or optimizing expenses related to labor and overhead.</w:t>
      </w:r>
    </w:p>
    <w:tbl>
      <w:tblPr>
        <w:tblW w:w="9297" w:type="dxa"/>
        <w:tblLook w:val="04A0" w:firstRow="1" w:lastRow="0" w:firstColumn="1" w:lastColumn="0" w:noHBand="0" w:noVBand="1"/>
      </w:tblPr>
      <w:tblGrid>
        <w:gridCol w:w="2663"/>
        <w:gridCol w:w="6634"/>
      </w:tblGrid>
      <w:tr w:rsidR="00263CAB" w:rsidRPr="00FC4628" w14:paraId="4A657CCB" w14:textId="77777777" w:rsidTr="00263CAB">
        <w:trPr>
          <w:trHeight w:val="375"/>
        </w:trPr>
        <w:tc>
          <w:tcPr>
            <w:tcW w:w="2663" w:type="dxa"/>
            <w:tcBorders>
              <w:top w:val="single" w:sz="4" w:space="0" w:color="auto"/>
              <w:left w:val="single" w:sz="4" w:space="0" w:color="auto"/>
              <w:bottom w:val="single" w:sz="4" w:space="0" w:color="auto"/>
              <w:right w:val="single" w:sz="4" w:space="0" w:color="auto"/>
            </w:tcBorders>
            <w:shd w:val="clear" w:color="000000" w:fill="A3DBFF"/>
            <w:noWrap/>
            <w:vAlign w:val="bottom"/>
            <w:hideMark/>
          </w:tcPr>
          <w:p w14:paraId="36199BAF" w14:textId="77777777" w:rsidR="00263CAB" w:rsidRPr="00FC4628" w:rsidRDefault="00263CAB" w:rsidP="00263CAB">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Year</w:t>
            </w:r>
          </w:p>
        </w:tc>
        <w:tc>
          <w:tcPr>
            <w:tcW w:w="6634" w:type="dxa"/>
            <w:tcBorders>
              <w:top w:val="single" w:sz="4" w:space="0" w:color="auto"/>
              <w:left w:val="nil"/>
              <w:bottom w:val="single" w:sz="4" w:space="0" w:color="auto"/>
              <w:right w:val="single" w:sz="4" w:space="0" w:color="auto"/>
            </w:tcBorders>
            <w:shd w:val="clear" w:color="000000" w:fill="A3DBFF"/>
            <w:noWrap/>
            <w:vAlign w:val="bottom"/>
            <w:hideMark/>
          </w:tcPr>
          <w:p w14:paraId="0F7659F3" w14:textId="77777777" w:rsidR="00263CAB" w:rsidRPr="00FC4628" w:rsidRDefault="00263CAB" w:rsidP="00263CAB">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Operating Income (£)</w:t>
            </w:r>
          </w:p>
        </w:tc>
      </w:tr>
      <w:tr w:rsidR="00263CAB" w:rsidRPr="00FC4628" w14:paraId="66D43C8A" w14:textId="77777777" w:rsidTr="00263CAB">
        <w:trPr>
          <w:trHeight w:val="304"/>
        </w:trPr>
        <w:tc>
          <w:tcPr>
            <w:tcW w:w="2663" w:type="dxa"/>
            <w:tcBorders>
              <w:top w:val="nil"/>
              <w:left w:val="single" w:sz="4" w:space="0" w:color="auto"/>
              <w:bottom w:val="single" w:sz="4" w:space="0" w:color="auto"/>
              <w:right w:val="single" w:sz="4" w:space="0" w:color="auto"/>
            </w:tcBorders>
            <w:shd w:val="clear" w:color="auto" w:fill="auto"/>
            <w:noWrap/>
            <w:vAlign w:val="bottom"/>
            <w:hideMark/>
          </w:tcPr>
          <w:p w14:paraId="32715675" w14:textId="77777777" w:rsidR="00263CAB" w:rsidRPr="00FC4628" w:rsidRDefault="00263CAB" w:rsidP="00263CAB">
            <w:pPr>
              <w:spacing w:after="0" w:line="24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2021</w:t>
            </w:r>
          </w:p>
        </w:tc>
        <w:tc>
          <w:tcPr>
            <w:tcW w:w="6634" w:type="dxa"/>
            <w:tcBorders>
              <w:top w:val="nil"/>
              <w:left w:val="nil"/>
              <w:bottom w:val="single" w:sz="4" w:space="0" w:color="auto"/>
              <w:right w:val="single" w:sz="4" w:space="0" w:color="auto"/>
            </w:tcBorders>
            <w:shd w:val="clear" w:color="auto" w:fill="auto"/>
            <w:noWrap/>
            <w:vAlign w:val="bottom"/>
            <w:hideMark/>
          </w:tcPr>
          <w:p w14:paraId="410E90C2" w14:textId="77777777" w:rsidR="00263CAB" w:rsidRPr="00FC4628" w:rsidRDefault="00263CAB" w:rsidP="00263CAB">
            <w:pPr>
              <w:spacing w:after="0" w:line="24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664,160</w:t>
            </w:r>
          </w:p>
        </w:tc>
      </w:tr>
      <w:tr w:rsidR="00263CAB" w:rsidRPr="00FC4628" w14:paraId="3419A1CB" w14:textId="77777777" w:rsidTr="00263CAB">
        <w:trPr>
          <w:trHeight w:val="375"/>
        </w:trPr>
        <w:tc>
          <w:tcPr>
            <w:tcW w:w="2663" w:type="dxa"/>
            <w:tcBorders>
              <w:top w:val="nil"/>
              <w:left w:val="single" w:sz="4" w:space="0" w:color="auto"/>
              <w:bottom w:val="single" w:sz="4" w:space="0" w:color="auto"/>
              <w:right w:val="single" w:sz="4" w:space="0" w:color="auto"/>
            </w:tcBorders>
            <w:shd w:val="clear" w:color="auto" w:fill="auto"/>
            <w:noWrap/>
            <w:vAlign w:val="bottom"/>
            <w:hideMark/>
          </w:tcPr>
          <w:p w14:paraId="772360B5" w14:textId="77777777" w:rsidR="00263CAB" w:rsidRPr="00FC4628" w:rsidRDefault="00263CAB" w:rsidP="00263CAB">
            <w:pPr>
              <w:spacing w:after="0" w:line="24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2022</w:t>
            </w:r>
          </w:p>
        </w:tc>
        <w:tc>
          <w:tcPr>
            <w:tcW w:w="6634" w:type="dxa"/>
            <w:tcBorders>
              <w:top w:val="nil"/>
              <w:left w:val="nil"/>
              <w:bottom w:val="single" w:sz="4" w:space="0" w:color="auto"/>
              <w:right w:val="single" w:sz="4" w:space="0" w:color="auto"/>
            </w:tcBorders>
            <w:shd w:val="clear" w:color="auto" w:fill="auto"/>
            <w:noWrap/>
            <w:vAlign w:val="bottom"/>
            <w:hideMark/>
          </w:tcPr>
          <w:p w14:paraId="2341F325" w14:textId="77777777" w:rsidR="00263CAB" w:rsidRPr="00FC4628" w:rsidRDefault="00263CAB" w:rsidP="00263CAB">
            <w:pPr>
              <w:spacing w:after="0" w:line="24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674,730</w:t>
            </w:r>
          </w:p>
        </w:tc>
      </w:tr>
      <w:tr w:rsidR="00263CAB" w:rsidRPr="00FC4628" w14:paraId="7AE1FC9E" w14:textId="77777777" w:rsidTr="00263CAB">
        <w:trPr>
          <w:trHeight w:val="375"/>
        </w:trPr>
        <w:tc>
          <w:tcPr>
            <w:tcW w:w="2663" w:type="dxa"/>
            <w:tcBorders>
              <w:top w:val="nil"/>
              <w:left w:val="single" w:sz="4" w:space="0" w:color="auto"/>
              <w:bottom w:val="single" w:sz="4" w:space="0" w:color="auto"/>
              <w:right w:val="single" w:sz="4" w:space="0" w:color="auto"/>
            </w:tcBorders>
            <w:shd w:val="clear" w:color="auto" w:fill="auto"/>
            <w:noWrap/>
            <w:vAlign w:val="bottom"/>
            <w:hideMark/>
          </w:tcPr>
          <w:p w14:paraId="5660A9EF" w14:textId="77777777" w:rsidR="00263CAB" w:rsidRPr="00FC4628" w:rsidRDefault="00263CAB" w:rsidP="00263CAB">
            <w:pPr>
              <w:spacing w:after="0" w:line="24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2023</w:t>
            </w:r>
          </w:p>
        </w:tc>
        <w:tc>
          <w:tcPr>
            <w:tcW w:w="6634" w:type="dxa"/>
            <w:tcBorders>
              <w:top w:val="nil"/>
              <w:left w:val="nil"/>
              <w:bottom w:val="single" w:sz="4" w:space="0" w:color="auto"/>
              <w:right w:val="single" w:sz="4" w:space="0" w:color="auto"/>
            </w:tcBorders>
            <w:shd w:val="clear" w:color="auto" w:fill="auto"/>
            <w:noWrap/>
            <w:vAlign w:val="bottom"/>
            <w:hideMark/>
          </w:tcPr>
          <w:p w14:paraId="556410B6" w14:textId="77777777" w:rsidR="00263CAB" w:rsidRPr="00FC4628" w:rsidRDefault="00263CAB" w:rsidP="00263CAB">
            <w:pPr>
              <w:spacing w:after="0" w:line="240" w:lineRule="auto"/>
              <w:jc w:val="center"/>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-1,218,850</w:t>
            </w:r>
          </w:p>
        </w:tc>
      </w:tr>
    </w:tbl>
    <w:p w14:paraId="2D7742D0" w14:textId="77777777" w:rsidR="0032046A" w:rsidRPr="00FC4628" w:rsidRDefault="0032046A" w:rsidP="00BB24DE">
      <w:pPr>
        <w:spacing w:line="360" w:lineRule="auto"/>
        <w:rPr>
          <w:rFonts w:ascii="Arial" w:hAnsi="Arial" w:cs="Arial"/>
          <w:sz w:val="24"/>
          <w:szCs w:val="24"/>
        </w:rPr>
      </w:pPr>
    </w:p>
    <w:p w14:paraId="439CA146" w14:textId="1B740967" w:rsidR="00AE25F8" w:rsidRPr="00FC4628" w:rsidRDefault="00631C1C" w:rsidP="00AE25F8">
      <w:pPr>
        <w:spacing w:line="360" w:lineRule="auto"/>
        <w:rPr>
          <w:rFonts w:ascii="Arial" w:hAnsi="Arial" w:cs="Arial"/>
          <w:b/>
          <w:bCs/>
          <w:sz w:val="24"/>
          <w:szCs w:val="24"/>
        </w:rPr>
      </w:pPr>
      <w:r w:rsidRPr="00FC4628">
        <w:rPr>
          <w:rFonts w:ascii="Arial" w:hAnsi="Arial" w:cs="Arial"/>
          <w:b/>
          <w:bCs/>
          <w:sz w:val="24"/>
          <w:szCs w:val="24"/>
        </w:rPr>
        <w:t>2.4 Liquidity and Solvency Evaluation</w:t>
      </w:r>
    </w:p>
    <w:p w14:paraId="0F86CDD4" w14:textId="6D01CA8E" w:rsidR="00C94A7E" w:rsidRPr="00FC4628" w:rsidRDefault="00C94A7E" w:rsidP="00C94A7E">
      <w:pPr>
        <w:spacing w:line="360" w:lineRule="auto"/>
        <w:rPr>
          <w:rFonts w:ascii="Arial" w:hAnsi="Arial" w:cs="Arial"/>
          <w:sz w:val="24"/>
          <w:szCs w:val="24"/>
        </w:rPr>
      </w:pPr>
      <w:r w:rsidRPr="00FC4628">
        <w:rPr>
          <w:rFonts w:ascii="Arial" w:hAnsi="Arial" w:cs="Arial"/>
          <w:sz w:val="24"/>
          <w:szCs w:val="24"/>
        </w:rPr>
        <w:t>The current ratio (current assets / current liabilities) has declined from 0.97 in 2021 to 0.64 in 2023, indicating weakened liquidity. The current ratio below 1.0 in each year signals potential difficulties in meeting short-term obligations, exacerbated in 2023 as the hotel’s current liabilities exceeded its liquid assets.</w:t>
      </w:r>
    </w:p>
    <w:p w14:paraId="321C32D9" w14:textId="41930366" w:rsidR="006E65FB" w:rsidRPr="00FC4628" w:rsidRDefault="00C94A7E" w:rsidP="00C94A7E">
      <w:pPr>
        <w:spacing w:line="360" w:lineRule="auto"/>
        <w:rPr>
          <w:rFonts w:ascii="Arial" w:hAnsi="Arial" w:cs="Arial"/>
          <w:sz w:val="24"/>
          <w:szCs w:val="24"/>
        </w:rPr>
      </w:pPr>
      <w:r w:rsidRPr="00FC4628">
        <w:rPr>
          <w:rFonts w:ascii="Arial" w:hAnsi="Arial" w:cs="Arial"/>
          <w:sz w:val="24"/>
          <w:szCs w:val="24"/>
        </w:rPr>
        <w:t>The debt-to-equity ratio has more than doubled from 4.74 in 2021 to 10.1 in 2023, reflecting a heavy reliance on debt financing relative to equity. This high leverage level poses a risk to solvency, particularly if the hotel’s revenue challenges persist. Addressing these liquidity and solvency issues might involve restructuring debt or seeking alternative financing solutions to reduce financial strain.</w:t>
      </w:r>
    </w:p>
    <w:tbl>
      <w:tblPr>
        <w:tblW w:w="9687" w:type="dxa"/>
        <w:tblLook w:val="04A0" w:firstRow="1" w:lastRow="0" w:firstColumn="1" w:lastColumn="0" w:noHBand="0" w:noVBand="1"/>
      </w:tblPr>
      <w:tblGrid>
        <w:gridCol w:w="3162"/>
        <w:gridCol w:w="2175"/>
        <w:gridCol w:w="2175"/>
        <w:gridCol w:w="2175"/>
      </w:tblGrid>
      <w:tr w:rsidR="00732FAD" w:rsidRPr="00FC4628" w14:paraId="404D3F17" w14:textId="77777777" w:rsidTr="00732FAD">
        <w:trPr>
          <w:trHeight w:val="355"/>
        </w:trPr>
        <w:tc>
          <w:tcPr>
            <w:tcW w:w="3162" w:type="dxa"/>
            <w:tcBorders>
              <w:top w:val="single" w:sz="4" w:space="0" w:color="auto"/>
              <w:left w:val="single" w:sz="4" w:space="0" w:color="auto"/>
              <w:bottom w:val="single" w:sz="4" w:space="0" w:color="auto"/>
              <w:right w:val="single" w:sz="4" w:space="0" w:color="auto"/>
            </w:tcBorders>
            <w:shd w:val="clear" w:color="000000" w:fill="A3DBFF"/>
            <w:noWrap/>
            <w:vAlign w:val="bottom"/>
            <w:hideMark/>
          </w:tcPr>
          <w:p w14:paraId="0BC263EE" w14:textId="77777777" w:rsidR="00732FAD" w:rsidRPr="00FC4628" w:rsidRDefault="00732FAD" w:rsidP="00732FAD">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Balance Sheet Item</w:t>
            </w:r>
          </w:p>
        </w:tc>
        <w:tc>
          <w:tcPr>
            <w:tcW w:w="2175" w:type="dxa"/>
            <w:tcBorders>
              <w:top w:val="single" w:sz="4" w:space="0" w:color="auto"/>
              <w:left w:val="nil"/>
              <w:bottom w:val="single" w:sz="4" w:space="0" w:color="auto"/>
              <w:right w:val="single" w:sz="4" w:space="0" w:color="auto"/>
            </w:tcBorders>
            <w:shd w:val="clear" w:color="000000" w:fill="A3DBFF"/>
            <w:noWrap/>
            <w:vAlign w:val="bottom"/>
            <w:hideMark/>
          </w:tcPr>
          <w:p w14:paraId="3B806AAB" w14:textId="77777777" w:rsidR="00732FAD" w:rsidRPr="00FC4628" w:rsidRDefault="00732FAD" w:rsidP="00732FAD">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2021 (£)</w:t>
            </w:r>
          </w:p>
        </w:tc>
        <w:tc>
          <w:tcPr>
            <w:tcW w:w="2175" w:type="dxa"/>
            <w:tcBorders>
              <w:top w:val="single" w:sz="4" w:space="0" w:color="auto"/>
              <w:left w:val="nil"/>
              <w:bottom w:val="single" w:sz="4" w:space="0" w:color="auto"/>
              <w:right w:val="single" w:sz="4" w:space="0" w:color="auto"/>
            </w:tcBorders>
            <w:shd w:val="clear" w:color="000000" w:fill="A3DBFF"/>
            <w:noWrap/>
            <w:vAlign w:val="bottom"/>
            <w:hideMark/>
          </w:tcPr>
          <w:p w14:paraId="4888E75B" w14:textId="77777777" w:rsidR="00732FAD" w:rsidRPr="00FC4628" w:rsidRDefault="00732FAD" w:rsidP="00732FAD">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2022 (£)</w:t>
            </w:r>
          </w:p>
        </w:tc>
        <w:tc>
          <w:tcPr>
            <w:tcW w:w="2175" w:type="dxa"/>
            <w:tcBorders>
              <w:top w:val="single" w:sz="4" w:space="0" w:color="auto"/>
              <w:left w:val="nil"/>
              <w:bottom w:val="single" w:sz="4" w:space="0" w:color="auto"/>
              <w:right w:val="single" w:sz="4" w:space="0" w:color="auto"/>
            </w:tcBorders>
            <w:shd w:val="clear" w:color="000000" w:fill="A3DBFF"/>
            <w:noWrap/>
            <w:vAlign w:val="bottom"/>
            <w:hideMark/>
          </w:tcPr>
          <w:p w14:paraId="4720619B" w14:textId="77777777" w:rsidR="00732FAD" w:rsidRPr="00FC4628" w:rsidRDefault="00732FAD" w:rsidP="00732FAD">
            <w:pPr>
              <w:spacing w:after="0" w:line="240" w:lineRule="auto"/>
              <w:jc w:val="center"/>
              <w:rPr>
                <w:rFonts w:ascii="Arial" w:eastAsia="Times New Roman" w:hAnsi="Arial" w:cs="Arial"/>
                <w:b/>
                <w:bCs/>
                <w:color w:val="000000"/>
                <w:sz w:val="24"/>
                <w:szCs w:val="24"/>
                <w:lang w:val="en-US"/>
              </w:rPr>
            </w:pPr>
            <w:r w:rsidRPr="00FC4628">
              <w:rPr>
                <w:rFonts w:ascii="Arial" w:eastAsia="Times New Roman" w:hAnsi="Arial" w:cs="Arial"/>
                <w:b/>
                <w:bCs/>
                <w:color w:val="000000"/>
                <w:sz w:val="24"/>
                <w:szCs w:val="24"/>
                <w:lang w:val="en-US"/>
              </w:rPr>
              <w:t>2023 (£)</w:t>
            </w:r>
          </w:p>
        </w:tc>
      </w:tr>
      <w:tr w:rsidR="00732FAD" w:rsidRPr="00FC4628" w14:paraId="521700BB" w14:textId="77777777" w:rsidTr="00732FAD">
        <w:trPr>
          <w:trHeight w:val="287"/>
        </w:trPr>
        <w:tc>
          <w:tcPr>
            <w:tcW w:w="3162" w:type="dxa"/>
            <w:tcBorders>
              <w:top w:val="nil"/>
              <w:left w:val="single" w:sz="4" w:space="0" w:color="auto"/>
              <w:bottom w:val="single" w:sz="4" w:space="0" w:color="auto"/>
              <w:right w:val="single" w:sz="4" w:space="0" w:color="auto"/>
            </w:tcBorders>
            <w:shd w:val="clear" w:color="auto" w:fill="auto"/>
            <w:noWrap/>
            <w:vAlign w:val="bottom"/>
            <w:hideMark/>
          </w:tcPr>
          <w:p w14:paraId="6E7A2FA4"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Total Current Assets</w:t>
            </w:r>
          </w:p>
        </w:tc>
        <w:tc>
          <w:tcPr>
            <w:tcW w:w="2175" w:type="dxa"/>
            <w:tcBorders>
              <w:top w:val="nil"/>
              <w:left w:val="nil"/>
              <w:bottom w:val="single" w:sz="4" w:space="0" w:color="auto"/>
              <w:right w:val="single" w:sz="4" w:space="0" w:color="auto"/>
            </w:tcBorders>
            <w:shd w:val="clear" w:color="auto" w:fill="auto"/>
            <w:noWrap/>
            <w:vAlign w:val="bottom"/>
            <w:hideMark/>
          </w:tcPr>
          <w:p w14:paraId="6082A20F"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1,891,970</w:t>
            </w:r>
          </w:p>
        </w:tc>
        <w:tc>
          <w:tcPr>
            <w:tcW w:w="2175" w:type="dxa"/>
            <w:tcBorders>
              <w:top w:val="nil"/>
              <w:left w:val="nil"/>
              <w:bottom w:val="single" w:sz="4" w:space="0" w:color="auto"/>
              <w:right w:val="single" w:sz="4" w:space="0" w:color="auto"/>
            </w:tcBorders>
            <w:shd w:val="clear" w:color="auto" w:fill="auto"/>
            <w:noWrap/>
            <w:vAlign w:val="bottom"/>
            <w:hideMark/>
          </w:tcPr>
          <w:p w14:paraId="0E90007B"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1,965,340</w:t>
            </w:r>
          </w:p>
        </w:tc>
        <w:tc>
          <w:tcPr>
            <w:tcW w:w="2175" w:type="dxa"/>
            <w:tcBorders>
              <w:top w:val="nil"/>
              <w:left w:val="nil"/>
              <w:bottom w:val="single" w:sz="4" w:space="0" w:color="auto"/>
              <w:right w:val="single" w:sz="4" w:space="0" w:color="auto"/>
            </w:tcBorders>
            <w:shd w:val="clear" w:color="auto" w:fill="auto"/>
            <w:noWrap/>
            <w:vAlign w:val="bottom"/>
            <w:hideMark/>
          </w:tcPr>
          <w:p w14:paraId="456F18CB"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1,285,880</w:t>
            </w:r>
          </w:p>
        </w:tc>
      </w:tr>
      <w:tr w:rsidR="00732FAD" w:rsidRPr="00FC4628" w14:paraId="119F9AC3" w14:textId="77777777" w:rsidTr="00732FAD">
        <w:trPr>
          <w:trHeight w:val="355"/>
        </w:trPr>
        <w:tc>
          <w:tcPr>
            <w:tcW w:w="3162" w:type="dxa"/>
            <w:tcBorders>
              <w:top w:val="nil"/>
              <w:left w:val="single" w:sz="4" w:space="0" w:color="auto"/>
              <w:bottom w:val="single" w:sz="4" w:space="0" w:color="auto"/>
              <w:right w:val="single" w:sz="4" w:space="0" w:color="auto"/>
            </w:tcBorders>
            <w:shd w:val="clear" w:color="auto" w:fill="auto"/>
            <w:noWrap/>
            <w:vAlign w:val="bottom"/>
            <w:hideMark/>
          </w:tcPr>
          <w:p w14:paraId="5783EFBB"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Total Current Liabilities</w:t>
            </w:r>
          </w:p>
        </w:tc>
        <w:tc>
          <w:tcPr>
            <w:tcW w:w="2175" w:type="dxa"/>
            <w:tcBorders>
              <w:top w:val="nil"/>
              <w:left w:val="nil"/>
              <w:bottom w:val="single" w:sz="4" w:space="0" w:color="auto"/>
              <w:right w:val="single" w:sz="4" w:space="0" w:color="auto"/>
            </w:tcBorders>
            <w:shd w:val="clear" w:color="auto" w:fill="auto"/>
            <w:noWrap/>
            <w:vAlign w:val="bottom"/>
            <w:hideMark/>
          </w:tcPr>
          <w:p w14:paraId="7B90C50D"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1,957,360</w:t>
            </w:r>
          </w:p>
        </w:tc>
        <w:tc>
          <w:tcPr>
            <w:tcW w:w="2175" w:type="dxa"/>
            <w:tcBorders>
              <w:top w:val="nil"/>
              <w:left w:val="nil"/>
              <w:bottom w:val="single" w:sz="4" w:space="0" w:color="auto"/>
              <w:right w:val="single" w:sz="4" w:space="0" w:color="auto"/>
            </w:tcBorders>
            <w:shd w:val="clear" w:color="auto" w:fill="auto"/>
            <w:noWrap/>
            <w:vAlign w:val="bottom"/>
            <w:hideMark/>
          </w:tcPr>
          <w:p w14:paraId="7BE4880B"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2,107,750</w:t>
            </w:r>
          </w:p>
        </w:tc>
        <w:tc>
          <w:tcPr>
            <w:tcW w:w="2175" w:type="dxa"/>
            <w:tcBorders>
              <w:top w:val="nil"/>
              <w:left w:val="nil"/>
              <w:bottom w:val="single" w:sz="4" w:space="0" w:color="auto"/>
              <w:right w:val="single" w:sz="4" w:space="0" w:color="auto"/>
            </w:tcBorders>
            <w:shd w:val="clear" w:color="auto" w:fill="auto"/>
            <w:noWrap/>
            <w:vAlign w:val="bottom"/>
            <w:hideMark/>
          </w:tcPr>
          <w:p w14:paraId="094405CF"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2,014,600</w:t>
            </w:r>
          </w:p>
        </w:tc>
      </w:tr>
      <w:tr w:rsidR="00732FAD" w:rsidRPr="00FC4628" w14:paraId="52D30CD5" w14:textId="77777777" w:rsidTr="00732FAD">
        <w:trPr>
          <w:trHeight w:val="355"/>
        </w:trPr>
        <w:tc>
          <w:tcPr>
            <w:tcW w:w="3162" w:type="dxa"/>
            <w:tcBorders>
              <w:top w:val="nil"/>
              <w:left w:val="single" w:sz="4" w:space="0" w:color="auto"/>
              <w:bottom w:val="single" w:sz="4" w:space="0" w:color="auto"/>
              <w:right w:val="single" w:sz="4" w:space="0" w:color="auto"/>
            </w:tcBorders>
            <w:shd w:val="clear" w:color="auto" w:fill="auto"/>
            <w:noWrap/>
            <w:vAlign w:val="bottom"/>
            <w:hideMark/>
          </w:tcPr>
          <w:p w14:paraId="3300E609"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Current Ratio</w:t>
            </w:r>
          </w:p>
        </w:tc>
        <w:tc>
          <w:tcPr>
            <w:tcW w:w="2175" w:type="dxa"/>
            <w:tcBorders>
              <w:top w:val="nil"/>
              <w:left w:val="nil"/>
              <w:bottom w:val="single" w:sz="4" w:space="0" w:color="auto"/>
              <w:right w:val="single" w:sz="4" w:space="0" w:color="auto"/>
            </w:tcBorders>
            <w:shd w:val="clear" w:color="auto" w:fill="auto"/>
            <w:noWrap/>
            <w:vAlign w:val="bottom"/>
            <w:hideMark/>
          </w:tcPr>
          <w:p w14:paraId="4485ADC7"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0.97</w:t>
            </w:r>
          </w:p>
        </w:tc>
        <w:tc>
          <w:tcPr>
            <w:tcW w:w="2175" w:type="dxa"/>
            <w:tcBorders>
              <w:top w:val="nil"/>
              <w:left w:val="nil"/>
              <w:bottom w:val="single" w:sz="4" w:space="0" w:color="auto"/>
              <w:right w:val="single" w:sz="4" w:space="0" w:color="auto"/>
            </w:tcBorders>
            <w:shd w:val="clear" w:color="auto" w:fill="auto"/>
            <w:noWrap/>
            <w:vAlign w:val="bottom"/>
            <w:hideMark/>
          </w:tcPr>
          <w:p w14:paraId="57688235"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0.93</w:t>
            </w:r>
          </w:p>
        </w:tc>
        <w:tc>
          <w:tcPr>
            <w:tcW w:w="2175" w:type="dxa"/>
            <w:tcBorders>
              <w:top w:val="nil"/>
              <w:left w:val="nil"/>
              <w:bottom w:val="single" w:sz="4" w:space="0" w:color="auto"/>
              <w:right w:val="single" w:sz="4" w:space="0" w:color="auto"/>
            </w:tcBorders>
            <w:shd w:val="clear" w:color="auto" w:fill="auto"/>
            <w:noWrap/>
            <w:vAlign w:val="bottom"/>
            <w:hideMark/>
          </w:tcPr>
          <w:p w14:paraId="5F582011"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0.64</w:t>
            </w:r>
          </w:p>
        </w:tc>
      </w:tr>
      <w:tr w:rsidR="00732FAD" w:rsidRPr="00FC4628" w14:paraId="5A381F10" w14:textId="77777777" w:rsidTr="00732FAD">
        <w:trPr>
          <w:trHeight w:val="355"/>
        </w:trPr>
        <w:tc>
          <w:tcPr>
            <w:tcW w:w="3162" w:type="dxa"/>
            <w:tcBorders>
              <w:top w:val="nil"/>
              <w:left w:val="single" w:sz="4" w:space="0" w:color="auto"/>
              <w:bottom w:val="single" w:sz="4" w:space="0" w:color="auto"/>
              <w:right w:val="single" w:sz="4" w:space="0" w:color="auto"/>
            </w:tcBorders>
            <w:shd w:val="clear" w:color="auto" w:fill="auto"/>
            <w:noWrap/>
            <w:vAlign w:val="bottom"/>
            <w:hideMark/>
          </w:tcPr>
          <w:p w14:paraId="05A02D5C"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Total Liabilities</w:t>
            </w:r>
          </w:p>
        </w:tc>
        <w:tc>
          <w:tcPr>
            <w:tcW w:w="2175" w:type="dxa"/>
            <w:tcBorders>
              <w:top w:val="nil"/>
              <w:left w:val="nil"/>
              <w:bottom w:val="single" w:sz="4" w:space="0" w:color="auto"/>
              <w:right w:val="single" w:sz="4" w:space="0" w:color="auto"/>
            </w:tcBorders>
            <w:shd w:val="clear" w:color="auto" w:fill="auto"/>
            <w:noWrap/>
            <w:vAlign w:val="bottom"/>
            <w:hideMark/>
          </w:tcPr>
          <w:p w14:paraId="6CF8DE10"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10,684,940</w:t>
            </w:r>
          </w:p>
        </w:tc>
        <w:tc>
          <w:tcPr>
            <w:tcW w:w="2175" w:type="dxa"/>
            <w:tcBorders>
              <w:top w:val="nil"/>
              <w:left w:val="nil"/>
              <w:bottom w:val="single" w:sz="4" w:space="0" w:color="auto"/>
              <w:right w:val="single" w:sz="4" w:space="0" w:color="auto"/>
            </w:tcBorders>
            <w:shd w:val="clear" w:color="auto" w:fill="auto"/>
            <w:noWrap/>
            <w:vAlign w:val="bottom"/>
            <w:hideMark/>
          </w:tcPr>
          <w:p w14:paraId="226BFC22"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13,338,050</w:t>
            </w:r>
          </w:p>
        </w:tc>
        <w:tc>
          <w:tcPr>
            <w:tcW w:w="2175" w:type="dxa"/>
            <w:tcBorders>
              <w:top w:val="nil"/>
              <w:left w:val="nil"/>
              <w:bottom w:val="single" w:sz="4" w:space="0" w:color="auto"/>
              <w:right w:val="single" w:sz="4" w:space="0" w:color="auto"/>
            </w:tcBorders>
            <w:shd w:val="clear" w:color="auto" w:fill="auto"/>
            <w:noWrap/>
            <w:vAlign w:val="bottom"/>
            <w:hideMark/>
          </w:tcPr>
          <w:p w14:paraId="23B4629E"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14,243,390</w:t>
            </w:r>
          </w:p>
        </w:tc>
      </w:tr>
      <w:tr w:rsidR="00732FAD" w:rsidRPr="00FC4628" w14:paraId="7C9BF230" w14:textId="77777777" w:rsidTr="00732FAD">
        <w:trPr>
          <w:trHeight w:val="355"/>
        </w:trPr>
        <w:tc>
          <w:tcPr>
            <w:tcW w:w="3162" w:type="dxa"/>
            <w:tcBorders>
              <w:top w:val="nil"/>
              <w:left w:val="single" w:sz="4" w:space="0" w:color="auto"/>
              <w:bottom w:val="single" w:sz="4" w:space="0" w:color="auto"/>
              <w:right w:val="single" w:sz="4" w:space="0" w:color="auto"/>
            </w:tcBorders>
            <w:shd w:val="clear" w:color="auto" w:fill="auto"/>
            <w:noWrap/>
            <w:vAlign w:val="bottom"/>
            <w:hideMark/>
          </w:tcPr>
          <w:p w14:paraId="360C9695"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Total Equity</w:t>
            </w:r>
          </w:p>
        </w:tc>
        <w:tc>
          <w:tcPr>
            <w:tcW w:w="2175" w:type="dxa"/>
            <w:tcBorders>
              <w:top w:val="nil"/>
              <w:left w:val="nil"/>
              <w:bottom w:val="single" w:sz="4" w:space="0" w:color="auto"/>
              <w:right w:val="single" w:sz="4" w:space="0" w:color="auto"/>
            </w:tcBorders>
            <w:shd w:val="clear" w:color="auto" w:fill="auto"/>
            <w:noWrap/>
            <w:vAlign w:val="bottom"/>
            <w:hideMark/>
          </w:tcPr>
          <w:p w14:paraId="1BF9AFF1"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2,256,180</w:t>
            </w:r>
          </w:p>
        </w:tc>
        <w:tc>
          <w:tcPr>
            <w:tcW w:w="2175" w:type="dxa"/>
            <w:tcBorders>
              <w:top w:val="nil"/>
              <w:left w:val="nil"/>
              <w:bottom w:val="single" w:sz="4" w:space="0" w:color="auto"/>
              <w:right w:val="single" w:sz="4" w:space="0" w:color="auto"/>
            </w:tcBorders>
            <w:shd w:val="clear" w:color="auto" w:fill="auto"/>
            <w:noWrap/>
            <w:vAlign w:val="bottom"/>
            <w:hideMark/>
          </w:tcPr>
          <w:p w14:paraId="54DF73E9"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2,583,030</w:t>
            </w:r>
          </w:p>
        </w:tc>
        <w:tc>
          <w:tcPr>
            <w:tcW w:w="2175" w:type="dxa"/>
            <w:tcBorders>
              <w:top w:val="nil"/>
              <w:left w:val="nil"/>
              <w:bottom w:val="single" w:sz="4" w:space="0" w:color="auto"/>
              <w:right w:val="single" w:sz="4" w:space="0" w:color="auto"/>
            </w:tcBorders>
            <w:shd w:val="clear" w:color="auto" w:fill="auto"/>
            <w:noWrap/>
            <w:vAlign w:val="bottom"/>
            <w:hideMark/>
          </w:tcPr>
          <w:p w14:paraId="1B6E96CD"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1,410,580</w:t>
            </w:r>
          </w:p>
        </w:tc>
      </w:tr>
      <w:tr w:rsidR="00732FAD" w:rsidRPr="00FC4628" w14:paraId="0BA27E6C" w14:textId="77777777" w:rsidTr="00732FAD">
        <w:trPr>
          <w:trHeight w:val="355"/>
        </w:trPr>
        <w:tc>
          <w:tcPr>
            <w:tcW w:w="3162" w:type="dxa"/>
            <w:tcBorders>
              <w:top w:val="nil"/>
              <w:left w:val="single" w:sz="4" w:space="0" w:color="auto"/>
              <w:bottom w:val="single" w:sz="4" w:space="0" w:color="auto"/>
              <w:right w:val="single" w:sz="4" w:space="0" w:color="auto"/>
            </w:tcBorders>
            <w:shd w:val="clear" w:color="auto" w:fill="auto"/>
            <w:noWrap/>
            <w:vAlign w:val="bottom"/>
            <w:hideMark/>
          </w:tcPr>
          <w:p w14:paraId="05A712BA"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Debt-to-Equity Ratio</w:t>
            </w:r>
          </w:p>
        </w:tc>
        <w:tc>
          <w:tcPr>
            <w:tcW w:w="2175" w:type="dxa"/>
            <w:tcBorders>
              <w:top w:val="nil"/>
              <w:left w:val="nil"/>
              <w:bottom w:val="single" w:sz="4" w:space="0" w:color="auto"/>
              <w:right w:val="single" w:sz="4" w:space="0" w:color="auto"/>
            </w:tcBorders>
            <w:shd w:val="clear" w:color="auto" w:fill="auto"/>
            <w:noWrap/>
            <w:vAlign w:val="bottom"/>
            <w:hideMark/>
          </w:tcPr>
          <w:p w14:paraId="758623A3"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4.74</w:t>
            </w:r>
          </w:p>
        </w:tc>
        <w:tc>
          <w:tcPr>
            <w:tcW w:w="2175" w:type="dxa"/>
            <w:tcBorders>
              <w:top w:val="nil"/>
              <w:left w:val="nil"/>
              <w:bottom w:val="single" w:sz="4" w:space="0" w:color="auto"/>
              <w:right w:val="single" w:sz="4" w:space="0" w:color="auto"/>
            </w:tcBorders>
            <w:shd w:val="clear" w:color="auto" w:fill="auto"/>
            <w:noWrap/>
            <w:vAlign w:val="bottom"/>
            <w:hideMark/>
          </w:tcPr>
          <w:p w14:paraId="36121BA7"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5.17</w:t>
            </w:r>
          </w:p>
        </w:tc>
        <w:tc>
          <w:tcPr>
            <w:tcW w:w="2175" w:type="dxa"/>
            <w:tcBorders>
              <w:top w:val="nil"/>
              <w:left w:val="nil"/>
              <w:bottom w:val="single" w:sz="4" w:space="0" w:color="auto"/>
              <w:right w:val="single" w:sz="4" w:space="0" w:color="auto"/>
            </w:tcBorders>
            <w:shd w:val="clear" w:color="auto" w:fill="auto"/>
            <w:noWrap/>
            <w:vAlign w:val="bottom"/>
            <w:hideMark/>
          </w:tcPr>
          <w:p w14:paraId="6FBB9DD2" w14:textId="77777777" w:rsidR="00732FAD" w:rsidRPr="00FC4628" w:rsidRDefault="00732FAD" w:rsidP="00732FAD">
            <w:pPr>
              <w:spacing w:after="0" w:line="240" w:lineRule="auto"/>
              <w:rPr>
                <w:rFonts w:ascii="Arial" w:eastAsia="Times New Roman" w:hAnsi="Arial" w:cs="Arial"/>
                <w:color w:val="000000"/>
                <w:sz w:val="24"/>
                <w:szCs w:val="24"/>
                <w:lang w:val="en-US"/>
              </w:rPr>
            </w:pPr>
            <w:r w:rsidRPr="00FC4628">
              <w:rPr>
                <w:rFonts w:ascii="Arial" w:eastAsia="Times New Roman" w:hAnsi="Arial" w:cs="Arial"/>
                <w:color w:val="000000"/>
                <w:sz w:val="24"/>
                <w:szCs w:val="24"/>
                <w:lang w:val="en-US"/>
              </w:rPr>
              <w:t>10.1</w:t>
            </w:r>
          </w:p>
        </w:tc>
      </w:tr>
    </w:tbl>
    <w:p w14:paraId="2B589A8A" w14:textId="77777777" w:rsidR="006E65FB" w:rsidRPr="00FC4628" w:rsidRDefault="006E65FB" w:rsidP="00AE25F8">
      <w:pPr>
        <w:spacing w:line="360" w:lineRule="auto"/>
        <w:rPr>
          <w:rFonts w:ascii="Arial" w:hAnsi="Arial" w:cs="Arial"/>
          <w:sz w:val="24"/>
          <w:szCs w:val="24"/>
        </w:rPr>
      </w:pPr>
    </w:p>
    <w:p w14:paraId="595A2076" w14:textId="77777777" w:rsidR="001A233D" w:rsidRPr="00FC4628" w:rsidRDefault="001A233D" w:rsidP="00FC4628">
      <w:pPr>
        <w:spacing w:line="360" w:lineRule="auto"/>
        <w:rPr>
          <w:rFonts w:ascii="Arial" w:hAnsi="Arial" w:cs="Arial"/>
          <w:b/>
          <w:bCs/>
          <w:sz w:val="24"/>
          <w:szCs w:val="24"/>
          <w:lang w:val="en-US"/>
        </w:rPr>
      </w:pPr>
      <w:r w:rsidRPr="00FC4628">
        <w:rPr>
          <w:rFonts w:ascii="Arial" w:hAnsi="Arial" w:cs="Arial"/>
          <w:b/>
          <w:bCs/>
          <w:sz w:val="24"/>
          <w:szCs w:val="24"/>
          <w:lang w:val="en-US"/>
        </w:rPr>
        <w:lastRenderedPageBreak/>
        <w:t>3. Key Reasons for Decline</w:t>
      </w:r>
    </w:p>
    <w:p w14:paraId="719C3E22" w14:textId="77777777" w:rsidR="001A233D" w:rsidRPr="00FC4628" w:rsidRDefault="001A233D" w:rsidP="00FC4628">
      <w:pPr>
        <w:spacing w:line="360" w:lineRule="auto"/>
        <w:rPr>
          <w:rFonts w:ascii="Arial" w:hAnsi="Arial" w:cs="Arial"/>
          <w:sz w:val="24"/>
          <w:szCs w:val="24"/>
          <w:lang w:val="en-US"/>
        </w:rPr>
      </w:pPr>
      <w:r w:rsidRPr="00FC4628">
        <w:rPr>
          <w:rFonts w:ascii="Arial" w:hAnsi="Arial" w:cs="Arial"/>
          <w:sz w:val="24"/>
          <w:szCs w:val="24"/>
          <w:lang w:val="en-US"/>
        </w:rPr>
        <w:t>The City Hotel’s declining financial performance can be attributed to a combination of external economic factors and internal operational challenges. This section identifies key factors contributing to these issues, referencing credible sources to support the analysis.</w:t>
      </w:r>
    </w:p>
    <w:p w14:paraId="12089471" w14:textId="77777777" w:rsidR="001A233D" w:rsidRPr="00FC4628" w:rsidRDefault="001A233D" w:rsidP="00FC4628">
      <w:pPr>
        <w:spacing w:line="360" w:lineRule="auto"/>
        <w:rPr>
          <w:rFonts w:ascii="Arial" w:hAnsi="Arial" w:cs="Arial"/>
          <w:b/>
          <w:bCs/>
          <w:sz w:val="24"/>
          <w:szCs w:val="24"/>
          <w:lang w:val="en-US"/>
        </w:rPr>
      </w:pPr>
      <w:r w:rsidRPr="00FC4628">
        <w:rPr>
          <w:rFonts w:ascii="Arial" w:hAnsi="Arial" w:cs="Arial"/>
          <w:b/>
          <w:bCs/>
          <w:sz w:val="24"/>
          <w:szCs w:val="24"/>
          <w:lang w:val="en-US"/>
        </w:rPr>
        <w:t>3.1 Economic Conditions and Changing Consumer Behavior</w:t>
      </w:r>
    </w:p>
    <w:p w14:paraId="6E3370B7" w14:textId="77777777" w:rsidR="001A233D" w:rsidRPr="00FC4628" w:rsidRDefault="001A233D" w:rsidP="00FC4628">
      <w:pPr>
        <w:spacing w:line="360" w:lineRule="auto"/>
        <w:rPr>
          <w:rFonts w:ascii="Arial" w:hAnsi="Arial" w:cs="Arial"/>
          <w:sz w:val="24"/>
          <w:szCs w:val="24"/>
          <w:lang w:val="en-US"/>
        </w:rPr>
      </w:pPr>
      <w:r w:rsidRPr="00FC4628">
        <w:rPr>
          <w:rFonts w:ascii="Arial" w:hAnsi="Arial" w:cs="Arial"/>
          <w:sz w:val="24"/>
          <w:szCs w:val="24"/>
          <w:lang w:val="en-US"/>
        </w:rPr>
        <w:t>The UK hospitality industry has faced notable challenges in recent years, primarily due to inflation and reduced consumer spending power. Rising costs in energy, food, and labor have substantially increased operational expenses for hotels, with industry reports noting a 55% increase in inflation-adjusted operating costs in 2023 (PwC, 2023). Higher expenses have not been matched by a corresponding increase in revenue, as budget-conscious travelers seek affordable accommodations.</w:t>
      </w:r>
    </w:p>
    <w:p w14:paraId="46780920" w14:textId="77777777" w:rsidR="001A233D" w:rsidRPr="00FC4628" w:rsidRDefault="001A233D" w:rsidP="00FC4628">
      <w:pPr>
        <w:spacing w:line="360" w:lineRule="auto"/>
        <w:rPr>
          <w:rFonts w:ascii="Arial" w:hAnsi="Arial" w:cs="Arial"/>
          <w:sz w:val="24"/>
          <w:szCs w:val="24"/>
          <w:lang w:val="en-US"/>
        </w:rPr>
      </w:pPr>
      <w:r w:rsidRPr="00FC4628">
        <w:rPr>
          <w:rFonts w:ascii="Arial" w:hAnsi="Arial" w:cs="Arial"/>
          <w:sz w:val="24"/>
          <w:szCs w:val="24"/>
          <w:lang w:val="en-US"/>
        </w:rPr>
        <w:t>Additionally, the COVID-19 pandemic has left a lasting impact on travel behavior, with many consumers opting for budget-friendly and experience-driven accommodations over traditional hotel stays (Statista, 2023). These changes in spending patterns have placed added financial strain on The City Hotel, especially as competing properties and home-sharing platforms continue to attract a more price-sensitive demographic.</w:t>
      </w:r>
    </w:p>
    <w:p w14:paraId="0602F927" w14:textId="77777777" w:rsidR="001A233D" w:rsidRPr="00FC4628" w:rsidRDefault="001A233D" w:rsidP="00FC4628">
      <w:pPr>
        <w:spacing w:line="360" w:lineRule="auto"/>
        <w:rPr>
          <w:rFonts w:ascii="Arial" w:hAnsi="Arial" w:cs="Arial"/>
          <w:b/>
          <w:bCs/>
          <w:sz w:val="24"/>
          <w:szCs w:val="24"/>
          <w:lang w:val="en-US"/>
        </w:rPr>
      </w:pPr>
      <w:r w:rsidRPr="00FC4628">
        <w:rPr>
          <w:rFonts w:ascii="Arial" w:hAnsi="Arial" w:cs="Arial"/>
          <w:b/>
          <w:bCs/>
          <w:sz w:val="24"/>
          <w:szCs w:val="24"/>
          <w:lang w:val="en-US"/>
        </w:rPr>
        <w:t>3.2 Market Competition and Industry Trends</w:t>
      </w:r>
    </w:p>
    <w:p w14:paraId="3B1D0F8E" w14:textId="5FABFADF" w:rsidR="001A233D" w:rsidRPr="00FC4628" w:rsidRDefault="001A233D" w:rsidP="00FC4628">
      <w:pPr>
        <w:spacing w:line="360" w:lineRule="auto"/>
        <w:rPr>
          <w:rFonts w:ascii="Arial" w:hAnsi="Arial" w:cs="Arial"/>
          <w:sz w:val="24"/>
          <w:szCs w:val="24"/>
          <w:lang w:val="en-US"/>
        </w:rPr>
      </w:pPr>
      <w:r w:rsidRPr="00FC4628">
        <w:rPr>
          <w:rFonts w:ascii="Arial" w:hAnsi="Arial" w:cs="Arial"/>
          <w:sz w:val="24"/>
          <w:szCs w:val="24"/>
          <w:lang w:val="en-US"/>
        </w:rPr>
        <w:t xml:space="preserve">The hospitality industry has experienced a shift towards experiential travel, with many consumers prioritizing unique accommodations and amenities. As noted by </w:t>
      </w:r>
      <w:r w:rsidR="006159AE" w:rsidRPr="00FC4628">
        <w:rPr>
          <w:rFonts w:ascii="Arial" w:hAnsi="Arial" w:cs="Arial"/>
          <w:sz w:val="24"/>
          <w:szCs w:val="24"/>
          <w:lang w:val="en-US"/>
        </w:rPr>
        <w:t>Raindrops Resorts</w:t>
      </w:r>
      <w:r w:rsidRPr="00FC4628">
        <w:rPr>
          <w:rFonts w:ascii="Arial" w:hAnsi="Arial" w:cs="Arial"/>
          <w:sz w:val="24"/>
          <w:szCs w:val="24"/>
          <w:lang w:val="en-US"/>
        </w:rPr>
        <w:t xml:space="preserve"> (202</w:t>
      </w:r>
      <w:r w:rsidR="006159AE" w:rsidRPr="00FC4628">
        <w:rPr>
          <w:rFonts w:ascii="Arial" w:hAnsi="Arial" w:cs="Arial"/>
          <w:sz w:val="24"/>
          <w:szCs w:val="24"/>
          <w:lang w:val="en-US"/>
        </w:rPr>
        <w:t>2</w:t>
      </w:r>
      <w:r w:rsidRPr="00FC4628">
        <w:rPr>
          <w:rFonts w:ascii="Arial" w:hAnsi="Arial" w:cs="Arial"/>
          <w:sz w:val="24"/>
          <w:szCs w:val="24"/>
          <w:lang w:val="en-US"/>
        </w:rPr>
        <w:t>), guests increasingly prefer boutique hotels and short-term rental options that offer personalized experiences. The City Hotel’s traditional urban setting may be limiting its appeal to this evolving market, particularly among younger travelers who prioritize distinctive stays and flexibility. Competing properties have been more successful in adapting to these trends, challenging The City Hotel to remain competitive without additional differentiation.</w:t>
      </w:r>
    </w:p>
    <w:p w14:paraId="64EA91E0" w14:textId="77777777" w:rsidR="001A233D" w:rsidRPr="00FC4628" w:rsidRDefault="001A233D" w:rsidP="00FC4628">
      <w:pPr>
        <w:spacing w:line="360" w:lineRule="auto"/>
        <w:rPr>
          <w:rFonts w:ascii="Arial" w:hAnsi="Arial" w:cs="Arial"/>
          <w:b/>
          <w:bCs/>
          <w:sz w:val="24"/>
          <w:szCs w:val="24"/>
          <w:lang w:val="en-US"/>
        </w:rPr>
      </w:pPr>
      <w:r w:rsidRPr="00FC4628">
        <w:rPr>
          <w:rFonts w:ascii="Arial" w:hAnsi="Arial" w:cs="Arial"/>
          <w:b/>
          <w:bCs/>
          <w:sz w:val="24"/>
          <w:szCs w:val="24"/>
          <w:lang w:val="en-US"/>
        </w:rPr>
        <w:t>3.3 Operational Inefficiencies and High Fixed Costs</w:t>
      </w:r>
    </w:p>
    <w:p w14:paraId="15EB2FAB" w14:textId="77777777" w:rsidR="001A233D" w:rsidRPr="00FC4628" w:rsidRDefault="001A233D" w:rsidP="00FC4628">
      <w:pPr>
        <w:spacing w:line="360" w:lineRule="auto"/>
        <w:rPr>
          <w:rFonts w:ascii="Arial" w:hAnsi="Arial" w:cs="Arial"/>
          <w:sz w:val="24"/>
          <w:szCs w:val="24"/>
          <w:lang w:val="en-US"/>
        </w:rPr>
      </w:pPr>
      <w:r w:rsidRPr="00FC4628">
        <w:rPr>
          <w:rFonts w:ascii="Arial" w:hAnsi="Arial" w:cs="Arial"/>
          <w:sz w:val="24"/>
          <w:szCs w:val="24"/>
          <w:lang w:val="en-US"/>
        </w:rPr>
        <w:t xml:space="preserve">A review of The City Hotel’s expenses indicates a significant proportion allocated to employee and external costs. The persistence of high employee costs suggests that </w:t>
      </w:r>
      <w:r w:rsidRPr="00FC4628">
        <w:rPr>
          <w:rFonts w:ascii="Arial" w:hAnsi="Arial" w:cs="Arial"/>
          <w:sz w:val="24"/>
          <w:szCs w:val="24"/>
          <w:lang w:val="en-US"/>
        </w:rPr>
        <w:lastRenderedPageBreak/>
        <w:t>the hotel may not be employing optimal staffing practices, such as flexible scheduling or part-time hiring to adapt to demand variability. Hospitality Net (2023) highlights that operational flexibility is essential for controlling labor costs in an industry that faces demand fluctuations. In addition, an increase in depreciation and amortization suggests underperforming investments, which may indicate inefficiencies in asset management.</w:t>
      </w:r>
    </w:p>
    <w:p w14:paraId="7A907F2C" w14:textId="77777777" w:rsidR="001A233D" w:rsidRPr="00FC4628" w:rsidRDefault="001A233D" w:rsidP="00FC4628">
      <w:pPr>
        <w:spacing w:line="360" w:lineRule="auto"/>
        <w:rPr>
          <w:rFonts w:ascii="Arial" w:hAnsi="Arial" w:cs="Arial"/>
          <w:b/>
          <w:bCs/>
          <w:sz w:val="24"/>
          <w:szCs w:val="24"/>
          <w:lang w:val="en-US"/>
        </w:rPr>
      </w:pPr>
      <w:r w:rsidRPr="00FC4628">
        <w:rPr>
          <w:rFonts w:ascii="Arial" w:hAnsi="Arial" w:cs="Arial"/>
          <w:b/>
          <w:bCs/>
          <w:sz w:val="24"/>
          <w:szCs w:val="24"/>
          <w:lang w:val="en-US"/>
        </w:rPr>
        <w:t>3.4 Customer Expectations and Digital Experience Gaps</w:t>
      </w:r>
    </w:p>
    <w:p w14:paraId="624072F1" w14:textId="77777777" w:rsidR="00A4733D" w:rsidRPr="00FC4628" w:rsidRDefault="00A4733D" w:rsidP="00FC4628">
      <w:pPr>
        <w:spacing w:line="360" w:lineRule="auto"/>
        <w:rPr>
          <w:rFonts w:ascii="Arial" w:hAnsi="Arial" w:cs="Arial"/>
          <w:sz w:val="24"/>
          <w:szCs w:val="24"/>
        </w:rPr>
      </w:pPr>
      <w:r w:rsidRPr="00FC4628">
        <w:rPr>
          <w:rFonts w:ascii="Arial" w:hAnsi="Arial" w:cs="Arial"/>
          <w:sz w:val="24"/>
          <w:szCs w:val="24"/>
        </w:rPr>
        <w:t>In the contemporary hospitality landscape, guests increasingly expect seamless digital experiences, including mobile check-ins, digital room keys, and virtual concierge services. The City Hotel's traditional approach may not align with these evolving expectations, potentially impacting customer satisfaction and loyalty. According to McKinsey &amp; Company (2023), hotels that have embraced digital transformation and personalized services have seen significant improvements in customer satisfaction and operational efficiency. By integrating advanced digital solutions, The City Hotel can better meet modern guest preferences and enhance its competitive position in the market.</w:t>
      </w:r>
    </w:p>
    <w:p w14:paraId="0052BC4B" w14:textId="586CD551" w:rsidR="001A233D" w:rsidRPr="00FC4628" w:rsidRDefault="001A233D" w:rsidP="00FC4628">
      <w:pPr>
        <w:spacing w:line="360" w:lineRule="auto"/>
        <w:rPr>
          <w:rFonts w:ascii="Arial" w:hAnsi="Arial" w:cs="Arial"/>
          <w:b/>
          <w:bCs/>
          <w:sz w:val="24"/>
          <w:szCs w:val="24"/>
          <w:lang w:val="en-US"/>
        </w:rPr>
      </w:pPr>
      <w:r w:rsidRPr="00FC4628">
        <w:rPr>
          <w:rFonts w:ascii="Arial" w:hAnsi="Arial" w:cs="Arial"/>
          <w:b/>
          <w:bCs/>
          <w:sz w:val="24"/>
          <w:szCs w:val="24"/>
          <w:lang w:val="en-US"/>
        </w:rPr>
        <w:t>3.5 High Leverage and Debt-Related Financial Constraints</w:t>
      </w:r>
    </w:p>
    <w:p w14:paraId="38974854" w14:textId="67F9CCF0" w:rsidR="003A1BA5" w:rsidRPr="00FC4628" w:rsidRDefault="003A1BA5" w:rsidP="00FC4628">
      <w:pPr>
        <w:spacing w:line="360" w:lineRule="auto"/>
        <w:rPr>
          <w:rFonts w:ascii="Arial" w:hAnsi="Arial" w:cs="Arial"/>
          <w:sz w:val="24"/>
          <w:szCs w:val="24"/>
          <w:lang w:val="en-US"/>
        </w:rPr>
      </w:pPr>
      <w:r w:rsidRPr="00FC4628">
        <w:rPr>
          <w:rFonts w:ascii="Arial" w:hAnsi="Arial" w:cs="Arial"/>
          <w:sz w:val="24"/>
          <w:szCs w:val="24"/>
          <w:lang w:val="en-US"/>
        </w:rPr>
        <w:t xml:space="preserve">The City Hotel's escalating debt levels, as evidenced by a debt-to-equity ratio surging to 10.1 in 2023, underscore a growing reliance on external financing. This high leverage poses significant financial risks, particularly in the volatile hospitality sector. According to a study by Singh (2021), hotels with elevated financial leverage are more susceptible to financial distress, especially during economic downturns, due to the increased burden of debt servicing. </w:t>
      </w:r>
    </w:p>
    <w:p w14:paraId="40F730E1" w14:textId="1EBE9FDA" w:rsidR="00AE25F8" w:rsidRPr="00FC4628" w:rsidRDefault="003A1BA5" w:rsidP="00FC4628">
      <w:pPr>
        <w:spacing w:line="360" w:lineRule="auto"/>
        <w:rPr>
          <w:rFonts w:ascii="Arial" w:hAnsi="Arial" w:cs="Arial"/>
          <w:sz w:val="24"/>
          <w:szCs w:val="24"/>
        </w:rPr>
      </w:pPr>
      <w:r w:rsidRPr="00FC4628">
        <w:rPr>
          <w:rFonts w:ascii="Arial" w:hAnsi="Arial" w:cs="Arial"/>
          <w:sz w:val="24"/>
          <w:szCs w:val="24"/>
          <w:lang w:val="en-US"/>
        </w:rPr>
        <w:t>This situation constrains the hotel's financial flexibility, limiting its capacity to invest in necessary upgrades or adapt to market changes. Addressing this issue is crucial for The City Hotel to regain financial stability and operational resilience.</w:t>
      </w:r>
    </w:p>
    <w:p w14:paraId="31D10234" w14:textId="77777777" w:rsidR="00AE25F8" w:rsidRPr="00FC4628" w:rsidRDefault="00AE25F8" w:rsidP="00FC4628">
      <w:pPr>
        <w:spacing w:line="360" w:lineRule="auto"/>
        <w:rPr>
          <w:rFonts w:ascii="Arial" w:hAnsi="Arial" w:cs="Arial"/>
          <w:b/>
          <w:bCs/>
          <w:sz w:val="24"/>
          <w:szCs w:val="24"/>
        </w:rPr>
      </w:pPr>
    </w:p>
    <w:p w14:paraId="67E06848" w14:textId="77777777" w:rsidR="00AE25F8" w:rsidRPr="00FC4628" w:rsidRDefault="00AE25F8" w:rsidP="00FC4628">
      <w:pPr>
        <w:spacing w:line="360" w:lineRule="auto"/>
        <w:rPr>
          <w:rFonts w:ascii="Arial" w:hAnsi="Arial" w:cs="Arial"/>
          <w:b/>
          <w:bCs/>
          <w:sz w:val="24"/>
          <w:szCs w:val="24"/>
        </w:rPr>
      </w:pPr>
    </w:p>
    <w:p w14:paraId="4B78CA57" w14:textId="77777777" w:rsidR="00AE25F8" w:rsidRPr="00FC4628" w:rsidRDefault="00AE25F8" w:rsidP="00FC4628">
      <w:pPr>
        <w:spacing w:line="360" w:lineRule="auto"/>
        <w:rPr>
          <w:rFonts w:ascii="Arial" w:hAnsi="Arial" w:cs="Arial"/>
          <w:b/>
          <w:bCs/>
          <w:sz w:val="24"/>
          <w:szCs w:val="24"/>
        </w:rPr>
      </w:pPr>
    </w:p>
    <w:p w14:paraId="6FC2BCFF" w14:textId="77777777" w:rsidR="00AE25F8" w:rsidRPr="00FC4628" w:rsidRDefault="00AE25F8" w:rsidP="00FC4628">
      <w:pPr>
        <w:spacing w:line="360" w:lineRule="auto"/>
        <w:rPr>
          <w:rFonts w:ascii="Arial" w:hAnsi="Arial" w:cs="Arial"/>
          <w:b/>
          <w:bCs/>
          <w:sz w:val="24"/>
          <w:szCs w:val="24"/>
        </w:rPr>
      </w:pPr>
    </w:p>
    <w:p w14:paraId="5FE4BF32" w14:textId="32A3B53A" w:rsidR="00AE25F8" w:rsidRPr="00FC4628" w:rsidRDefault="00B23E70" w:rsidP="00FC4628">
      <w:pPr>
        <w:spacing w:line="360" w:lineRule="auto"/>
        <w:rPr>
          <w:rFonts w:ascii="Arial" w:hAnsi="Arial" w:cs="Arial"/>
          <w:b/>
          <w:bCs/>
          <w:sz w:val="24"/>
          <w:szCs w:val="24"/>
        </w:rPr>
      </w:pPr>
      <w:r w:rsidRPr="00FC4628">
        <w:rPr>
          <w:rFonts w:ascii="Arial" w:hAnsi="Arial" w:cs="Arial"/>
          <w:b/>
          <w:bCs/>
          <w:sz w:val="24"/>
          <w:szCs w:val="24"/>
        </w:rPr>
        <w:lastRenderedPageBreak/>
        <w:t>4. Turnaround Strategy</w:t>
      </w:r>
    </w:p>
    <w:p w14:paraId="017E73E8" w14:textId="78B01EF9" w:rsidR="00B15D89" w:rsidRPr="00FC4628" w:rsidRDefault="00B15D89" w:rsidP="00FC4628">
      <w:pPr>
        <w:spacing w:line="360" w:lineRule="auto"/>
        <w:rPr>
          <w:rFonts w:ascii="Arial" w:hAnsi="Arial" w:cs="Arial"/>
          <w:sz w:val="24"/>
          <w:szCs w:val="24"/>
          <w:lang w:val="en-US"/>
        </w:rPr>
      </w:pPr>
      <w:r w:rsidRPr="00FC4628">
        <w:rPr>
          <w:rFonts w:ascii="Arial" w:hAnsi="Arial" w:cs="Arial"/>
          <w:sz w:val="24"/>
          <w:szCs w:val="24"/>
          <w:lang w:val="en-US"/>
        </w:rPr>
        <w:t>To revitalize The City Hotel's performance, a comprehensive strategy focusing on revenue enhancement, operational efficiency, financial restructuring, and customer experience improvement is essential. Drawing from successful real-world examples, the following recommendations are proposed:</w:t>
      </w:r>
    </w:p>
    <w:p w14:paraId="0D0B9ED3" w14:textId="77777777" w:rsidR="00AA28B5" w:rsidRPr="00FC4628" w:rsidRDefault="00AA28B5" w:rsidP="00FC4628">
      <w:pPr>
        <w:spacing w:line="360" w:lineRule="auto"/>
        <w:rPr>
          <w:rFonts w:ascii="Arial" w:hAnsi="Arial" w:cs="Arial"/>
          <w:b/>
          <w:bCs/>
          <w:sz w:val="24"/>
          <w:szCs w:val="24"/>
          <w:lang w:val="en-US"/>
        </w:rPr>
      </w:pPr>
      <w:r w:rsidRPr="00FC4628">
        <w:rPr>
          <w:rFonts w:ascii="Arial" w:hAnsi="Arial" w:cs="Arial"/>
          <w:b/>
          <w:bCs/>
          <w:sz w:val="24"/>
          <w:szCs w:val="24"/>
          <w:lang w:val="en-US"/>
        </w:rPr>
        <w:t>4.1 Revenue Growth and Market Repositioning</w:t>
      </w:r>
    </w:p>
    <w:p w14:paraId="11D8BC41" w14:textId="77777777" w:rsidR="00AA28B5" w:rsidRPr="00FC4628" w:rsidRDefault="00AA28B5" w:rsidP="00FC4628">
      <w:pPr>
        <w:spacing w:line="360" w:lineRule="auto"/>
        <w:rPr>
          <w:rFonts w:ascii="Arial" w:hAnsi="Arial" w:cs="Arial"/>
          <w:sz w:val="24"/>
          <w:szCs w:val="24"/>
          <w:lang w:val="en-US"/>
        </w:rPr>
      </w:pPr>
      <w:r w:rsidRPr="00FC4628">
        <w:rPr>
          <w:rFonts w:ascii="Arial" w:hAnsi="Arial" w:cs="Arial"/>
          <w:sz w:val="24"/>
          <w:szCs w:val="24"/>
          <w:lang w:val="en-US"/>
        </w:rPr>
        <w:t>A targeted approach to increasing revenue can begin by diversifying The City Hotel’s offerings to appeal to both leisure and corporate travelers.</w:t>
      </w:r>
    </w:p>
    <w:p w14:paraId="42BAB48C" w14:textId="77777777" w:rsidR="00AA28B5" w:rsidRPr="00FC4628" w:rsidRDefault="00AA28B5" w:rsidP="00FC4628">
      <w:pPr>
        <w:spacing w:line="360" w:lineRule="auto"/>
        <w:rPr>
          <w:rFonts w:ascii="Arial" w:hAnsi="Arial" w:cs="Arial"/>
          <w:sz w:val="24"/>
          <w:szCs w:val="24"/>
          <w:lang w:val="en-US"/>
        </w:rPr>
      </w:pPr>
      <w:r w:rsidRPr="00FC4628">
        <w:rPr>
          <w:rFonts w:ascii="Arial" w:hAnsi="Arial" w:cs="Arial"/>
          <w:sz w:val="24"/>
          <w:szCs w:val="24"/>
          <w:lang w:val="en-US"/>
        </w:rPr>
        <w:t>Expanding Experiential Offerings: To attract a broader clientele, The City Hotel can introduce experiential services tailored to niche markets, similar to The Savoy Hotel’s strategy in London. By partnering with local artisans and hosting themed events, The Savoy successfully appealed to cultural travelers and luxury seekers, resulting in increased occupancy rates (The Savoy, 2023). The City Hotel could replicate this approach by hosting local art exhibitions, culinary events, or themed seasonal experiences to attract both locals and visitors interested in unique, culturally rich offerings.</w:t>
      </w:r>
    </w:p>
    <w:p w14:paraId="0FAD3BC6" w14:textId="77777777" w:rsidR="00AA28B5" w:rsidRPr="00FC4628" w:rsidRDefault="00AA28B5" w:rsidP="00FC4628">
      <w:pPr>
        <w:spacing w:line="360" w:lineRule="auto"/>
        <w:rPr>
          <w:rFonts w:ascii="Arial" w:hAnsi="Arial" w:cs="Arial"/>
          <w:sz w:val="24"/>
          <w:szCs w:val="24"/>
          <w:lang w:val="en-US"/>
        </w:rPr>
      </w:pPr>
      <w:r w:rsidRPr="00FC4628">
        <w:rPr>
          <w:rFonts w:ascii="Arial" w:hAnsi="Arial" w:cs="Arial"/>
          <w:sz w:val="24"/>
          <w:szCs w:val="24"/>
          <w:lang w:val="en-US"/>
        </w:rPr>
        <w:t>Enhancing Corporate and Hybrid Event Services: Catering to corporate clients by offering flexible meeting spaces and advanced technological amenities can boost weekday occupancy. The Ritz-Carlton has successfully adapted to modern business needs by providing hybrid event spaces that accommodate remote attendees and offer enhanced technological support (Ritz-Carlton, 2023). The City Hotel could attract business travelers by updating its meeting facilities to include hybrid technology, which appeals to companies seeking flexible, high-quality event venues.</w:t>
      </w:r>
    </w:p>
    <w:p w14:paraId="7F5F0986" w14:textId="77777777" w:rsidR="00B15D89" w:rsidRPr="00FC4628" w:rsidRDefault="00B15D89" w:rsidP="00FC4628">
      <w:pPr>
        <w:spacing w:line="360" w:lineRule="auto"/>
        <w:rPr>
          <w:rFonts w:ascii="Arial" w:hAnsi="Arial" w:cs="Arial"/>
          <w:b/>
          <w:bCs/>
          <w:sz w:val="24"/>
          <w:szCs w:val="24"/>
          <w:lang w:val="en-US"/>
        </w:rPr>
      </w:pPr>
      <w:r w:rsidRPr="00FC4628">
        <w:rPr>
          <w:rFonts w:ascii="Arial" w:hAnsi="Arial" w:cs="Arial"/>
          <w:b/>
          <w:bCs/>
          <w:sz w:val="24"/>
          <w:szCs w:val="24"/>
          <w:lang w:val="en-US"/>
        </w:rPr>
        <w:t>4.2 Cost Optimization and Operational Efficiency</w:t>
      </w:r>
    </w:p>
    <w:p w14:paraId="18200CA8" w14:textId="77777777" w:rsidR="00BB5FF7" w:rsidRPr="00FC4628" w:rsidRDefault="00BB5FF7" w:rsidP="00FC4628">
      <w:pPr>
        <w:spacing w:line="360" w:lineRule="auto"/>
        <w:rPr>
          <w:rFonts w:ascii="Arial" w:hAnsi="Arial" w:cs="Arial"/>
          <w:sz w:val="24"/>
          <w:szCs w:val="24"/>
          <w:lang w:val="en-US"/>
        </w:rPr>
      </w:pPr>
      <w:r w:rsidRPr="00FC4628">
        <w:rPr>
          <w:rFonts w:ascii="Arial" w:hAnsi="Arial" w:cs="Arial"/>
          <w:sz w:val="24"/>
          <w:szCs w:val="24"/>
          <w:lang w:val="en-US"/>
        </w:rPr>
        <w:t>To improve profitability, The City Hotel must streamline its operations and optimize labor costs without compromising service quality.</w:t>
      </w:r>
    </w:p>
    <w:p w14:paraId="2092382A" w14:textId="77777777" w:rsidR="00BB5FF7" w:rsidRPr="00FC4628" w:rsidRDefault="00BB5FF7" w:rsidP="00FC4628">
      <w:pPr>
        <w:spacing w:line="360" w:lineRule="auto"/>
        <w:rPr>
          <w:rFonts w:ascii="Arial" w:hAnsi="Arial" w:cs="Arial"/>
          <w:sz w:val="24"/>
          <w:szCs w:val="24"/>
          <w:lang w:val="en-US"/>
        </w:rPr>
      </w:pPr>
      <w:r w:rsidRPr="00FC4628">
        <w:rPr>
          <w:rFonts w:ascii="Arial" w:hAnsi="Arial" w:cs="Arial"/>
          <w:sz w:val="24"/>
          <w:szCs w:val="24"/>
          <w:lang w:val="en-US"/>
        </w:rPr>
        <w:t xml:space="preserve">Cross-Training Staff: One effective way to reduce labor costs is by cross-training employees to perform multiple roles. The Ace Hotel chain successfully implemented cross-training, which allowed staff to cover multiple responsibilities, increasing flexibility and reducing staffing expenses (Hotel Business, 2018). The City Hotel </w:t>
      </w:r>
      <w:r w:rsidRPr="00FC4628">
        <w:rPr>
          <w:rFonts w:ascii="Arial" w:hAnsi="Arial" w:cs="Arial"/>
          <w:sz w:val="24"/>
          <w:szCs w:val="24"/>
          <w:lang w:val="en-US"/>
        </w:rPr>
        <w:lastRenderedPageBreak/>
        <w:t>could adopt a similar strategy, enabling staff to rotate between roles such as front desk and concierge services during off-peak hours, reducing the need for additional hires.</w:t>
      </w:r>
    </w:p>
    <w:p w14:paraId="5DD51A14" w14:textId="6F9F57D3" w:rsidR="005A1F45" w:rsidRPr="00FC4628" w:rsidRDefault="00BB5FF7" w:rsidP="00FC4628">
      <w:pPr>
        <w:spacing w:line="360" w:lineRule="auto"/>
        <w:rPr>
          <w:rFonts w:ascii="Arial" w:hAnsi="Arial" w:cs="Arial"/>
          <w:sz w:val="24"/>
          <w:szCs w:val="24"/>
          <w:lang w:val="en-US"/>
        </w:rPr>
      </w:pPr>
      <w:r w:rsidRPr="00FC4628">
        <w:rPr>
          <w:rFonts w:ascii="Arial" w:hAnsi="Arial" w:cs="Arial"/>
          <w:sz w:val="24"/>
          <w:szCs w:val="24"/>
          <w:lang w:val="en-US"/>
        </w:rPr>
        <w:t>Optimizing Procurement and Vendor Partnerships: Forming partnerships with local suppliers and renegotiating contracts can also reduce operational costs. The Hyatt Regency successfully cut supply chain expenses by 15% by consolidating suppliers and sourcing locally (PwC, 2022). The City Hotel could explore similar partnerships with local vendors, reducing costs and enhancing the guest experience by offering locally sourced products.</w:t>
      </w:r>
    </w:p>
    <w:p w14:paraId="39D2818F" w14:textId="77777777" w:rsidR="00B15D89" w:rsidRPr="00FC4628" w:rsidRDefault="00B15D89" w:rsidP="00FC4628">
      <w:pPr>
        <w:spacing w:line="360" w:lineRule="auto"/>
        <w:rPr>
          <w:rFonts w:ascii="Arial" w:hAnsi="Arial" w:cs="Arial"/>
          <w:b/>
          <w:bCs/>
          <w:sz w:val="24"/>
          <w:szCs w:val="24"/>
          <w:lang w:val="en-US"/>
        </w:rPr>
      </w:pPr>
      <w:r w:rsidRPr="00FC4628">
        <w:rPr>
          <w:rFonts w:ascii="Arial" w:hAnsi="Arial" w:cs="Arial"/>
          <w:b/>
          <w:bCs/>
          <w:sz w:val="24"/>
          <w:szCs w:val="24"/>
          <w:lang w:val="en-US"/>
        </w:rPr>
        <w:t>4.3 Financial Restructuring and Debt Management</w:t>
      </w:r>
    </w:p>
    <w:p w14:paraId="05A1C566" w14:textId="77777777" w:rsidR="00044D42" w:rsidRPr="00FC4628" w:rsidRDefault="00044D42" w:rsidP="00FC4628">
      <w:pPr>
        <w:spacing w:line="360" w:lineRule="auto"/>
        <w:rPr>
          <w:rFonts w:ascii="Arial" w:hAnsi="Arial" w:cs="Arial"/>
          <w:sz w:val="24"/>
          <w:szCs w:val="24"/>
          <w:lang w:val="en-US"/>
        </w:rPr>
      </w:pPr>
      <w:r w:rsidRPr="00FC4628">
        <w:rPr>
          <w:rFonts w:ascii="Arial" w:hAnsi="Arial" w:cs="Arial"/>
          <w:sz w:val="24"/>
          <w:szCs w:val="24"/>
          <w:lang w:val="en-US"/>
        </w:rPr>
        <w:t>With its high debt levels, The City Hotel faces financial constraints that limit its flexibility. To alleviate this burden, restructuring debt obligations and exploring alternative funding sources are crucial steps.</w:t>
      </w:r>
    </w:p>
    <w:p w14:paraId="2A1E90C2" w14:textId="77777777" w:rsidR="00044D42" w:rsidRPr="00FC4628" w:rsidRDefault="00044D42" w:rsidP="00FC4628">
      <w:pPr>
        <w:spacing w:line="360" w:lineRule="auto"/>
        <w:rPr>
          <w:rFonts w:ascii="Arial" w:hAnsi="Arial" w:cs="Arial"/>
          <w:sz w:val="24"/>
          <w:szCs w:val="24"/>
          <w:lang w:val="en-US"/>
        </w:rPr>
      </w:pPr>
      <w:r w:rsidRPr="00FC4628">
        <w:rPr>
          <w:rFonts w:ascii="Arial" w:hAnsi="Arial" w:cs="Arial"/>
          <w:sz w:val="24"/>
          <w:szCs w:val="24"/>
          <w:lang w:val="en-US"/>
        </w:rPr>
        <w:t>Restructuring Debt: Engaging with creditors to renegotiate debt terms, as demonstrated by InterContinental Hotels Group (IHG), can reduce immediate cash flow pressures. IHG successfully restructured its debt during a period of reduced revenue, resulting in lower interest obligations and increased cash flow for reinvestment (Bloomberg, 2023). Similarly, The City Hotel could approach its creditors to negotiate lower interest rates, extended payment terms, or even partial forgiveness to improve financial flexibility.</w:t>
      </w:r>
    </w:p>
    <w:p w14:paraId="6517C53C" w14:textId="5883ED1D" w:rsidR="00044D42" w:rsidRPr="00FC4628" w:rsidRDefault="00044D42" w:rsidP="00FC4628">
      <w:pPr>
        <w:spacing w:line="360" w:lineRule="auto"/>
        <w:rPr>
          <w:rFonts w:ascii="Arial" w:hAnsi="Arial" w:cs="Arial"/>
          <w:sz w:val="24"/>
          <w:szCs w:val="24"/>
          <w:lang w:val="en-US"/>
        </w:rPr>
      </w:pPr>
      <w:r w:rsidRPr="00FC4628">
        <w:rPr>
          <w:rFonts w:ascii="Arial" w:hAnsi="Arial" w:cs="Arial"/>
          <w:sz w:val="24"/>
          <w:szCs w:val="24"/>
          <w:lang w:val="en-US"/>
        </w:rPr>
        <w:t>Exploring New Revenue Streams: Leasing underutilized spaces within the hotel can generate additional income and diversify revenue sources. Marriott International, for instance, partnered with workspace providers to convert underused areas into co-working spaces, catering to the demand for remote work environments (McKinsey &amp; Company, 2023). The City Hotel could repurpose underused event spaces for co-working or pop-up retail shops, attracting local businesses and increasing revenue.</w:t>
      </w:r>
    </w:p>
    <w:p w14:paraId="477E12F8" w14:textId="77777777" w:rsidR="00B15D89" w:rsidRPr="00FC4628" w:rsidRDefault="00B15D89" w:rsidP="00FC4628">
      <w:pPr>
        <w:spacing w:line="360" w:lineRule="auto"/>
        <w:rPr>
          <w:rFonts w:ascii="Arial" w:hAnsi="Arial" w:cs="Arial"/>
          <w:b/>
          <w:bCs/>
          <w:sz w:val="24"/>
          <w:szCs w:val="24"/>
          <w:lang w:val="en-US"/>
        </w:rPr>
      </w:pPr>
      <w:r w:rsidRPr="00FC4628">
        <w:rPr>
          <w:rFonts w:ascii="Arial" w:hAnsi="Arial" w:cs="Arial"/>
          <w:b/>
          <w:bCs/>
          <w:sz w:val="24"/>
          <w:szCs w:val="24"/>
          <w:lang w:val="en-US"/>
        </w:rPr>
        <w:t>4.4 Enhancing Customer Experience and Digital Modernization</w:t>
      </w:r>
    </w:p>
    <w:p w14:paraId="5513D68A" w14:textId="77777777" w:rsidR="00E15911" w:rsidRPr="00FC4628" w:rsidRDefault="00E15911" w:rsidP="00FC4628">
      <w:pPr>
        <w:spacing w:line="360" w:lineRule="auto"/>
        <w:rPr>
          <w:rFonts w:ascii="Arial" w:hAnsi="Arial" w:cs="Arial"/>
          <w:sz w:val="24"/>
          <w:szCs w:val="24"/>
          <w:lang w:val="en-US"/>
        </w:rPr>
      </w:pPr>
      <w:r w:rsidRPr="00FC4628">
        <w:rPr>
          <w:rFonts w:ascii="Arial" w:hAnsi="Arial" w:cs="Arial"/>
          <w:sz w:val="24"/>
          <w:szCs w:val="24"/>
          <w:lang w:val="en-US"/>
        </w:rPr>
        <w:t>Meeting modern guest expectations requires investments in technology and personalized services to enhance the customer experience and drive repeat bookings.</w:t>
      </w:r>
    </w:p>
    <w:p w14:paraId="751A587A" w14:textId="77777777" w:rsidR="00E15911" w:rsidRPr="00FC4628" w:rsidRDefault="00E15911" w:rsidP="00FC4628">
      <w:pPr>
        <w:spacing w:line="360" w:lineRule="auto"/>
        <w:rPr>
          <w:rFonts w:ascii="Arial" w:hAnsi="Arial" w:cs="Arial"/>
          <w:sz w:val="24"/>
          <w:szCs w:val="24"/>
          <w:lang w:val="en-US"/>
        </w:rPr>
      </w:pPr>
      <w:r w:rsidRPr="00FC4628">
        <w:rPr>
          <w:rFonts w:ascii="Arial" w:hAnsi="Arial" w:cs="Arial"/>
          <w:sz w:val="24"/>
          <w:szCs w:val="24"/>
          <w:lang w:val="en-US"/>
        </w:rPr>
        <w:lastRenderedPageBreak/>
        <w:t>Upgrading Digital Amenities: Digital transformations, such as mobile check-in, digital room keys, and virtual concierge services, have become standard in the industry. Moxy Hotels, a Marriott brand, successfully implemented these features to appeal to younger, tech-savvy guests (Knight Frank, 2020). By upgrading to similar digital conveniences, The City Hotel can streamline check-in processes, improve guest satisfaction, and cater to a more tech-oriented clientele.</w:t>
      </w:r>
    </w:p>
    <w:p w14:paraId="0EC13330" w14:textId="77777777" w:rsidR="00E15911" w:rsidRPr="00FC4628" w:rsidRDefault="00E15911" w:rsidP="00FC4628">
      <w:pPr>
        <w:spacing w:line="360" w:lineRule="auto"/>
        <w:rPr>
          <w:rFonts w:ascii="Arial" w:hAnsi="Arial" w:cs="Arial"/>
          <w:sz w:val="24"/>
          <w:szCs w:val="24"/>
          <w:lang w:val="en-US"/>
        </w:rPr>
      </w:pPr>
      <w:r w:rsidRPr="00FC4628">
        <w:rPr>
          <w:rFonts w:ascii="Arial" w:hAnsi="Arial" w:cs="Arial"/>
          <w:sz w:val="24"/>
          <w:szCs w:val="24"/>
          <w:lang w:val="en-US"/>
        </w:rPr>
        <w:t>Personalizing Guest Services: Providing unique, personalized experiences fosters customer loyalty and can improve the guest experience. Kimpton Hotels, for instance, is known for offering personalized touches, such as complimentary wine hours and pet-friendly accommodations, which have contributed to higher guest satisfaction and loyalty (Deloitte, 2023). The City Hotel could offer similar customized amenities, such as hosting exclusive evening events, providing local treats, or offering tailored concierge services.</w:t>
      </w:r>
    </w:p>
    <w:p w14:paraId="0311F029" w14:textId="77777777" w:rsidR="00E15911" w:rsidRPr="00E15911" w:rsidRDefault="00E15911" w:rsidP="00B15D89">
      <w:pPr>
        <w:spacing w:line="360" w:lineRule="auto"/>
        <w:rPr>
          <w:rFonts w:ascii="Arial" w:hAnsi="Arial" w:cs="Arial"/>
          <w:sz w:val="24"/>
          <w:szCs w:val="24"/>
          <w:lang w:val="en-US"/>
        </w:rPr>
      </w:pPr>
    </w:p>
    <w:p w14:paraId="31C4DAD0" w14:textId="1510D35B" w:rsidR="00B23E70" w:rsidRDefault="006F6327" w:rsidP="00AE25F8">
      <w:pPr>
        <w:spacing w:line="360" w:lineRule="auto"/>
        <w:rPr>
          <w:rFonts w:ascii="Arial" w:hAnsi="Arial" w:cs="Arial"/>
          <w:b/>
          <w:bCs/>
          <w:sz w:val="24"/>
          <w:szCs w:val="24"/>
        </w:rPr>
      </w:pPr>
      <w:r w:rsidRPr="006F6327">
        <w:rPr>
          <w:rFonts w:ascii="Arial" w:hAnsi="Arial" w:cs="Arial"/>
          <w:b/>
          <w:bCs/>
          <w:sz w:val="24"/>
          <w:szCs w:val="24"/>
        </w:rPr>
        <w:t>Summary of Recommended Turnaround Actions</w:t>
      </w:r>
    </w:p>
    <w:tbl>
      <w:tblPr>
        <w:tblW w:w="10197" w:type="dxa"/>
        <w:tblInd w:w="-5" w:type="dxa"/>
        <w:tblLook w:val="04A0" w:firstRow="1" w:lastRow="0" w:firstColumn="1" w:lastColumn="0" w:noHBand="0" w:noVBand="1"/>
      </w:tblPr>
      <w:tblGrid>
        <w:gridCol w:w="2889"/>
        <w:gridCol w:w="4219"/>
        <w:gridCol w:w="3089"/>
      </w:tblGrid>
      <w:tr w:rsidR="007B0C50" w:rsidRPr="007B0C50" w14:paraId="003ED39D" w14:textId="77777777" w:rsidTr="007B0C50">
        <w:trPr>
          <w:trHeight w:val="366"/>
        </w:trPr>
        <w:tc>
          <w:tcPr>
            <w:tcW w:w="2889" w:type="dxa"/>
            <w:tcBorders>
              <w:top w:val="single" w:sz="4" w:space="0" w:color="auto"/>
              <w:left w:val="single" w:sz="4" w:space="0" w:color="auto"/>
              <w:bottom w:val="single" w:sz="4" w:space="0" w:color="auto"/>
              <w:right w:val="single" w:sz="4" w:space="0" w:color="auto"/>
            </w:tcBorders>
            <w:shd w:val="clear" w:color="000000" w:fill="A3DBFF"/>
            <w:vAlign w:val="center"/>
            <w:hideMark/>
          </w:tcPr>
          <w:p w14:paraId="69D51574" w14:textId="77777777" w:rsidR="007B0C50" w:rsidRPr="007B0C50" w:rsidRDefault="007B0C50" w:rsidP="007B0C50">
            <w:pPr>
              <w:spacing w:after="0" w:line="240" w:lineRule="auto"/>
              <w:jc w:val="center"/>
              <w:rPr>
                <w:rFonts w:ascii="Arial" w:eastAsia="Times New Roman" w:hAnsi="Arial" w:cs="Arial"/>
                <w:b/>
                <w:bCs/>
                <w:color w:val="000000"/>
                <w:sz w:val="24"/>
                <w:szCs w:val="24"/>
                <w:lang w:val="en-US"/>
              </w:rPr>
            </w:pPr>
            <w:r w:rsidRPr="007B0C50">
              <w:rPr>
                <w:rFonts w:ascii="Arial" w:eastAsia="Times New Roman" w:hAnsi="Arial" w:cs="Arial"/>
                <w:b/>
                <w:bCs/>
                <w:color w:val="000000"/>
                <w:sz w:val="24"/>
                <w:szCs w:val="24"/>
                <w:lang w:val="en-US"/>
              </w:rPr>
              <w:t>Strategic Focus</w:t>
            </w:r>
          </w:p>
        </w:tc>
        <w:tc>
          <w:tcPr>
            <w:tcW w:w="4219" w:type="dxa"/>
            <w:tcBorders>
              <w:top w:val="single" w:sz="4" w:space="0" w:color="auto"/>
              <w:left w:val="nil"/>
              <w:bottom w:val="single" w:sz="4" w:space="0" w:color="auto"/>
              <w:right w:val="single" w:sz="4" w:space="0" w:color="auto"/>
            </w:tcBorders>
            <w:shd w:val="clear" w:color="000000" w:fill="A3DBFF"/>
            <w:vAlign w:val="center"/>
            <w:hideMark/>
          </w:tcPr>
          <w:p w14:paraId="2EA4E61F" w14:textId="77777777" w:rsidR="007B0C50" w:rsidRPr="007B0C50" w:rsidRDefault="007B0C50" w:rsidP="007B0C50">
            <w:pPr>
              <w:spacing w:after="0" w:line="240" w:lineRule="auto"/>
              <w:jc w:val="center"/>
              <w:rPr>
                <w:rFonts w:ascii="Arial" w:eastAsia="Times New Roman" w:hAnsi="Arial" w:cs="Arial"/>
                <w:b/>
                <w:bCs/>
                <w:color w:val="000000"/>
                <w:sz w:val="24"/>
                <w:szCs w:val="24"/>
                <w:lang w:val="en-US"/>
              </w:rPr>
            </w:pPr>
            <w:r w:rsidRPr="007B0C50">
              <w:rPr>
                <w:rFonts w:ascii="Arial" w:eastAsia="Times New Roman" w:hAnsi="Arial" w:cs="Arial"/>
                <w:b/>
                <w:bCs/>
                <w:color w:val="000000"/>
                <w:sz w:val="24"/>
                <w:szCs w:val="24"/>
                <w:lang w:val="en-US"/>
              </w:rPr>
              <w:t>Action</w:t>
            </w:r>
          </w:p>
        </w:tc>
        <w:tc>
          <w:tcPr>
            <w:tcW w:w="3089" w:type="dxa"/>
            <w:tcBorders>
              <w:top w:val="single" w:sz="4" w:space="0" w:color="auto"/>
              <w:left w:val="nil"/>
              <w:bottom w:val="single" w:sz="4" w:space="0" w:color="auto"/>
              <w:right w:val="single" w:sz="4" w:space="0" w:color="auto"/>
            </w:tcBorders>
            <w:shd w:val="clear" w:color="000000" w:fill="A3DBFF"/>
            <w:vAlign w:val="center"/>
            <w:hideMark/>
          </w:tcPr>
          <w:p w14:paraId="071D0B15" w14:textId="77777777" w:rsidR="007B0C50" w:rsidRPr="007B0C50" w:rsidRDefault="007B0C50" w:rsidP="007B0C50">
            <w:pPr>
              <w:spacing w:after="0" w:line="240" w:lineRule="auto"/>
              <w:jc w:val="center"/>
              <w:rPr>
                <w:rFonts w:ascii="Arial" w:eastAsia="Times New Roman" w:hAnsi="Arial" w:cs="Arial"/>
                <w:b/>
                <w:bCs/>
                <w:color w:val="000000"/>
                <w:sz w:val="24"/>
                <w:szCs w:val="24"/>
                <w:lang w:val="en-US"/>
              </w:rPr>
            </w:pPr>
            <w:r w:rsidRPr="007B0C50">
              <w:rPr>
                <w:rFonts w:ascii="Arial" w:eastAsia="Times New Roman" w:hAnsi="Arial" w:cs="Arial"/>
                <w:b/>
                <w:bCs/>
                <w:color w:val="000000"/>
                <w:sz w:val="24"/>
                <w:szCs w:val="24"/>
                <w:lang w:val="en-US"/>
              </w:rPr>
              <w:t>Expected Impact</w:t>
            </w:r>
          </w:p>
        </w:tc>
      </w:tr>
      <w:tr w:rsidR="007B0C50" w:rsidRPr="007B0C50" w14:paraId="29EA7CD4" w14:textId="77777777" w:rsidTr="007B0C50">
        <w:trPr>
          <w:trHeight w:val="296"/>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0548DD3E"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Revenue Growth and Market Repositioning</w:t>
            </w:r>
          </w:p>
        </w:tc>
        <w:tc>
          <w:tcPr>
            <w:tcW w:w="4219" w:type="dxa"/>
            <w:tcBorders>
              <w:top w:val="nil"/>
              <w:left w:val="nil"/>
              <w:bottom w:val="single" w:sz="4" w:space="0" w:color="auto"/>
              <w:right w:val="single" w:sz="4" w:space="0" w:color="auto"/>
            </w:tcBorders>
            <w:shd w:val="clear" w:color="auto" w:fill="auto"/>
            <w:vAlign w:val="center"/>
            <w:hideMark/>
          </w:tcPr>
          <w:p w14:paraId="575C57A2"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Partner with local artisans for themed events and experiences</w:t>
            </w:r>
          </w:p>
        </w:tc>
        <w:tc>
          <w:tcPr>
            <w:tcW w:w="3089" w:type="dxa"/>
            <w:tcBorders>
              <w:top w:val="nil"/>
              <w:left w:val="nil"/>
              <w:bottom w:val="single" w:sz="4" w:space="0" w:color="auto"/>
              <w:right w:val="single" w:sz="4" w:space="0" w:color="auto"/>
            </w:tcBorders>
            <w:shd w:val="clear" w:color="auto" w:fill="auto"/>
            <w:vAlign w:val="center"/>
            <w:hideMark/>
          </w:tcPr>
          <w:p w14:paraId="0C9ACE56"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Increase occupancy by attracting cultural travelers</w:t>
            </w:r>
          </w:p>
        </w:tc>
      </w:tr>
      <w:tr w:rsidR="007B0C50" w:rsidRPr="007B0C50" w14:paraId="6E89F940" w14:textId="77777777" w:rsidTr="007B0C50">
        <w:trPr>
          <w:trHeight w:val="366"/>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23C3A4B6"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Corporate Client Attraction</w:t>
            </w:r>
          </w:p>
        </w:tc>
        <w:tc>
          <w:tcPr>
            <w:tcW w:w="4219" w:type="dxa"/>
            <w:tcBorders>
              <w:top w:val="nil"/>
              <w:left w:val="nil"/>
              <w:bottom w:val="single" w:sz="4" w:space="0" w:color="auto"/>
              <w:right w:val="single" w:sz="4" w:space="0" w:color="auto"/>
            </w:tcBorders>
            <w:shd w:val="clear" w:color="auto" w:fill="auto"/>
            <w:vAlign w:val="center"/>
            <w:hideMark/>
          </w:tcPr>
          <w:p w14:paraId="2392AFD6"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Upgrade meeting spaces with hybrid technology</w:t>
            </w:r>
          </w:p>
        </w:tc>
        <w:tc>
          <w:tcPr>
            <w:tcW w:w="3089" w:type="dxa"/>
            <w:tcBorders>
              <w:top w:val="nil"/>
              <w:left w:val="nil"/>
              <w:bottom w:val="single" w:sz="4" w:space="0" w:color="auto"/>
              <w:right w:val="single" w:sz="4" w:space="0" w:color="auto"/>
            </w:tcBorders>
            <w:shd w:val="clear" w:color="auto" w:fill="auto"/>
            <w:vAlign w:val="center"/>
            <w:hideMark/>
          </w:tcPr>
          <w:p w14:paraId="4D7076CA"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Boost weekday occupancy and appeal to corporate clients</w:t>
            </w:r>
          </w:p>
        </w:tc>
      </w:tr>
      <w:tr w:rsidR="007B0C50" w:rsidRPr="007B0C50" w14:paraId="0E77CC92" w14:textId="77777777" w:rsidTr="007B0C50">
        <w:trPr>
          <w:trHeight w:val="366"/>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3E2BEC3C"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Cost Optimization</w:t>
            </w:r>
          </w:p>
        </w:tc>
        <w:tc>
          <w:tcPr>
            <w:tcW w:w="4219" w:type="dxa"/>
            <w:tcBorders>
              <w:top w:val="nil"/>
              <w:left w:val="nil"/>
              <w:bottom w:val="single" w:sz="4" w:space="0" w:color="auto"/>
              <w:right w:val="single" w:sz="4" w:space="0" w:color="auto"/>
            </w:tcBorders>
            <w:shd w:val="clear" w:color="auto" w:fill="auto"/>
            <w:vAlign w:val="center"/>
            <w:hideMark/>
          </w:tcPr>
          <w:p w14:paraId="36128780"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Cross-train employees to cover multiple roles; source locally</w:t>
            </w:r>
          </w:p>
        </w:tc>
        <w:tc>
          <w:tcPr>
            <w:tcW w:w="3089" w:type="dxa"/>
            <w:tcBorders>
              <w:top w:val="nil"/>
              <w:left w:val="nil"/>
              <w:bottom w:val="single" w:sz="4" w:space="0" w:color="auto"/>
              <w:right w:val="single" w:sz="4" w:space="0" w:color="auto"/>
            </w:tcBorders>
            <w:shd w:val="clear" w:color="auto" w:fill="auto"/>
            <w:vAlign w:val="center"/>
            <w:hideMark/>
          </w:tcPr>
          <w:p w14:paraId="7FE4FAD5"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Reduce labor and supply costs</w:t>
            </w:r>
          </w:p>
        </w:tc>
      </w:tr>
      <w:tr w:rsidR="007B0C50" w:rsidRPr="007B0C50" w14:paraId="43719A58" w14:textId="77777777" w:rsidTr="007B0C50">
        <w:trPr>
          <w:trHeight w:val="366"/>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24EFB503"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Financial Restructuring</w:t>
            </w:r>
          </w:p>
        </w:tc>
        <w:tc>
          <w:tcPr>
            <w:tcW w:w="4219" w:type="dxa"/>
            <w:tcBorders>
              <w:top w:val="nil"/>
              <w:left w:val="nil"/>
              <w:bottom w:val="single" w:sz="4" w:space="0" w:color="auto"/>
              <w:right w:val="single" w:sz="4" w:space="0" w:color="auto"/>
            </w:tcBorders>
            <w:shd w:val="clear" w:color="auto" w:fill="auto"/>
            <w:vAlign w:val="center"/>
            <w:hideMark/>
          </w:tcPr>
          <w:p w14:paraId="1B0001DE"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Renegotiate debt terms with creditors</w:t>
            </w:r>
          </w:p>
        </w:tc>
        <w:tc>
          <w:tcPr>
            <w:tcW w:w="3089" w:type="dxa"/>
            <w:tcBorders>
              <w:top w:val="nil"/>
              <w:left w:val="nil"/>
              <w:bottom w:val="single" w:sz="4" w:space="0" w:color="auto"/>
              <w:right w:val="single" w:sz="4" w:space="0" w:color="auto"/>
            </w:tcBorders>
            <w:shd w:val="clear" w:color="auto" w:fill="auto"/>
            <w:vAlign w:val="center"/>
            <w:hideMark/>
          </w:tcPr>
          <w:p w14:paraId="6A5469F4"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Improve cash flow and financial flexibility</w:t>
            </w:r>
          </w:p>
        </w:tc>
      </w:tr>
      <w:tr w:rsidR="007B0C50" w:rsidRPr="007B0C50" w14:paraId="56C4AB5C" w14:textId="77777777" w:rsidTr="007B0C50">
        <w:trPr>
          <w:trHeight w:val="366"/>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783B009A"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Alternative Revenue Streams</w:t>
            </w:r>
          </w:p>
        </w:tc>
        <w:tc>
          <w:tcPr>
            <w:tcW w:w="4219" w:type="dxa"/>
            <w:tcBorders>
              <w:top w:val="nil"/>
              <w:left w:val="nil"/>
              <w:bottom w:val="single" w:sz="4" w:space="0" w:color="auto"/>
              <w:right w:val="single" w:sz="4" w:space="0" w:color="auto"/>
            </w:tcBorders>
            <w:shd w:val="clear" w:color="auto" w:fill="auto"/>
            <w:vAlign w:val="center"/>
            <w:hideMark/>
          </w:tcPr>
          <w:p w14:paraId="0A92FD99"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Repurpose underused spaces for co-working or retail</w:t>
            </w:r>
          </w:p>
        </w:tc>
        <w:tc>
          <w:tcPr>
            <w:tcW w:w="3089" w:type="dxa"/>
            <w:tcBorders>
              <w:top w:val="nil"/>
              <w:left w:val="nil"/>
              <w:bottom w:val="single" w:sz="4" w:space="0" w:color="auto"/>
              <w:right w:val="single" w:sz="4" w:space="0" w:color="auto"/>
            </w:tcBorders>
            <w:shd w:val="clear" w:color="auto" w:fill="auto"/>
            <w:vAlign w:val="center"/>
            <w:hideMark/>
          </w:tcPr>
          <w:p w14:paraId="44178E8E"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Generate additional revenue and diversify income</w:t>
            </w:r>
          </w:p>
        </w:tc>
      </w:tr>
      <w:tr w:rsidR="007B0C50" w:rsidRPr="007B0C50" w14:paraId="4DB37747" w14:textId="77777777" w:rsidTr="007B0C50">
        <w:trPr>
          <w:trHeight w:val="366"/>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51EED717"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Customer Experience Modernization</w:t>
            </w:r>
          </w:p>
        </w:tc>
        <w:tc>
          <w:tcPr>
            <w:tcW w:w="4219" w:type="dxa"/>
            <w:tcBorders>
              <w:top w:val="nil"/>
              <w:left w:val="nil"/>
              <w:bottom w:val="single" w:sz="4" w:space="0" w:color="auto"/>
              <w:right w:val="single" w:sz="4" w:space="0" w:color="auto"/>
            </w:tcBorders>
            <w:shd w:val="clear" w:color="auto" w:fill="auto"/>
            <w:vAlign w:val="center"/>
            <w:hideMark/>
          </w:tcPr>
          <w:p w14:paraId="52BE720F"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Implement mobile check-in, digital room keys, and virtual concierge services</w:t>
            </w:r>
          </w:p>
        </w:tc>
        <w:tc>
          <w:tcPr>
            <w:tcW w:w="3089" w:type="dxa"/>
            <w:tcBorders>
              <w:top w:val="nil"/>
              <w:left w:val="nil"/>
              <w:bottom w:val="single" w:sz="4" w:space="0" w:color="auto"/>
              <w:right w:val="single" w:sz="4" w:space="0" w:color="auto"/>
            </w:tcBorders>
            <w:shd w:val="clear" w:color="auto" w:fill="auto"/>
            <w:vAlign w:val="center"/>
            <w:hideMark/>
          </w:tcPr>
          <w:p w14:paraId="6F2A8815"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Enhance guest satisfaction and attract tech-savvy travelers</w:t>
            </w:r>
          </w:p>
        </w:tc>
      </w:tr>
      <w:tr w:rsidR="007B0C50" w:rsidRPr="007B0C50" w14:paraId="269CF2AC" w14:textId="77777777" w:rsidTr="007B0C50">
        <w:trPr>
          <w:trHeight w:val="349"/>
        </w:trPr>
        <w:tc>
          <w:tcPr>
            <w:tcW w:w="2889" w:type="dxa"/>
            <w:tcBorders>
              <w:top w:val="nil"/>
              <w:left w:val="single" w:sz="4" w:space="0" w:color="auto"/>
              <w:bottom w:val="single" w:sz="4" w:space="0" w:color="auto"/>
              <w:right w:val="single" w:sz="4" w:space="0" w:color="auto"/>
            </w:tcBorders>
            <w:shd w:val="clear" w:color="auto" w:fill="auto"/>
            <w:vAlign w:val="center"/>
            <w:hideMark/>
          </w:tcPr>
          <w:p w14:paraId="78F3BD20"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Personalized Services</w:t>
            </w:r>
          </w:p>
        </w:tc>
        <w:tc>
          <w:tcPr>
            <w:tcW w:w="4219" w:type="dxa"/>
            <w:tcBorders>
              <w:top w:val="nil"/>
              <w:left w:val="nil"/>
              <w:bottom w:val="single" w:sz="4" w:space="0" w:color="auto"/>
              <w:right w:val="single" w:sz="4" w:space="0" w:color="auto"/>
            </w:tcBorders>
            <w:shd w:val="clear" w:color="auto" w:fill="auto"/>
            <w:vAlign w:val="center"/>
            <w:hideMark/>
          </w:tcPr>
          <w:p w14:paraId="39AB68C4"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Offer unique guest experiences, such as evening events or tailored concierge services</w:t>
            </w:r>
          </w:p>
        </w:tc>
        <w:tc>
          <w:tcPr>
            <w:tcW w:w="3089" w:type="dxa"/>
            <w:tcBorders>
              <w:top w:val="nil"/>
              <w:left w:val="nil"/>
              <w:bottom w:val="single" w:sz="4" w:space="0" w:color="auto"/>
              <w:right w:val="single" w:sz="4" w:space="0" w:color="auto"/>
            </w:tcBorders>
            <w:shd w:val="clear" w:color="auto" w:fill="auto"/>
            <w:vAlign w:val="center"/>
            <w:hideMark/>
          </w:tcPr>
          <w:p w14:paraId="7FDEEFA8" w14:textId="77777777" w:rsidR="007B0C50" w:rsidRPr="007B0C50" w:rsidRDefault="007B0C50" w:rsidP="007B0C50">
            <w:pPr>
              <w:spacing w:after="0" w:line="240" w:lineRule="auto"/>
              <w:rPr>
                <w:rFonts w:ascii="Arial" w:eastAsia="Times New Roman" w:hAnsi="Arial" w:cs="Arial"/>
                <w:color w:val="000000"/>
                <w:sz w:val="24"/>
                <w:szCs w:val="24"/>
                <w:lang w:val="en-US"/>
              </w:rPr>
            </w:pPr>
            <w:r w:rsidRPr="007B0C50">
              <w:rPr>
                <w:rFonts w:ascii="Arial" w:eastAsia="Times New Roman" w:hAnsi="Arial" w:cs="Arial"/>
                <w:color w:val="000000"/>
                <w:sz w:val="24"/>
                <w:szCs w:val="24"/>
                <w:lang w:val="en-US"/>
              </w:rPr>
              <w:t>Build customer loyalty and encourage repeat bookings</w:t>
            </w:r>
          </w:p>
        </w:tc>
      </w:tr>
    </w:tbl>
    <w:p w14:paraId="02DEF831" w14:textId="77777777" w:rsidR="006F6327" w:rsidRPr="006F6327" w:rsidRDefault="006F6327" w:rsidP="00AE25F8">
      <w:pPr>
        <w:spacing w:line="360" w:lineRule="auto"/>
        <w:rPr>
          <w:rFonts w:ascii="Arial" w:hAnsi="Arial" w:cs="Arial"/>
          <w:b/>
          <w:bCs/>
          <w:sz w:val="24"/>
          <w:szCs w:val="24"/>
        </w:rPr>
      </w:pPr>
    </w:p>
    <w:p w14:paraId="24DB72FE" w14:textId="77777777" w:rsidR="00AE25F8" w:rsidRDefault="00AE25F8" w:rsidP="00AE25F8">
      <w:pPr>
        <w:spacing w:line="360" w:lineRule="auto"/>
        <w:rPr>
          <w:rFonts w:ascii="Arial" w:hAnsi="Arial" w:cs="Arial"/>
          <w:b/>
          <w:bCs/>
          <w:sz w:val="24"/>
          <w:szCs w:val="24"/>
        </w:rPr>
      </w:pPr>
    </w:p>
    <w:p w14:paraId="5E7876E9" w14:textId="77777777" w:rsidR="00743B4E" w:rsidRDefault="00743B4E" w:rsidP="00E91612">
      <w:pPr>
        <w:rPr>
          <w:rFonts w:ascii="Arial" w:hAnsi="Arial" w:cs="Arial"/>
          <w:b/>
          <w:bCs/>
          <w:sz w:val="24"/>
          <w:szCs w:val="24"/>
        </w:rPr>
      </w:pPr>
    </w:p>
    <w:p w14:paraId="3EEAF7A0" w14:textId="3009590E" w:rsidR="0083499F" w:rsidRPr="0027725C" w:rsidRDefault="0083499F" w:rsidP="0027725C">
      <w:pPr>
        <w:spacing w:line="360" w:lineRule="auto"/>
        <w:rPr>
          <w:rFonts w:ascii="Arial" w:hAnsi="Arial" w:cs="Arial"/>
          <w:b/>
          <w:bCs/>
          <w:sz w:val="24"/>
          <w:szCs w:val="24"/>
        </w:rPr>
      </w:pPr>
      <w:r w:rsidRPr="0027725C">
        <w:rPr>
          <w:rFonts w:ascii="Arial" w:hAnsi="Arial" w:cs="Arial"/>
          <w:b/>
          <w:bCs/>
          <w:sz w:val="24"/>
          <w:szCs w:val="24"/>
        </w:rPr>
        <w:lastRenderedPageBreak/>
        <w:t>5.Conclusion</w:t>
      </w:r>
    </w:p>
    <w:p w14:paraId="31A201B1" w14:textId="1BC3BB09" w:rsidR="00E91612" w:rsidRPr="0027725C" w:rsidRDefault="0083499F" w:rsidP="0027725C">
      <w:pPr>
        <w:spacing w:line="360" w:lineRule="auto"/>
        <w:rPr>
          <w:rFonts w:ascii="Arial" w:hAnsi="Arial" w:cs="Arial"/>
          <w:sz w:val="24"/>
          <w:szCs w:val="24"/>
        </w:rPr>
      </w:pPr>
      <w:r w:rsidRPr="0027725C">
        <w:rPr>
          <w:rFonts w:ascii="Arial" w:hAnsi="Arial" w:cs="Arial"/>
          <w:sz w:val="24"/>
          <w:szCs w:val="24"/>
        </w:rPr>
        <w:t xml:space="preserve">The City Hotel has encountered substantial financial challenges in recent years, with a notable decline in revenue, occupancy rates, and customer satisfaction. An analysis of its financial health reveals that high operational costs, weak liquidity, heavy debt reliance, and a lack of modern guest amenities have hindered its performance. These issues, compounded by external factors like economic shifts and changing customer preferences, call for a robust turnaround strategy. With targeted interventions focused on revenue growth, cost efficiency, customer experience, and financial restructuring, The City Hotel has a pathway to regain stability, appeal to modern </w:t>
      </w:r>
      <w:proofErr w:type="spellStart"/>
      <w:r w:rsidRPr="0027725C">
        <w:rPr>
          <w:rFonts w:ascii="Arial" w:hAnsi="Arial" w:cs="Arial"/>
          <w:sz w:val="24"/>
          <w:szCs w:val="24"/>
        </w:rPr>
        <w:t>travelers</w:t>
      </w:r>
      <w:proofErr w:type="spellEnd"/>
      <w:r w:rsidRPr="0027725C">
        <w:rPr>
          <w:rFonts w:ascii="Arial" w:hAnsi="Arial" w:cs="Arial"/>
          <w:sz w:val="24"/>
          <w:szCs w:val="24"/>
        </w:rPr>
        <w:t>, and establish sustainable growth.</w:t>
      </w:r>
    </w:p>
    <w:p w14:paraId="335FCCBD" w14:textId="77777777" w:rsidR="00E15911" w:rsidRDefault="00E15911" w:rsidP="00E91612">
      <w:pPr>
        <w:rPr>
          <w:rFonts w:ascii="Arial" w:hAnsi="Arial" w:cs="Arial"/>
          <w:b/>
          <w:bCs/>
          <w:sz w:val="24"/>
          <w:szCs w:val="24"/>
        </w:rPr>
      </w:pPr>
    </w:p>
    <w:p w14:paraId="033A09AE" w14:textId="77777777" w:rsidR="00B8741E" w:rsidRDefault="00B8741E" w:rsidP="00E91612">
      <w:pPr>
        <w:rPr>
          <w:rFonts w:ascii="Arial" w:hAnsi="Arial" w:cs="Arial"/>
          <w:b/>
          <w:bCs/>
          <w:sz w:val="24"/>
          <w:szCs w:val="24"/>
        </w:rPr>
      </w:pPr>
    </w:p>
    <w:p w14:paraId="4F0B70D0" w14:textId="77777777" w:rsidR="00B8741E" w:rsidRDefault="00B8741E" w:rsidP="00E91612">
      <w:pPr>
        <w:rPr>
          <w:rFonts w:ascii="Arial" w:hAnsi="Arial" w:cs="Arial"/>
          <w:b/>
          <w:bCs/>
          <w:sz w:val="24"/>
          <w:szCs w:val="24"/>
        </w:rPr>
      </w:pPr>
    </w:p>
    <w:p w14:paraId="16716BD9" w14:textId="77777777" w:rsidR="00B8741E" w:rsidRDefault="00B8741E" w:rsidP="00E91612">
      <w:pPr>
        <w:rPr>
          <w:rFonts w:ascii="Arial" w:hAnsi="Arial" w:cs="Arial"/>
          <w:b/>
          <w:bCs/>
          <w:sz w:val="24"/>
          <w:szCs w:val="24"/>
        </w:rPr>
      </w:pPr>
    </w:p>
    <w:p w14:paraId="63D3217C" w14:textId="77777777" w:rsidR="00B8741E" w:rsidRDefault="00B8741E" w:rsidP="00E91612">
      <w:pPr>
        <w:rPr>
          <w:rFonts w:ascii="Arial" w:hAnsi="Arial" w:cs="Arial"/>
          <w:b/>
          <w:bCs/>
          <w:sz w:val="24"/>
          <w:szCs w:val="24"/>
        </w:rPr>
      </w:pPr>
    </w:p>
    <w:p w14:paraId="03E97D46" w14:textId="77777777" w:rsidR="00B8741E" w:rsidRDefault="00B8741E" w:rsidP="00E91612">
      <w:pPr>
        <w:rPr>
          <w:rFonts w:ascii="Arial" w:hAnsi="Arial" w:cs="Arial"/>
          <w:b/>
          <w:bCs/>
          <w:sz w:val="24"/>
          <w:szCs w:val="24"/>
        </w:rPr>
      </w:pPr>
    </w:p>
    <w:p w14:paraId="17F106A2" w14:textId="77777777" w:rsidR="00B8741E" w:rsidRDefault="00B8741E" w:rsidP="00E91612">
      <w:pPr>
        <w:rPr>
          <w:rFonts w:ascii="Arial" w:hAnsi="Arial" w:cs="Arial"/>
          <w:b/>
          <w:bCs/>
          <w:sz w:val="24"/>
          <w:szCs w:val="24"/>
        </w:rPr>
      </w:pPr>
    </w:p>
    <w:p w14:paraId="2C2D71BE" w14:textId="77777777" w:rsidR="00B8741E" w:rsidRDefault="00B8741E" w:rsidP="00E91612">
      <w:pPr>
        <w:rPr>
          <w:rFonts w:ascii="Arial" w:hAnsi="Arial" w:cs="Arial"/>
          <w:b/>
          <w:bCs/>
          <w:sz w:val="24"/>
          <w:szCs w:val="24"/>
        </w:rPr>
      </w:pPr>
    </w:p>
    <w:p w14:paraId="224FE2CF" w14:textId="77777777" w:rsidR="00B8741E" w:rsidRDefault="00B8741E" w:rsidP="00E91612">
      <w:pPr>
        <w:rPr>
          <w:rFonts w:ascii="Arial" w:hAnsi="Arial" w:cs="Arial"/>
          <w:b/>
          <w:bCs/>
          <w:sz w:val="24"/>
          <w:szCs w:val="24"/>
        </w:rPr>
      </w:pPr>
    </w:p>
    <w:p w14:paraId="0423D7E6" w14:textId="77777777" w:rsidR="00B8741E" w:rsidRDefault="00B8741E" w:rsidP="00E91612">
      <w:pPr>
        <w:rPr>
          <w:rFonts w:ascii="Arial" w:hAnsi="Arial" w:cs="Arial"/>
          <w:b/>
          <w:bCs/>
          <w:sz w:val="24"/>
          <w:szCs w:val="24"/>
        </w:rPr>
      </w:pPr>
    </w:p>
    <w:p w14:paraId="18270CF7" w14:textId="77777777" w:rsidR="00B8741E" w:rsidRDefault="00B8741E" w:rsidP="00E91612">
      <w:pPr>
        <w:rPr>
          <w:rFonts w:ascii="Arial" w:hAnsi="Arial" w:cs="Arial"/>
          <w:b/>
          <w:bCs/>
          <w:sz w:val="24"/>
          <w:szCs w:val="24"/>
        </w:rPr>
      </w:pPr>
    </w:p>
    <w:p w14:paraId="1B48B023" w14:textId="77777777" w:rsidR="00B8741E" w:rsidRDefault="00B8741E" w:rsidP="00E91612">
      <w:pPr>
        <w:rPr>
          <w:rFonts w:ascii="Arial" w:hAnsi="Arial" w:cs="Arial"/>
          <w:b/>
          <w:bCs/>
          <w:sz w:val="24"/>
          <w:szCs w:val="24"/>
        </w:rPr>
      </w:pPr>
    </w:p>
    <w:p w14:paraId="015BF9E8" w14:textId="77777777" w:rsidR="00B8741E" w:rsidRDefault="00B8741E" w:rsidP="00E91612">
      <w:pPr>
        <w:rPr>
          <w:rFonts w:ascii="Arial" w:hAnsi="Arial" w:cs="Arial"/>
          <w:b/>
          <w:bCs/>
          <w:sz w:val="24"/>
          <w:szCs w:val="24"/>
        </w:rPr>
      </w:pPr>
    </w:p>
    <w:p w14:paraId="46571D90" w14:textId="77777777" w:rsidR="00B8741E" w:rsidRDefault="00B8741E" w:rsidP="00E91612">
      <w:pPr>
        <w:rPr>
          <w:rFonts w:ascii="Arial" w:hAnsi="Arial" w:cs="Arial"/>
          <w:b/>
          <w:bCs/>
          <w:sz w:val="24"/>
          <w:szCs w:val="24"/>
        </w:rPr>
      </w:pPr>
    </w:p>
    <w:p w14:paraId="41837BA8" w14:textId="77777777" w:rsidR="00B8741E" w:rsidRDefault="00B8741E" w:rsidP="00E91612">
      <w:pPr>
        <w:rPr>
          <w:rFonts w:ascii="Arial" w:hAnsi="Arial" w:cs="Arial"/>
          <w:b/>
          <w:bCs/>
          <w:sz w:val="24"/>
          <w:szCs w:val="24"/>
        </w:rPr>
      </w:pPr>
    </w:p>
    <w:p w14:paraId="6600C5C2" w14:textId="77777777" w:rsidR="00B8741E" w:rsidRDefault="00B8741E" w:rsidP="00E91612">
      <w:pPr>
        <w:rPr>
          <w:rFonts w:ascii="Arial" w:hAnsi="Arial" w:cs="Arial"/>
          <w:b/>
          <w:bCs/>
          <w:sz w:val="24"/>
          <w:szCs w:val="24"/>
        </w:rPr>
      </w:pPr>
    </w:p>
    <w:p w14:paraId="5613D656" w14:textId="77777777" w:rsidR="00B8741E" w:rsidRDefault="00B8741E" w:rsidP="00E91612">
      <w:pPr>
        <w:rPr>
          <w:rFonts w:ascii="Arial" w:hAnsi="Arial" w:cs="Arial"/>
          <w:b/>
          <w:bCs/>
          <w:sz w:val="24"/>
          <w:szCs w:val="24"/>
        </w:rPr>
      </w:pPr>
    </w:p>
    <w:p w14:paraId="2D27C25A" w14:textId="77777777" w:rsidR="00B8741E" w:rsidRDefault="00B8741E" w:rsidP="00E91612">
      <w:pPr>
        <w:rPr>
          <w:rFonts w:ascii="Arial" w:hAnsi="Arial" w:cs="Arial"/>
          <w:b/>
          <w:bCs/>
          <w:sz w:val="24"/>
          <w:szCs w:val="24"/>
        </w:rPr>
      </w:pPr>
    </w:p>
    <w:p w14:paraId="63E02361" w14:textId="77777777" w:rsidR="00B8741E" w:rsidRDefault="00B8741E" w:rsidP="00E91612">
      <w:pPr>
        <w:rPr>
          <w:rFonts w:ascii="Arial" w:hAnsi="Arial" w:cs="Arial"/>
          <w:b/>
          <w:bCs/>
          <w:sz w:val="24"/>
          <w:szCs w:val="24"/>
        </w:rPr>
      </w:pPr>
    </w:p>
    <w:p w14:paraId="072DFB71" w14:textId="77777777" w:rsidR="00B8741E" w:rsidRDefault="00B8741E" w:rsidP="00E91612">
      <w:pPr>
        <w:rPr>
          <w:rFonts w:ascii="Arial" w:hAnsi="Arial" w:cs="Arial"/>
          <w:b/>
          <w:bCs/>
          <w:sz w:val="24"/>
          <w:szCs w:val="24"/>
        </w:rPr>
      </w:pPr>
    </w:p>
    <w:p w14:paraId="5ECDAAA9" w14:textId="77777777" w:rsidR="00B8741E" w:rsidRDefault="00B8741E" w:rsidP="00E91612">
      <w:pPr>
        <w:rPr>
          <w:rFonts w:ascii="Arial" w:hAnsi="Arial" w:cs="Arial"/>
          <w:b/>
          <w:bCs/>
          <w:sz w:val="24"/>
          <w:szCs w:val="24"/>
        </w:rPr>
      </w:pPr>
    </w:p>
    <w:p w14:paraId="4067ADE8" w14:textId="5E2EBBDE" w:rsidR="00B8741E" w:rsidRPr="0027725C" w:rsidRDefault="0083499F" w:rsidP="0027725C">
      <w:pPr>
        <w:spacing w:line="360" w:lineRule="auto"/>
        <w:rPr>
          <w:rFonts w:ascii="Arial" w:hAnsi="Arial" w:cs="Arial"/>
          <w:b/>
          <w:bCs/>
          <w:sz w:val="24"/>
          <w:szCs w:val="24"/>
        </w:rPr>
      </w:pPr>
      <w:r w:rsidRPr="0027725C">
        <w:rPr>
          <w:rFonts w:ascii="Arial" w:hAnsi="Arial" w:cs="Arial"/>
          <w:b/>
          <w:bCs/>
          <w:sz w:val="24"/>
          <w:szCs w:val="24"/>
        </w:rPr>
        <w:lastRenderedPageBreak/>
        <w:t>6.</w:t>
      </w:r>
      <w:r w:rsidR="001E50AA" w:rsidRPr="0027725C">
        <w:rPr>
          <w:rFonts w:ascii="Arial" w:hAnsi="Arial" w:cs="Arial"/>
          <w:sz w:val="24"/>
          <w:szCs w:val="24"/>
        </w:rPr>
        <w:t xml:space="preserve"> </w:t>
      </w:r>
      <w:r w:rsidR="001E50AA" w:rsidRPr="0027725C">
        <w:rPr>
          <w:rFonts w:ascii="Arial" w:hAnsi="Arial" w:cs="Arial"/>
          <w:b/>
          <w:bCs/>
          <w:sz w:val="24"/>
          <w:szCs w:val="24"/>
        </w:rPr>
        <w:t>Recommendations</w:t>
      </w:r>
    </w:p>
    <w:p w14:paraId="71AD698A" w14:textId="00F88127" w:rsidR="001E50AA" w:rsidRPr="0027725C" w:rsidRDefault="00BC00AE" w:rsidP="0027725C">
      <w:pPr>
        <w:spacing w:line="360" w:lineRule="auto"/>
        <w:rPr>
          <w:rFonts w:ascii="Arial" w:hAnsi="Arial" w:cs="Arial"/>
          <w:sz w:val="24"/>
          <w:szCs w:val="24"/>
        </w:rPr>
      </w:pPr>
      <w:r w:rsidRPr="0027725C">
        <w:rPr>
          <w:rFonts w:ascii="Arial" w:hAnsi="Arial" w:cs="Arial"/>
          <w:sz w:val="24"/>
          <w:szCs w:val="24"/>
        </w:rPr>
        <w:t xml:space="preserve">To recover and thrive, The City Hotel should focus on a mix of revenue growth, cost control, and enhanced guest experiences. Increasing revenue through unique, locally-inspired events and upgrading meeting spaces for hybrid corporate events will attract a wider range of guests. To manage costs, cross-training employees and sourcing locally can help reduce </w:t>
      </w:r>
      <w:proofErr w:type="spellStart"/>
      <w:r w:rsidRPr="0027725C">
        <w:rPr>
          <w:rFonts w:ascii="Arial" w:hAnsi="Arial" w:cs="Arial"/>
          <w:sz w:val="24"/>
          <w:szCs w:val="24"/>
        </w:rPr>
        <w:t>labor</w:t>
      </w:r>
      <w:proofErr w:type="spellEnd"/>
      <w:r w:rsidRPr="0027725C">
        <w:rPr>
          <w:rFonts w:ascii="Arial" w:hAnsi="Arial" w:cs="Arial"/>
          <w:sz w:val="24"/>
          <w:szCs w:val="24"/>
        </w:rPr>
        <w:t xml:space="preserve"> and procurement expenses without sacrificing service quality. Addressing its debt structure by negotiating better terms will also improve financial flexibility. Lastly, upgrading digital amenities and personalizing services, such as offering mobile check-ins and tailored guest experiences, will boost satisfaction and loyalty. These steps provide a targeted approach to stabilizing The City Hotel’s operations and building a competitive edge in the market.</w:t>
      </w:r>
    </w:p>
    <w:p w14:paraId="3B6A9803" w14:textId="77777777" w:rsidR="00B8741E" w:rsidRDefault="00B8741E" w:rsidP="00E91612">
      <w:pPr>
        <w:rPr>
          <w:rFonts w:ascii="Arial" w:hAnsi="Arial" w:cs="Arial"/>
          <w:b/>
          <w:bCs/>
          <w:sz w:val="24"/>
          <w:szCs w:val="24"/>
        </w:rPr>
      </w:pPr>
    </w:p>
    <w:p w14:paraId="296D0DAD" w14:textId="77777777" w:rsidR="00B8741E" w:rsidRDefault="00B8741E" w:rsidP="00E91612">
      <w:pPr>
        <w:rPr>
          <w:rFonts w:ascii="Arial" w:hAnsi="Arial" w:cs="Arial"/>
          <w:b/>
          <w:bCs/>
          <w:sz w:val="24"/>
          <w:szCs w:val="24"/>
        </w:rPr>
      </w:pPr>
    </w:p>
    <w:p w14:paraId="758BB819" w14:textId="77777777" w:rsidR="00B8741E" w:rsidRDefault="00B8741E" w:rsidP="00E91612">
      <w:pPr>
        <w:rPr>
          <w:rFonts w:ascii="Arial" w:hAnsi="Arial" w:cs="Arial"/>
          <w:b/>
          <w:bCs/>
          <w:sz w:val="24"/>
          <w:szCs w:val="24"/>
        </w:rPr>
      </w:pPr>
    </w:p>
    <w:p w14:paraId="256EC4B7" w14:textId="77777777" w:rsidR="00B8741E" w:rsidRDefault="00B8741E" w:rsidP="00E91612">
      <w:pPr>
        <w:rPr>
          <w:rFonts w:ascii="Arial" w:hAnsi="Arial" w:cs="Arial"/>
          <w:b/>
          <w:bCs/>
          <w:sz w:val="24"/>
          <w:szCs w:val="24"/>
        </w:rPr>
      </w:pPr>
    </w:p>
    <w:p w14:paraId="4B9668A8" w14:textId="77777777" w:rsidR="00B8741E" w:rsidRDefault="00B8741E" w:rsidP="00E91612">
      <w:pPr>
        <w:rPr>
          <w:rFonts w:ascii="Arial" w:hAnsi="Arial" w:cs="Arial"/>
          <w:b/>
          <w:bCs/>
          <w:sz w:val="24"/>
          <w:szCs w:val="24"/>
        </w:rPr>
      </w:pPr>
    </w:p>
    <w:p w14:paraId="15B69EE6" w14:textId="77777777" w:rsidR="001E50AA" w:rsidRDefault="001E50AA" w:rsidP="00E91612">
      <w:pPr>
        <w:rPr>
          <w:rFonts w:ascii="Arial" w:hAnsi="Arial" w:cs="Arial"/>
          <w:b/>
          <w:bCs/>
          <w:sz w:val="24"/>
          <w:szCs w:val="24"/>
        </w:rPr>
      </w:pPr>
    </w:p>
    <w:p w14:paraId="3F04B5C6" w14:textId="77777777" w:rsidR="001E50AA" w:rsidRDefault="001E50AA" w:rsidP="00E91612">
      <w:pPr>
        <w:rPr>
          <w:rFonts w:ascii="Arial" w:hAnsi="Arial" w:cs="Arial"/>
          <w:b/>
          <w:bCs/>
          <w:sz w:val="24"/>
          <w:szCs w:val="24"/>
        </w:rPr>
      </w:pPr>
    </w:p>
    <w:p w14:paraId="480FAC5A" w14:textId="77777777" w:rsidR="001E50AA" w:rsidRDefault="001E50AA" w:rsidP="00E91612">
      <w:pPr>
        <w:rPr>
          <w:rFonts w:ascii="Arial" w:hAnsi="Arial" w:cs="Arial"/>
          <w:b/>
          <w:bCs/>
          <w:sz w:val="24"/>
          <w:szCs w:val="24"/>
        </w:rPr>
      </w:pPr>
    </w:p>
    <w:p w14:paraId="56284A4B" w14:textId="77777777" w:rsidR="001E50AA" w:rsidRDefault="001E50AA" w:rsidP="00E91612">
      <w:pPr>
        <w:rPr>
          <w:rFonts w:ascii="Arial" w:hAnsi="Arial" w:cs="Arial"/>
          <w:b/>
          <w:bCs/>
          <w:sz w:val="24"/>
          <w:szCs w:val="24"/>
        </w:rPr>
      </w:pPr>
    </w:p>
    <w:p w14:paraId="2469C588" w14:textId="77777777" w:rsidR="001E50AA" w:rsidRDefault="001E50AA" w:rsidP="00E91612">
      <w:pPr>
        <w:rPr>
          <w:rFonts w:ascii="Arial" w:hAnsi="Arial" w:cs="Arial"/>
          <w:b/>
          <w:bCs/>
          <w:sz w:val="24"/>
          <w:szCs w:val="24"/>
        </w:rPr>
      </w:pPr>
    </w:p>
    <w:p w14:paraId="0A849FCD" w14:textId="77777777" w:rsidR="001E50AA" w:rsidRDefault="001E50AA" w:rsidP="00E91612">
      <w:pPr>
        <w:rPr>
          <w:rFonts w:ascii="Arial" w:hAnsi="Arial" w:cs="Arial"/>
          <w:b/>
          <w:bCs/>
          <w:sz w:val="24"/>
          <w:szCs w:val="24"/>
        </w:rPr>
      </w:pPr>
    </w:p>
    <w:p w14:paraId="3609ECB8" w14:textId="77777777" w:rsidR="001E50AA" w:rsidRDefault="001E50AA" w:rsidP="00E91612">
      <w:pPr>
        <w:rPr>
          <w:rFonts w:ascii="Arial" w:hAnsi="Arial" w:cs="Arial"/>
          <w:b/>
          <w:bCs/>
          <w:sz w:val="24"/>
          <w:szCs w:val="24"/>
        </w:rPr>
      </w:pPr>
    </w:p>
    <w:p w14:paraId="4F2F245F" w14:textId="77777777" w:rsidR="001E50AA" w:rsidRDefault="001E50AA" w:rsidP="00E91612">
      <w:pPr>
        <w:rPr>
          <w:rFonts w:ascii="Arial" w:hAnsi="Arial" w:cs="Arial"/>
          <w:b/>
          <w:bCs/>
          <w:sz w:val="24"/>
          <w:szCs w:val="24"/>
        </w:rPr>
      </w:pPr>
    </w:p>
    <w:p w14:paraId="5272C656" w14:textId="77777777" w:rsidR="001E50AA" w:rsidRDefault="001E50AA" w:rsidP="00E91612">
      <w:pPr>
        <w:rPr>
          <w:rFonts w:ascii="Arial" w:hAnsi="Arial" w:cs="Arial"/>
          <w:b/>
          <w:bCs/>
          <w:sz w:val="24"/>
          <w:szCs w:val="24"/>
        </w:rPr>
      </w:pPr>
    </w:p>
    <w:p w14:paraId="78333141" w14:textId="77777777" w:rsidR="001E50AA" w:rsidRDefault="001E50AA" w:rsidP="00E91612">
      <w:pPr>
        <w:rPr>
          <w:rFonts w:ascii="Arial" w:hAnsi="Arial" w:cs="Arial"/>
          <w:b/>
          <w:bCs/>
          <w:sz w:val="24"/>
          <w:szCs w:val="24"/>
        </w:rPr>
      </w:pPr>
    </w:p>
    <w:p w14:paraId="0BB332EC" w14:textId="77777777" w:rsidR="001E50AA" w:rsidRDefault="001E50AA" w:rsidP="00E91612">
      <w:pPr>
        <w:rPr>
          <w:rFonts w:ascii="Arial" w:hAnsi="Arial" w:cs="Arial"/>
          <w:b/>
          <w:bCs/>
          <w:sz w:val="24"/>
          <w:szCs w:val="24"/>
        </w:rPr>
      </w:pPr>
    </w:p>
    <w:p w14:paraId="67FAF4CC" w14:textId="77777777" w:rsidR="001E50AA" w:rsidRDefault="001E50AA" w:rsidP="00E91612">
      <w:pPr>
        <w:rPr>
          <w:rFonts w:ascii="Arial" w:hAnsi="Arial" w:cs="Arial"/>
          <w:b/>
          <w:bCs/>
          <w:sz w:val="24"/>
          <w:szCs w:val="24"/>
        </w:rPr>
      </w:pPr>
    </w:p>
    <w:p w14:paraId="628AE900" w14:textId="77777777" w:rsidR="001E50AA" w:rsidRDefault="001E50AA" w:rsidP="00E91612">
      <w:pPr>
        <w:rPr>
          <w:rFonts w:ascii="Arial" w:hAnsi="Arial" w:cs="Arial"/>
          <w:b/>
          <w:bCs/>
          <w:sz w:val="24"/>
          <w:szCs w:val="24"/>
        </w:rPr>
      </w:pPr>
    </w:p>
    <w:p w14:paraId="1B68CCAD" w14:textId="77777777" w:rsidR="001E50AA" w:rsidRDefault="001E50AA" w:rsidP="00E91612">
      <w:pPr>
        <w:rPr>
          <w:rFonts w:ascii="Arial" w:hAnsi="Arial" w:cs="Arial"/>
          <w:b/>
          <w:bCs/>
          <w:sz w:val="24"/>
          <w:szCs w:val="24"/>
        </w:rPr>
      </w:pPr>
    </w:p>
    <w:p w14:paraId="5C4C32DF" w14:textId="77777777" w:rsidR="001E50AA" w:rsidRDefault="001E50AA" w:rsidP="00E91612">
      <w:pPr>
        <w:rPr>
          <w:rFonts w:ascii="Arial" w:hAnsi="Arial" w:cs="Arial"/>
          <w:b/>
          <w:bCs/>
          <w:sz w:val="24"/>
          <w:szCs w:val="24"/>
        </w:rPr>
      </w:pPr>
    </w:p>
    <w:p w14:paraId="7D67A83B" w14:textId="1AA21D17" w:rsidR="00112771" w:rsidRPr="003927BB" w:rsidRDefault="00E91612" w:rsidP="00E91612">
      <w:pPr>
        <w:rPr>
          <w:rFonts w:ascii="Arial" w:hAnsi="Arial" w:cs="Arial"/>
          <w:b/>
          <w:bCs/>
          <w:sz w:val="24"/>
          <w:szCs w:val="24"/>
        </w:rPr>
      </w:pPr>
      <w:r>
        <w:rPr>
          <w:rFonts w:ascii="Arial" w:hAnsi="Arial" w:cs="Arial"/>
          <w:sz w:val="24"/>
          <w:szCs w:val="24"/>
        </w:rPr>
        <w:lastRenderedPageBreak/>
        <w:t xml:space="preserve">  </w:t>
      </w:r>
      <w:r w:rsidR="00B8741E">
        <w:rPr>
          <w:rFonts w:ascii="Arial" w:hAnsi="Arial" w:cs="Arial"/>
          <w:b/>
          <w:bCs/>
          <w:sz w:val="24"/>
          <w:szCs w:val="24"/>
        </w:rPr>
        <w:t>7</w:t>
      </w:r>
      <w:r w:rsidR="00595692" w:rsidRPr="003927BB">
        <w:rPr>
          <w:rFonts w:ascii="Arial" w:hAnsi="Arial" w:cs="Arial"/>
          <w:b/>
          <w:bCs/>
          <w:sz w:val="24"/>
          <w:szCs w:val="24"/>
        </w:rPr>
        <w:t xml:space="preserve">. </w:t>
      </w:r>
      <w:r w:rsidR="00E45C07" w:rsidRPr="003927BB">
        <w:rPr>
          <w:rFonts w:ascii="Arial" w:hAnsi="Arial" w:cs="Arial"/>
          <w:b/>
          <w:bCs/>
          <w:sz w:val="24"/>
          <w:szCs w:val="24"/>
        </w:rPr>
        <w:t>References</w:t>
      </w:r>
    </w:p>
    <w:p w14:paraId="1BBACD12" w14:textId="77777777" w:rsidR="001D4E32" w:rsidRDefault="001D4E32" w:rsidP="001D4E32">
      <w:pPr>
        <w:rPr>
          <w:rFonts w:ascii="Arial" w:hAnsi="Arial" w:cs="Arial"/>
          <w:sz w:val="24"/>
          <w:szCs w:val="24"/>
        </w:rPr>
      </w:pPr>
    </w:p>
    <w:p w14:paraId="0905D3FC" w14:textId="11C32FA8" w:rsidR="003B7B15" w:rsidRPr="0027725C" w:rsidRDefault="003B7B15"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Arlotta, C.J., 2018. </w:t>
      </w:r>
      <w:r w:rsidRPr="0027725C">
        <w:rPr>
          <w:rFonts w:ascii="Arial" w:hAnsi="Arial" w:cs="Arial"/>
          <w:i/>
          <w:iCs/>
          <w:sz w:val="24"/>
          <w:szCs w:val="24"/>
        </w:rPr>
        <w:t>How cross-training programs benefit hoteliers</w:t>
      </w:r>
      <w:r w:rsidRPr="0027725C">
        <w:rPr>
          <w:rFonts w:ascii="Arial" w:hAnsi="Arial" w:cs="Arial"/>
          <w:sz w:val="24"/>
          <w:szCs w:val="24"/>
        </w:rPr>
        <w:t xml:space="preserve">. [online] Hotel Business. Available at: </w:t>
      </w:r>
      <w:hyperlink r:id="rId11" w:tgtFrame="_new" w:history="1">
        <w:r w:rsidRPr="0027725C">
          <w:rPr>
            <w:rStyle w:val="Hyperlink"/>
            <w:rFonts w:ascii="Arial" w:hAnsi="Arial" w:cs="Arial"/>
            <w:sz w:val="24"/>
            <w:szCs w:val="24"/>
          </w:rPr>
          <w:t>https://archive.hotelbusiness.com/how-cross-training-programs-benefit-hoteliers/</w:t>
        </w:r>
      </w:hyperlink>
      <w:r w:rsidRPr="0027725C">
        <w:rPr>
          <w:rFonts w:ascii="Arial" w:hAnsi="Arial" w:cs="Arial"/>
          <w:sz w:val="24"/>
          <w:szCs w:val="24"/>
        </w:rPr>
        <w:t xml:space="preserve"> [Accessed 10 November 2024].</w:t>
      </w:r>
    </w:p>
    <w:p w14:paraId="71029BBE" w14:textId="257EB581" w:rsidR="00112771" w:rsidRPr="0027725C" w:rsidRDefault="00595692"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CPP-LUXURY, 2021. </w:t>
      </w:r>
      <w:r w:rsidRPr="0027725C">
        <w:rPr>
          <w:rFonts w:ascii="Arial" w:hAnsi="Arial" w:cs="Arial"/>
          <w:i/>
          <w:iCs/>
          <w:sz w:val="24"/>
          <w:szCs w:val="24"/>
        </w:rPr>
        <w:t>The Savoy London makes a powerful comeback post-pandemic (review)</w:t>
      </w:r>
      <w:r w:rsidRPr="0027725C">
        <w:rPr>
          <w:rFonts w:ascii="Arial" w:hAnsi="Arial" w:cs="Arial"/>
          <w:sz w:val="24"/>
          <w:szCs w:val="24"/>
        </w:rPr>
        <w:t xml:space="preserve">. [online] Available at: </w:t>
      </w:r>
      <w:hyperlink r:id="rId12" w:tgtFrame="_new" w:history="1">
        <w:r w:rsidRPr="0027725C">
          <w:rPr>
            <w:rStyle w:val="Hyperlink"/>
            <w:rFonts w:ascii="Arial" w:hAnsi="Arial" w:cs="Arial"/>
            <w:sz w:val="24"/>
            <w:szCs w:val="24"/>
          </w:rPr>
          <w:t>https://cpp-luxury.com/the-savoy-london-makes-a-powerful-come-back-post-pandemic-review/</w:t>
        </w:r>
      </w:hyperlink>
      <w:r w:rsidRPr="0027725C">
        <w:rPr>
          <w:rFonts w:ascii="Arial" w:hAnsi="Arial" w:cs="Arial"/>
          <w:sz w:val="24"/>
          <w:szCs w:val="24"/>
        </w:rPr>
        <w:t xml:space="preserve"> [Accessed 08 November 2024].</w:t>
      </w:r>
    </w:p>
    <w:p w14:paraId="06B8F108" w14:textId="6EBF74AA" w:rsidR="00237EF2" w:rsidRPr="0027725C" w:rsidRDefault="00237EF2"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Culinary Staffing, 2024. </w:t>
      </w:r>
      <w:r w:rsidRPr="0027725C">
        <w:rPr>
          <w:rFonts w:ascii="Arial" w:hAnsi="Arial" w:cs="Arial"/>
          <w:i/>
          <w:iCs/>
          <w:sz w:val="24"/>
          <w:szCs w:val="24"/>
        </w:rPr>
        <w:t>The complete guide to cross-training your hospitality staff</w:t>
      </w:r>
      <w:r w:rsidRPr="0027725C">
        <w:rPr>
          <w:rFonts w:ascii="Arial" w:hAnsi="Arial" w:cs="Arial"/>
          <w:sz w:val="24"/>
          <w:szCs w:val="24"/>
        </w:rPr>
        <w:t xml:space="preserve">. [online] Available at: </w:t>
      </w:r>
      <w:hyperlink r:id="rId13" w:tgtFrame="_new" w:history="1">
        <w:r w:rsidRPr="0027725C">
          <w:rPr>
            <w:rStyle w:val="Hyperlink"/>
            <w:rFonts w:ascii="Arial" w:hAnsi="Arial" w:cs="Arial"/>
            <w:sz w:val="24"/>
            <w:szCs w:val="24"/>
          </w:rPr>
          <w:t>https://www.culinarystaffing.com/news/2024-04-07-the-complete-guide-to-cross-training-your-hospitality-staff.html</w:t>
        </w:r>
      </w:hyperlink>
      <w:r w:rsidRPr="0027725C">
        <w:rPr>
          <w:rFonts w:ascii="Arial" w:hAnsi="Arial" w:cs="Arial"/>
          <w:sz w:val="24"/>
          <w:szCs w:val="24"/>
        </w:rPr>
        <w:t xml:space="preserve"> [Accessed 08 November 2024].</w:t>
      </w:r>
    </w:p>
    <w:p w14:paraId="52B03AE9" w14:textId="5F33BD7D" w:rsidR="00E91612" w:rsidRPr="0027725C" w:rsidRDefault="00E91612"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Goldstein, P., 2020. </w:t>
      </w:r>
      <w:r w:rsidRPr="0027725C">
        <w:rPr>
          <w:rFonts w:ascii="Arial" w:hAnsi="Arial" w:cs="Arial"/>
          <w:i/>
          <w:iCs/>
          <w:sz w:val="24"/>
          <w:szCs w:val="24"/>
        </w:rPr>
        <w:t>Down but not out: How the UK hotel sector is adapting to survive</w:t>
      </w:r>
      <w:r w:rsidRPr="0027725C">
        <w:rPr>
          <w:rFonts w:ascii="Arial" w:hAnsi="Arial" w:cs="Arial"/>
          <w:sz w:val="24"/>
          <w:szCs w:val="24"/>
        </w:rPr>
        <w:t xml:space="preserve">. [online] Knight Frank. Available at: </w:t>
      </w:r>
      <w:hyperlink r:id="rId14" w:tgtFrame="_new" w:history="1">
        <w:r w:rsidRPr="0027725C">
          <w:rPr>
            <w:rStyle w:val="Hyperlink"/>
            <w:rFonts w:ascii="Arial" w:hAnsi="Arial" w:cs="Arial"/>
            <w:sz w:val="24"/>
            <w:szCs w:val="24"/>
          </w:rPr>
          <w:t>https://www.knightfrank.com/research/article/2020-12-03-down-but-not-out-how-the-uk-hotel-sector-is-adapting-to-survive</w:t>
        </w:r>
      </w:hyperlink>
      <w:r w:rsidRPr="0027725C">
        <w:rPr>
          <w:rFonts w:ascii="Arial" w:hAnsi="Arial" w:cs="Arial"/>
          <w:sz w:val="24"/>
          <w:szCs w:val="24"/>
        </w:rPr>
        <w:t xml:space="preserve"> [Accessed </w:t>
      </w:r>
      <w:r w:rsidR="00237EF2" w:rsidRPr="0027725C">
        <w:rPr>
          <w:rFonts w:ascii="Arial" w:hAnsi="Arial" w:cs="Arial"/>
          <w:sz w:val="24"/>
          <w:szCs w:val="24"/>
        </w:rPr>
        <w:t>09</w:t>
      </w:r>
      <w:r w:rsidRPr="0027725C">
        <w:rPr>
          <w:rFonts w:ascii="Arial" w:hAnsi="Arial" w:cs="Arial"/>
          <w:sz w:val="24"/>
          <w:szCs w:val="24"/>
        </w:rPr>
        <w:t xml:space="preserve"> November 2024].</w:t>
      </w:r>
    </w:p>
    <w:p w14:paraId="47D95FC6" w14:textId="38C6D0C1" w:rsidR="00D55569" w:rsidRPr="0027725C" w:rsidRDefault="00D55569"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The Savoy London, 2023. </w:t>
      </w:r>
      <w:r w:rsidRPr="0027725C">
        <w:rPr>
          <w:rFonts w:ascii="Arial" w:hAnsi="Arial" w:cs="Arial"/>
          <w:i/>
          <w:iCs/>
          <w:sz w:val="24"/>
          <w:szCs w:val="24"/>
        </w:rPr>
        <w:t>We are reopening</w:t>
      </w:r>
      <w:r w:rsidRPr="0027725C">
        <w:rPr>
          <w:rFonts w:ascii="Arial" w:hAnsi="Arial" w:cs="Arial"/>
          <w:sz w:val="24"/>
          <w:szCs w:val="24"/>
        </w:rPr>
        <w:t xml:space="preserve">. [online] Available at: </w:t>
      </w:r>
      <w:hyperlink r:id="rId15" w:tgtFrame="_new" w:history="1">
        <w:r w:rsidRPr="0027725C">
          <w:rPr>
            <w:rStyle w:val="Hyperlink"/>
            <w:rFonts w:ascii="Arial" w:hAnsi="Arial" w:cs="Arial"/>
            <w:sz w:val="24"/>
            <w:szCs w:val="24"/>
          </w:rPr>
          <w:t>https://www.thesavoylondon.com/we-are-reopening/</w:t>
        </w:r>
      </w:hyperlink>
      <w:r w:rsidRPr="0027725C">
        <w:rPr>
          <w:rFonts w:ascii="Arial" w:hAnsi="Arial" w:cs="Arial"/>
          <w:sz w:val="24"/>
          <w:szCs w:val="24"/>
        </w:rPr>
        <w:t xml:space="preserve"> [Accessed 11 November 2024].</w:t>
      </w:r>
    </w:p>
    <w:p w14:paraId="40FB4772" w14:textId="5E156428" w:rsidR="00812E03" w:rsidRPr="0027725C" w:rsidRDefault="00812E03"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Hospitality Tech, 2023. </w:t>
      </w:r>
      <w:r w:rsidRPr="0027725C">
        <w:rPr>
          <w:rFonts w:ascii="Arial" w:hAnsi="Arial" w:cs="Arial"/>
          <w:i/>
          <w:iCs/>
          <w:sz w:val="24"/>
          <w:szCs w:val="24"/>
        </w:rPr>
        <w:t>Hotels and the digital revolution: Ways to improve guest experiences</w:t>
      </w:r>
      <w:r w:rsidRPr="0027725C">
        <w:rPr>
          <w:rFonts w:ascii="Arial" w:hAnsi="Arial" w:cs="Arial"/>
          <w:sz w:val="24"/>
          <w:szCs w:val="24"/>
        </w:rPr>
        <w:t xml:space="preserve">. [online] Available at: </w:t>
      </w:r>
      <w:hyperlink r:id="rId16" w:tgtFrame="_new" w:history="1">
        <w:r w:rsidRPr="0027725C">
          <w:rPr>
            <w:rStyle w:val="Hyperlink"/>
            <w:rFonts w:ascii="Arial" w:hAnsi="Arial" w:cs="Arial"/>
            <w:sz w:val="24"/>
            <w:szCs w:val="24"/>
          </w:rPr>
          <w:t>https://hospitalitytech.com/hotels-and-digital-revolution-ways-improve-guest-experiences</w:t>
        </w:r>
      </w:hyperlink>
      <w:r w:rsidRPr="0027725C">
        <w:rPr>
          <w:rFonts w:ascii="Arial" w:hAnsi="Arial" w:cs="Arial"/>
          <w:sz w:val="24"/>
          <w:szCs w:val="24"/>
        </w:rPr>
        <w:t xml:space="preserve"> [Accessed 09 November 2024].</w:t>
      </w:r>
    </w:p>
    <w:p w14:paraId="164C70D7" w14:textId="1A53D1C6" w:rsidR="007238E8" w:rsidRPr="0027725C" w:rsidRDefault="007238E8"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Kim, S. and Venturini, B., 2022. </w:t>
      </w:r>
      <w:r w:rsidRPr="0027725C">
        <w:rPr>
          <w:rFonts w:ascii="Arial" w:hAnsi="Arial" w:cs="Arial"/>
          <w:i/>
          <w:iCs/>
          <w:sz w:val="24"/>
          <w:szCs w:val="24"/>
        </w:rPr>
        <w:t xml:space="preserve">Operational flexibility: A solution for controlling </w:t>
      </w:r>
      <w:proofErr w:type="spellStart"/>
      <w:r w:rsidRPr="0027725C">
        <w:rPr>
          <w:rFonts w:ascii="Arial" w:hAnsi="Arial" w:cs="Arial"/>
          <w:i/>
          <w:iCs/>
          <w:sz w:val="24"/>
          <w:szCs w:val="24"/>
        </w:rPr>
        <w:t>labor</w:t>
      </w:r>
      <w:proofErr w:type="spellEnd"/>
      <w:r w:rsidRPr="0027725C">
        <w:rPr>
          <w:rFonts w:ascii="Arial" w:hAnsi="Arial" w:cs="Arial"/>
          <w:i/>
          <w:iCs/>
          <w:sz w:val="24"/>
          <w:szCs w:val="24"/>
        </w:rPr>
        <w:t xml:space="preserve"> costs in hospitality</w:t>
      </w:r>
      <w:r w:rsidRPr="0027725C">
        <w:rPr>
          <w:rFonts w:ascii="Arial" w:hAnsi="Arial" w:cs="Arial"/>
          <w:sz w:val="24"/>
          <w:szCs w:val="24"/>
        </w:rPr>
        <w:t xml:space="preserve">. [online] Hospitality Net. Available at: </w:t>
      </w:r>
      <w:hyperlink r:id="rId17" w:tgtFrame="_new" w:history="1">
        <w:r w:rsidRPr="0027725C">
          <w:rPr>
            <w:rStyle w:val="Hyperlink"/>
            <w:rFonts w:ascii="Arial" w:hAnsi="Arial" w:cs="Arial"/>
            <w:sz w:val="24"/>
            <w:szCs w:val="24"/>
          </w:rPr>
          <w:t>https://www.hospitalitynet.org/opinion/4112715.html</w:t>
        </w:r>
      </w:hyperlink>
      <w:r w:rsidRPr="0027725C">
        <w:rPr>
          <w:rFonts w:ascii="Arial" w:hAnsi="Arial" w:cs="Arial"/>
          <w:sz w:val="24"/>
          <w:szCs w:val="24"/>
        </w:rPr>
        <w:t xml:space="preserve"> [Accessed 1</w:t>
      </w:r>
      <w:r w:rsidR="00FA481C" w:rsidRPr="0027725C">
        <w:rPr>
          <w:rFonts w:ascii="Arial" w:hAnsi="Arial" w:cs="Arial"/>
          <w:sz w:val="24"/>
          <w:szCs w:val="24"/>
        </w:rPr>
        <w:t>0</w:t>
      </w:r>
      <w:r w:rsidRPr="0027725C">
        <w:rPr>
          <w:rFonts w:ascii="Arial" w:hAnsi="Arial" w:cs="Arial"/>
          <w:sz w:val="24"/>
          <w:szCs w:val="24"/>
        </w:rPr>
        <w:t xml:space="preserve"> November 2024].</w:t>
      </w:r>
    </w:p>
    <w:p w14:paraId="2E0E9EED" w14:textId="7F3928B6" w:rsidR="000F1BBD" w:rsidRPr="0027725C" w:rsidRDefault="000F1BBD"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McKinsey &amp; Company (2023) </w:t>
      </w:r>
      <w:r w:rsidRPr="0027725C">
        <w:rPr>
          <w:rFonts w:ascii="Arial" w:hAnsi="Arial" w:cs="Arial"/>
          <w:i/>
          <w:iCs/>
          <w:sz w:val="24"/>
          <w:szCs w:val="24"/>
        </w:rPr>
        <w:t>Advanced analytics in hospitality</w:t>
      </w:r>
      <w:r w:rsidRPr="0027725C">
        <w:rPr>
          <w:rFonts w:ascii="Arial" w:hAnsi="Arial" w:cs="Arial"/>
          <w:sz w:val="24"/>
          <w:szCs w:val="24"/>
        </w:rPr>
        <w:t xml:space="preserve">. [online]  Available at: </w:t>
      </w:r>
      <w:hyperlink r:id="rId18" w:tgtFrame="_new" w:history="1">
        <w:r w:rsidRPr="0027725C">
          <w:rPr>
            <w:rStyle w:val="Hyperlink"/>
            <w:rFonts w:ascii="Arial" w:hAnsi="Arial" w:cs="Arial"/>
            <w:sz w:val="24"/>
            <w:szCs w:val="24"/>
          </w:rPr>
          <w:t>https://www.mckinsey.com/capabilities/mckinsey-</w:t>
        </w:r>
        <w:r w:rsidRPr="0027725C">
          <w:rPr>
            <w:rStyle w:val="Hyperlink"/>
            <w:rFonts w:ascii="Arial" w:hAnsi="Arial" w:cs="Arial"/>
            <w:sz w:val="24"/>
            <w:szCs w:val="24"/>
          </w:rPr>
          <w:lastRenderedPageBreak/>
          <w:t>digital/our-insights/advanced-analytics-in-hospitality</w:t>
        </w:r>
      </w:hyperlink>
      <w:r w:rsidRPr="0027725C">
        <w:rPr>
          <w:rFonts w:ascii="Arial" w:hAnsi="Arial" w:cs="Arial"/>
          <w:sz w:val="24"/>
          <w:szCs w:val="24"/>
        </w:rPr>
        <w:t xml:space="preserve"> </w:t>
      </w:r>
      <w:r w:rsidR="007240EF" w:rsidRPr="0027725C">
        <w:rPr>
          <w:rFonts w:ascii="Arial" w:hAnsi="Arial" w:cs="Arial"/>
          <w:sz w:val="24"/>
          <w:szCs w:val="24"/>
        </w:rPr>
        <w:t>[</w:t>
      </w:r>
      <w:r w:rsidRPr="0027725C">
        <w:rPr>
          <w:rFonts w:ascii="Arial" w:hAnsi="Arial" w:cs="Arial"/>
          <w:sz w:val="24"/>
          <w:szCs w:val="24"/>
        </w:rPr>
        <w:t>Accessed: 12 November 2024</w:t>
      </w:r>
      <w:r w:rsidR="007240EF" w:rsidRPr="0027725C">
        <w:rPr>
          <w:rFonts w:ascii="Arial" w:hAnsi="Arial" w:cs="Arial"/>
          <w:sz w:val="24"/>
          <w:szCs w:val="24"/>
        </w:rPr>
        <w:t>]</w:t>
      </w:r>
      <w:r w:rsidRPr="0027725C">
        <w:rPr>
          <w:rFonts w:ascii="Arial" w:hAnsi="Arial" w:cs="Arial"/>
          <w:sz w:val="24"/>
          <w:szCs w:val="24"/>
        </w:rPr>
        <w:t>.</w:t>
      </w:r>
    </w:p>
    <w:p w14:paraId="1FC3AFF3" w14:textId="6D808A01" w:rsidR="00BB328A" w:rsidRPr="0027725C" w:rsidRDefault="00BB328A"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PwC, 2023. </w:t>
      </w:r>
      <w:r w:rsidRPr="0027725C">
        <w:rPr>
          <w:rFonts w:ascii="Arial" w:hAnsi="Arial" w:cs="Arial"/>
          <w:i/>
          <w:iCs/>
          <w:sz w:val="24"/>
          <w:szCs w:val="24"/>
        </w:rPr>
        <w:t>UK hotels forecast 2022-2023</w:t>
      </w:r>
      <w:r w:rsidRPr="0027725C">
        <w:rPr>
          <w:rFonts w:ascii="Arial" w:hAnsi="Arial" w:cs="Arial"/>
          <w:sz w:val="24"/>
          <w:szCs w:val="24"/>
        </w:rPr>
        <w:t xml:space="preserve">. [online] Available at: </w:t>
      </w:r>
      <w:hyperlink r:id="rId19" w:tgtFrame="_new" w:history="1">
        <w:r w:rsidRPr="0027725C">
          <w:rPr>
            <w:rStyle w:val="Hyperlink"/>
            <w:rFonts w:ascii="Arial" w:hAnsi="Arial" w:cs="Arial"/>
            <w:sz w:val="24"/>
            <w:szCs w:val="24"/>
          </w:rPr>
          <w:t>https://image.uk.info.pwc.com/lib/fe31117075640475701c74/m/7/UK%2BHotels%2BForecast%2B2022%2B-%2B2023_Reportv2.pdf</w:t>
        </w:r>
      </w:hyperlink>
      <w:r w:rsidRPr="0027725C">
        <w:rPr>
          <w:rFonts w:ascii="Arial" w:hAnsi="Arial" w:cs="Arial"/>
          <w:sz w:val="24"/>
          <w:szCs w:val="24"/>
        </w:rPr>
        <w:t xml:space="preserve"> [Accessed 1</w:t>
      </w:r>
      <w:r w:rsidR="00BC69BC" w:rsidRPr="0027725C">
        <w:rPr>
          <w:rFonts w:ascii="Arial" w:hAnsi="Arial" w:cs="Arial"/>
          <w:sz w:val="24"/>
          <w:szCs w:val="24"/>
        </w:rPr>
        <w:t>0</w:t>
      </w:r>
      <w:r w:rsidRPr="0027725C">
        <w:rPr>
          <w:rFonts w:ascii="Arial" w:hAnsi="Arial" w:cs="Arial"/>
          <w:sz w:val="24"/>
          <w:szCs w:val="24"/>
        </w:rPr>
        <w:t xml:space="preserve"> November 2024].</w:t>
      </w:r>
    </w:p>
    <w:p w14:paraId="69CC9D5F" w14:textId="408BB9E2" w:rsidR="00864CCA" w:rsidRPr="0027725C" w:rsidRDefault="00864CCA"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Raindrops Resorts, 2022. </w:t>
      </w:r>
      <w:r w:rsidRPr="0027725C">
        <w:rPr>
          <w:rFonts w:ascii="Arial" w:hAnsi="Arial" w:cs="Arial"/>
          <w:i/>
          <w:iCs/>
          <w:sz w:val="24"/>
          <w:szCs w:val="24"/>
        </w:rPr>
        <w:t xml:space="preserve">Why do </w:t>
      </w:r>
      <w:proofErr w:type="spellStart"/>
      <w:r w:rsidRPr="0027725C">
        <w:rPr>
          <w:rFonts w:ascii="Arial" w:hAnsi="Arial" w:cs="Arial"/>
          <w:i/>
          <w:iCs/>
          <w:sz w:val="24"/>
          <w:szCs w:val="24"/>
        </w:rPr>
        <w:t>travelers</w:t>
      </w:r>
      <w:proofErr w:type="spellEnd"/>
      <w:r w:rsidRPr="0027725C">
        <w:rPr>
          <w:rFonts w:ascii="Arial" w:hAnsi="Arial" w:cs="Arial"/>
          <w:i/>
          <w:iCs/>
          <w:sz w:val="24"/>
          <w:szCs w:val="24"/>
        </w:rPr>
        <w:t xml:space="preserve"> choose boutique hotels: 5 reasons to stay and what they gain</w:t>
      </w:r>
      <w:r w:rsidRPr="0027725C">
        <w:rPr>
          <w:rFonts w:ascii="Arial" w:hAnsi="Arial" w:cs="Arial"/>
          <w:sz w:val="24"/>
          <w:szCs w:val="24"/>
        </w:rPr>
        <w:t xml:space="preserve">. [online] Available at: </w:t>
      </w:r>
      <w:hyperlink r:id="rId20" w:tgtFrame="_new" w:history="1">
        <w:r w:rsidRPr="0027725C">
          <w:rPr>
            <w:rStyle w:val="Hyperlink"/>
            <w:rFonts w:ascii="Arial" w:hAnsi="Arial" w:cs="Arial"/>
            <w:sz w:val="24"/>
            <w:szCs w:val="24"/>
          </w:rPr>
          <w:t>https://www.raindropsresorts.com/blog/why-do-travelers-choose-boutique-hotels-5-reasons-to-stay-and-what-they-gain/</w:t>
        </w:r>
      </w:hyperlink>
      <w:r w:rsidRPr="0027725C">
        <w:rPr>
          <w:rFonts w:ascii="Arial" w:hAnsi="Arial" w:cs="Arial"/>
          <w:sz w:val="24"/>
          <w:szCs w:val="24"/>
        </w:rPr>
        <w:t xml:space="preserve"> [Accessed 1</w:t>
      </w:r>
      <w:r w:rsidR="00FA481C" w:rsidRPr="0027725C">
        <w:rPr>
          <w:rFonts w:ascii="Arial" w:hAnsi="Arial" w:cs="Arial"/>
          <w:sz w:val="24"/>
          <w:szCs w:val="24"/>
        </w:rPr>
        <w:t>0</w:t>
      </w:r>
      <w:r w:rsidRPr="0027725C">
        <w:rPr>
          <w:rFonts w:ascii="Arial" w:hAnsi="Arial" w:cs="Arial"/>
          <w:sz w:val="24"/>
          <w:szCs w:val="24"/>
        </w:rPr>
        <w:t xml:space="preserve"> November 2024].</w:t>
      </w:r>
    </w:p>
    <w:p w14:paraId="10D28308" w14:textId="4937DA18" w:rsidR="00F42323" w:rsidRPr="0027725C" w:rsidRDefault="00F42323"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Singh, A. (2021) 'Hotels in Financial Distress and Their Resolution', </w:t>
      </w:r>
      <w:r w:rsidRPr="0027725C">
        <w:rPr>
          <w:rFonts w:ascii="Arial" w:hAnsi="Arial" w:cs="Arial"/>
          <w:i/>
          <w:iCs/>
          <w:sz w:val="24"/>
          <w:szCs w:val="24"/>
        </w:rPr>
        <w:t>Boston Hospitality Review</w:t>
      </w:r>
      <w:r w:rsidRPr="0027725C">
        <w:rPr>
          <w:rFonts w:ascii="Arial" w:hAnsi="Arial" w:cs="Arial"/>
          <w:sz w:val="24"/>
          <w:szCs w:val="24"/>
        </w:rPr>
        <w:t xml:space="preserve">. [online] Available at: </w:t>
      </w:r>
      <w:hyperlink r:id="rId21" w:tgtFrame="_new" w:history="1">
        <w:r w:rsidRPr="0027725C">
          <w:rPr>
            <w:rStyle w:val="Hyperlink"/>
            <w:rFonts w:ascii="Arial" w:hAnsi="Arial" w:cs="Arial"/>
            <w:sz w:val="24"/>
            <w:szCs w:val="24"/>
          </w:rPr>
          <w:t>https://www.bu.edu/bhr/2021/05/31/hotels-in-financial-distress-and-their-resolution/</w:t>
        </w:r>
      </w:hyperlink>
      <w:r w:rsidRPr="0027725C">
        <w:rPr>
          <w:rFonts w:ascii="Arial" w:hAnsi="Arial" w:cs="Arial"/>
          <w:sz w:val="24"/>
          <w:szCs w:val="24"/>
        </w:rPr>
        <w:t xml:space="preserve"> [Accessed: 1</w:t>
      </w:r>
      <w:r w:rsidR="000C0C26" w:rsidRPr="0027725C">
        <w:rPr>
          <w:rFonts w:ascii="Arial" w:hAnsi="Arial" w:cs="Arial"/>
          <w:sz w:val="24"/>
          <w:szCs w:val="24"/>
        </w:rPr>
        <w:t>0</w:t>
      </w:r>
      <w:r w:rsidRPr="0027725C">
        <w:rPr>
          <w:rFonts w:ascii="Arial" w:hAnsi="Arial" w:cs="Arial"/>
          <w:sz w:val="24"/>
          <w:szCs w:val="24"/>
        </w:rPr>
        <w:t xml:space="preserve"> November 2024].</w:t>
      </w:r>
    </w:p>
    <w:p w14:paraId="52B9A3F4" w14:textId="03C55E3A" w:rsidR="00BC69BC" w:rsidRPr="0027725C" w:rsidRDefault="00BC69BC" w:rsidP="0027725C">
      <w:pPr>
        <w:pStyle w:val="ListParagraph"/>
        <w:numPr>
          <w:ilvl w:val="0"/>
          <w:numId w:val="24"/>
        </w:numPr>
        <w:spacing w:line="360" w:lineRule="auto"/>
        <w:rPr>
          <w:rFonts w:ascii="Arial" w:hAnsi="Arial" w:cs="Arial"/>
          <w:sz w:val="24"/>
          <w:szCs w:val="24"/>
        </w:rPr>
      </w:pPr>
      <w:r w:rsidRPr="0027725C">
        <w:rPr>
          <w:rFonts w:ascii="Arial" w:hAnsi="Arial" w:cs="Arial"/>
          <w:sz w:val="24"/>
          <w:szCs w:val="24"/>
        </w:rPr>
        <w:t xml:space="preserve">Statista, 2023. </w:t>
      </w:r>
      <w:r w:rsidRPr="0027725C">
        <w:rPr>
          <w:rFonts w:ascii="Arial" w:hAnsi="Arial" w:cs="Arial"/>
          <w:i/>
          <w:iCs/>
          <w:sz w:val="24"/>
          <w:szCs w:val="24"/>
        </w:rPr>
        <w:t>COVID-19 impact on the tourism industry</w:t>
      </w:r>
      <w:r w:rsidRPr="0027725C">
        <w:rPr>
          <w:rFonts w:ascii="Arial" w:hAnsi="Arial" w:cs="Arial"/>
          <w:sz w:val="24"/>
          <w:szCs w:val="24"/>
        </w:rPr>
        <w:t xml:space="preserve">. [online] Available at: </w:t>
      </w:r>
      <w:hyperlink r:id="rId22" w:anchor="topicOverview" w:tgtFrame="_new" w:history="1">
        <w:r w:rsidRPr="0027725C">
          <w:rPr>
            <w:rStyle w:val="Hyperlink"/>
            <w:rFonts w:ascii="Arial" w:hAnsi="Arial" w:cs="Arial"/>
            <w:sz w:val="24"/>
            <w:szCs w:val="24"/>
          </w:rPr>
          <w:t>https://www.statista.com/topics/6224/covid-19-impact-on-the-tourism-industry/#topicOverview</w:t>
        </w:r>
      </w:hyperlink>
      <w:r w:rsidRPr="0027725C">
        <w:rPr>
          <w:rFonts w:ascii="Arial" w:hAnsi="Arial" w:cs="Arial"/>
          <w:sz w:val="24"/>
          <w:szCs w:val="24"/>
        </w:rPr>
        <w:t xml:space="preserve"> [Accessed 10 November 2024].</w:t>
      </w:r>
    </w:p>
    <w:p w14:paraId="1AD091C5" w14:textId="1E8DE129" w:rsidR="00D205DE" w:rsidRPr="0027725C" w:rsidRDefault="00D205DE" w:rsidP="0027725C">
      <w:pPr>
        <w:pStyle w:val="ListParagraph"/>
        <w:numPr>
          <w:ilvl w:val="0"/>
          <w:numId w:val="24"/>
        </w:numPr>
        <w:spacing w:line="360" w:lineRule="auto"/>
        <w:rPr>
          <w:rFonts w:ascii="Arial" w:hAnsi="Arial" w:cs="Arial"/>
          <w:sz w:val="24"/>
          <w:szCs w:val="24"/>
          <w:lang w:val="en-US"/>
        </w:rPr>
      </w:pPr>
      <w:r w:rsidRPr="0027725C">
        <w:rPr>
          <w:rFonts w:ascii="Arial" w:hAnsi="Arial" w:cs="Arial"/>
          <w:sz w:val="24"/>
          <w:szCs w:val="24"/>
        </w:rPr>
        <w:t xml:space="preserve">The Ritz-Carlton, 2023. </w:t>
      </w:r>
      <w:r w:rsidRPr="0027725C">
        <w:rPr>
          <w:rFonts w:ascii="Arial" w:hAnsi="Arial" w:cs="Arial"/>
          <w:i/>
          <w:iCs/>
          <w:sz w:val="24"/>
          <w:szCs w:val="24"/>
        </w:rPr>
        <w:t>Meetings and celebrations</w:t>
      </w:r>
      <w:r w:rsidRPr="0027725C">
        <w:rPr>
          <w:rFonts w:ascii="Arial" w:hAnsi="Arial" w:cs="Arial"/>
          <w:sz w:val="24"/>
          <w:szCs w:val="24"/>
        </w:rPr>
        <w:t xml:space="preserve">. [online] Available at: </w:t>
      </w:r>
      <w:hyperlink r:id="rId23" w:tgtFrame="_new" w:history="1">
        <w:r w:rsidRPr="0027725C">
          <w:rPr>
            <w:rStyle w:val="Hyperlink"/>
            <w:rFonts w:ascii="Arial" w:hAnsi="Arial" w:cs="Arial"/>
            <w:sz w:val="24"/>
            <w:szCs w:val="24"/>
          </w:rPr>
          <w:t>https://www.ritzcarlton.com/en/hotels-and-resorts/meetings-and-celebrations/meetings/</w:t>
        </w:r>
      </w:hyperlink>
      <w:r w:rsidRPr="0027725C">
        <w:rPr>
          <w:rFonts w:ascii="Arial" w:hAnsi="Arial" w:cs="Arial"/>
          <w:sz w:val="24"/>
          <w:szCs w:val="24"/>
        </w:rPr>
        <w:t xml:space="preserve"> [Accessed 11 November 2024].</w:t>
      </w:r>
    </w:p>
    <w:sectPr w:rsidR="00D205DE" w:rsidRPr="0027725C" w:rsidSect="00127AA8">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B2369D" w14:textId="77777777" w:rsidR="0066768A" w:rsidRDefault="0066768A" w:rsidP="00987B68">
      <w:pPr>
        <w:spacing w:after="0" w:line="240" w:lineRule="auto"/>
      </w:pPr>
      <w:r>
        <w:separator/>
      </w:r>
    </w:p>
  </w:endnote>
  <w:endnote w:type="continuationSeparator" w:id="0">
    <w:p w14:paraId="054665CD" w14:textId="77777777" w:rsidR="0066768A" w:rsidRDefault="0066768A"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CAB34E" w14:textId="77777777" w:rsidR="00A8657A" w:rsidRDefault="00A865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24B269" w14:textId="77777777" w:rsidR="00436887" w:rsidRDefault="00436887">
    <w:pPr>
      <w:pStyle w:val="Footer"/>
    </w:pPr>
  </w:p>
  <w:p w14:paraId="7E24B26A" w14:textId="77777777" w:rsidR="00436887" w:rsidRDefault="004368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F0400B" w14:textId="77777777" w:rsidR="00A8657A" w:rsidRDefault="00A86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FD7F15" w14:textId="77777777" w:rsidR="0066768A" w:rsidRDefault="0066768A" w:rsidP="00987B68">
      <w:pPr>
        <w:spacing w:after="0" w:line="240" w:lineRule="auto"/>
      </w:pPr>
      <w:r>
        <w:separator/>
      </w:r>
    </w:p>
  </w:footnote>
  <w:footnote w:type="continuationSeparator" w:id="0">
    <w:p w14:paraId="2BEF7517" w14:textId="77777777" w:rsidR="0066768A" w:rsidRDefault="0066768A" w:rsidP="00987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8C854F" w14:textId="77777777" w:rsidR="00A8657A" w:rsidRDefault="00A865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181809472"/>
      <w:docPartObj>
        <w:docPartGallery w:val="Page Numbers (Top of Page)"/>
        <w:docPartUnique/>
      </w:docPartObj>
    </w:sdtPr>
    <w:sdtEndPr>
      <w:rPr>
        <w:b/>
        <w:bCs/>
        <w:noProof/>
        <w:color w:val="auto"/>
        <w:spacing w:val="0"/>
      </w:rPr>
    </w:sdtEndPr>
    <w:sdtContent>
      <w:p w14:paraId="06721A2F" w14:textId="33F86F06" w:rsidR="00692C73" w:rsidRDefault="00692C7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29608EA" w14:textId="77777777" w:rsidR="00940763" w:rsidRDefault="009407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F9003" w14:textId="77777777" w:rsidR="00A8657A" w:rsidRDefault="00A86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522C0"/>
    <w:multiLevelType w:val="hybridMultilevel"/>
    <w:tmpl w:val="FD9CD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221E30"/>
    <w:multiLevelType w:val="multilevel"/>
    <w:tmpl w:val="85D2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D844E1"/>
    <w:multiLevelType w:val="multilevel"/>
    <w:tmpl w:val="3F1EE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576BB3"/>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DF41F8"/>
    <w:multiLevelType w:val="multilevel"/>
    <w:tmpl w:val="EF96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20739"/>
    <w:multiLevelType w:val="multilevel"/>
    <w:tmpl w:val="88D0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640765"/>
    <w:multiLevelType w:val="hybridMultilevel"/>
    <w:tmpl w:val="96B2B610"/>
    <w:lvl w:ilvl="0" w:tplc="F80EEB46">
      <w:start w:val="1"/>
      <w:numFmt w:val="decimal"/>
      <w:lvlText w:val="%1."/>
      <w:lvlJc w:val="left"/>
      <w:pPr>
        <w:ind w:left="720" w:hanging="360"/>
      </w:pPr>
      <w:rPr>
        <w:rFonts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085B95"/>
    <w:multiLevelType w:val="multilevel"/>
    <w:tmpl w:val="3B12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C53A82"/>
    <w:multiLevelType w:val="hybridMultilevel"/>
    <w:tmpl w:val="B19E85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3310329D"/>
    <w:multiLevelType w:val="multilevel"/>
    <w:tmpl w:val="D52A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D017B4"/>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2E84DD4"/>
    <w:multiLevelType w:val="multilevel"/>
    <w:tmpl w:val="123CF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1869EA"/>
    <w:multiLevelType w:val="multilevel"/>
    <w:tmpl w:val="26981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E345E8"/>
    <w:multiLevelType w:val="hybridMultilevel"/>
    <w:tmpl w:val="36141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332038"/>
    <w:multiLevelType w:val="multilevel"/>
    <w:tmpl w:val="03728AD2"/>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19"/>
  </w:num>
  <w:num w:numId="2" w16cid:durableId="1919944989">
    <w:abstractNumId w:val="23"/>
  </w:num>
  <w:num w:numId="3" w16cid:durableId="1159539038">
    <w:abstractNumId w:val="20"/>
  </w:num>
  <w:num w:numId="4" w16cid:durableId="1487743549">
    <w:abstractNumId w:val="18"/>
  </w:num>
  <w:num w:numId="5" w16cid:durableId="656572216">
    <w:abstractNumId w:val="1"/>
  </w:num>
  <w:num w:numId="6" w16cid:durableId="372342409">
    <w:abstractNumId w:val="3"/>
  </w:num>
  <w:num w:numId="7" w16cid:durableId="145169153">
    <w:abstractNumId w:val="14"/>
  </w:num>
  <w:num w:numId="8" w16cid:durableId="1290942460">
    <w:abstractNumId w:val="21"/>
  </w:num>
  <w:num w:numId="9" w16cid:durableId="1066877723">
    <w:abstractNumId w:val="7"/>
  </w:num>
  <w:num w:numId="10" w16cid:durableId="175769983">
    <w:abstractNumId w:val="0"/>
  </w:num>
  <w:num w:numId="11" w16cid:durableId="1148400420">
    <w:abstractNumId w:val="16"/>
  </w:num>
  <w:num w:numId="12" w16cid:durableId="1800994964">
    <w:abstractNumId w:val="12"/>
  </w:num>
  <w:num w:numId="13" w16cid:durableId="1975671206">
    <w:abstractNumId w:val="10"/>
  </w:num>
  <w:num w:numId="14" w16cid:durableId="114251250">
    <w:abstractNumId w:val="13"/>
  </w:num>
  <w:num w:numId="15" w16cid:durableId="732430577">
    <w:abstractNumId w:val="4"/>
  </w:num>
  <w:num w:numId="16" w16cid:durableId="816651837">
    <w:abstractNumId w:val="22"/>
  </w:num>
  <w:num w:numId="17" w16cid:durableId="4719687">
    <w:abstractNumId w:val="17"/>
  </w:num>
  <w:num w:numId="18" w16cid:durableId="790630725">
    <w:abstractNumId w:val="5"/>
  </w:num>
  <w:num w:numId="19" w16cid:durableId="688870940">
    <w:abstractNumId w:val="15"/>
  </w:num>
  <w:num w:numId="20" w16cid:durableId="1151170165">
    <w:abstractNumId w:val="2"/>
  </w:num>
  <w:num w:numId="21" w16cid:durableId="692347657">
    <w:abstractNumId w:val="6"/>
  </w:num>
  <w:num w:numId="22" w16cid:durableId="1292594208">
    <w:abstractNumId w:val="8"/>
  </w:num>
  <w:num w:numId="23" w16cid:durableId="731781414">
    <w:abstractNumId w:val="9"/>
  </w:num>
  <w:num w:numId="24" w16cid:durableId="15962865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5EF6"/>
    <w:rsid w:val="00006FF4"/>
    <w:rsid w:val="00014B77"/>
    <w:rsid w:val="000224B0"/>
    <w:rsid w:val="00024098"/>
    <w:rsid w:val="000269AB"/>
    <w:rsid w:val="000302E7"/>
    <w:rsid w:val="00036FBE"/>
    <w:rsid w:val="00044D42"/>
    <w:rsid w:val="00051ADE"/>
    <w:rsid w:val="00055D41"/>
    <w:rsid w:val="00073841"/>
    <w:rsid w:val="00073C37"/>
    <w:rsid w:val="00073E6E"/>
    <w:rsid w:val="00073EE2"/>
    <w:rsid w:val="00083AC1"/>
    <w:rsid w:val="000A69A6"/>
    <w:rsid w:val="000A7AED"/>
    <w:rsid w:val="000B38F1"/>
    <w:rsid w:val="000B395F"/>
    <w:rsid w:val="000B65BE"/>
    <w:rsid w:val="000B6CD4"/>
    <w:rsid w:val="000C0C26"/>
    <w:rsid w:val="000C1AEB"/>
    <w:rsid w:val="000C5C69"/>
    <w:rsid w:val="000D2D07"/>
    <w:rsid w:val="000D506B"/>
    <w:rsid w:val="000D5B5D"/>
    <w:rsid w:val="000F0E28"/>
    <w:rsid w:val="000F1BBD"/>
    <w:rsid w:val="000F5C4C"/>
    <w:rsid w:val="000F639A"/>
    <w:rsid w:val="000F6C9B"/>
    <w:rsid w:val="0010389A"/>
    <w:rsid w:val="00105906"/>
    <w:rsid w:val="00107A66"/>
    <w:rsid w:val="00112771"/>
    <w:rsid w:val="0011615B"/>
    <w:rsid w:val="00120C82"/>
    <w:rsid w:val="00123BAA"/>
    <w:rsid w:val="001249D6"/>
    <w:rsid w:val="001263AA"/>
    <w:rsid w:val="00127AA8"/>
    <w:rsid w:val="00130054"/>
    <w:rsid w:val="00131189"/>
    <w:rsid w:val="0013224D"/>
    <w:rsid w:val="001447AD"/>
    <w:rsid w:val="001475E1"/>
    <w:rsid w:val="00147B1A"/>
    <w:rsid w:val="00150C62"/>
    <w:rsid w:val="00151B4B"/>
    <w:rsid w:val="0015431C"/>
    <w:rsid w:val="0016125A"/>
    <w:rsid w:val="001620C1"/>
    <w:rsid w:val="00163CBC"/>
    <w:rsid w:val="0016447A"/>
    <w:rsid w:val="00170714"/>
    <w:rsid w:val="001772B2"/>
    <w:rsid w:val="00180013"/>
    <w:rsid w:val="0018079B"/>
    <w:rsid w:val="00190100"/>
    <w:rsid w:val="00194233"/>
    <w:rsid w:val="00196A38"/>
    <w:rsid w:val="00197CC2"/>
    <w:rsid w:val="001A0AE2"/>
    <w:rsid w:val="001A14EE"/>
    <w:rsid w:val="001A1F5F"/>
    <w:rsid w:val="001A233D"/>
    <w:rsid w:val="001B10F2"/>
    <w:rsid w:val="001B2AE3"/>
    <w:rsid w:val="001B40AA"/>
    <w:rsid w:val="001B7A5C"/>
    <w:rsid w:val="001C019A"/>
    <w:rsid w:val="001C0312"/>
    <w:rsid w:val="001C1C1E"/>
    <w:rsid w:val="001C2BF3"/>
    <w:rsid w:val="001C3987"/>
    <w:rsid w:val="001D4E32"/>
    <w:rsid w:val="001E4CF6"/>
    <w:rsid w:val="001E50AA"/>
    <w:rsid w:val="001E74B6"/>
    <w:rsid w:val="001F0794"/>
    <w:rsid w:val="001F25A6"/>
    <w:rsid w:val="001F6083"/>
    <w:rsid w:val="001F75C7"/>
    <w:rsid w:val="00201A70"/>
    <w:rsid w:val="002022A5"/>
    <w:rsid w:val="002022F1"/>
    <w:rsid w:val="002023C3"/>
    <w:rsid w:val="0020762A"/>
    <w:rsid w:val="002156B3"/>
    <w:rsid w:val="00216115"/>
    <w:rsid w:val="00221F8B"/>
    <w:rsid w:val="002230C8"/>
    <w:rsid w:val="0022320D"/>
    <w:rsid w:val="00224B0C"/>
    <w:rsid w:val="00225BCE"/>
    <w:rsid w:val="0022619F"/>
    <w:rsid w:val="00237EF2"/>
    <w:rsid w:val="00237F38"/>
    <w:rsid w:val="00240AD8"/>
    <w:rsid w:val="00242D9B"/>
    <w:rsid w:val="00243DE0"/>
    <w:rsid w:val="00251612"/>
    <w:rsid w:val="0025191E"/>
    <w:rsid w:val="0025199C"/>
    <w:rsid w:val="00254EC9"/>
    <w:rsid w:val="002619F5"/>
    <w:rsid w:val="00263012"/>
    <w:rsid w:val="00263CAB"/>
    <w:rsid w:val="0026678B"/>
    <w:rsid w:val="0027725C"/>
    <w:rsid w:val="00280122"/>
    <w:rsid w:val="002803AB"/>
    <w:rsid w:val="00281500"/>
    <w:rsid w:val="002820EC"/>
    <w:rsid w:val="00282C96"/>
    <w:rsid w:val="00286611"/>
    <w:rsid w:val="00291942"/>
    <w:rsid w:val="0029426F"/>
    <w:rsid w:val="00294494"/>
    <w:rsid w:val="00294C1B"/>
    <w:rsid w:val="002957A5"/>
    <w:rsid w:val="0029709F"/>
    <w:rsid w:val="002970FC"/>
    <w:rsid w:val="00297919"/>
    <w:rsid w:val="002A5E53"/>
    <w:rsid w:val="002B05B8"/>
    <w:rsid w:val="002B2CE5"/>
    <w:rsid w:val="002B57F8"/>
    <w:rsid w:val="002B5F1C"/>
    <w:rsid w:val="002C19EC"/>
    <w:rsid w:val="002C2870"/>
    <w:rsid w:val="002C41F8"/>
    <w:rsid w:val="002D6217"/>
    <w:rsid w:val="002D71C2"/>
    <w:rsid w:val="002D73B8"/>
    <w:rsid w:val="002E0AF4"/>
    <w:rsid w:val="002E156A"/>
    <w:rsid w:val="002E4E8E"/>
    <w:rsid w:val="002F1BBA"/>
    <w:rsid w:val="002F2362"/>
    <w:rsid w:val="002F5DC0"/>
    <w:rsid w:val="002F7B57"/>
    <w:rsid w:val="00302C6B"/>
    <w:rsid w:val="003058CA"/>
    <w:rsid w:val="003124DE"/>
    <w:rsid w:val="003146AA"/>
    <w:rsid w:val="0032046A"/>
    <w:rsid w:val="00323F07"/>
    <w:rsid w:val="0032543C"/>
    <w:rsid w:val="00330073"/>
    <w:rsid w:val="0033619F"/>
    <w:rsid w:val="00337299"/>
    <w:rsid w:val="003430A2"/>
    <w:rsid w:val="0034344B"/>
    <w:rsid w:val="00347029"/>
    <w:rsid w:val="003510B5"/>
    <w:rsid w:val="00351CDB"/>
    <w:rsid w:val="0035474E"/>
    <w:rsid w:val="0035499A"/>
    <w:rsid w:val="00355BBC"/>
    <w:rsid w:val="00357234"/>
    <w:rsid w:val="003631EE"/>
    <w:rsid w:val="00363BC4"/>
    <w:rsid w:val="00364751"/>
    <w:rsid w:val="003708AC"/>
    <w:rsid w:val="00377271"/>
    <w:rsid w:val="00377F17"/>
    <w:rsid w:val="00387A04"/>
    <w:rsid w:val="003927BB"/>
    <w:rsid w:val="00397943"/>
    <w:rsid w:val="003A1BA5"/>
    <w:rsid w:val="003B4010"/>
    <w:rsid w:val="003B6445"/>
    <w:rsid w:val="003B7B15"/>
    <w:rsid w:val="003C1271"/>
    <w:rsid w:val="003C2F0A"/>
    <w:rsid w:val="003D2327"/>
    <w:rsid w:val="003D7390"/>
    <w:rsid w:val="003D73A8"/>
    <w:rsid w:val="003E4F41"/>
    <w:rsid w:val="003F1CD0"/>
    <w:rsid w:val="003F7635"/>
    <w:rsid w:val="00404A34"/>
    <w:rsid w:val="00404BFB"/>
    <w:rsid w:val="004061C8"/>
    <w:rsid w:val="00406F95"/>
    <w:rsid w:val="004106C5"/>
    <w:rsid w:val="00411828"/>
    <w:rsid w:val="00421649"/>
    <w:rsid w:val="00424957"/>
    <w:rsid w:val="004317BD"/>
    <w:rsid w:val="00431DAA"/>
    <w:rsid w:val="0043228D"/>
    <w:rsid w:val="00433243"/>
    <w:rsid w:val="0043562B"/>
    <w:rsid w:val="00436543"/>
    <w:rsid w:val="00436887"/>
    <w:rsid w:val="004403F7"/>
    <w:rsid w:val="00441DA1"/>
    <w:rsid w:val="00443F96"/>
    <w:rsid w:val="0044436C"/>
    <w:rsid w:val="004458C0"/>
    <w:rsid w:val="004468C4"/>
    <w:rsid w:val="00457238"/>
    <w:rsid w:val="0046073F"/>
    <w:rsid w:val="00461721"/>
    <w:rsid w:val="0047382D"/>
    <w:rsid w:val="00480855"/>
    <w:rsid w:val="004843F5"/>
    <w:rsid w:val="00484EE4"/>
    <w:rsid w:val="00485C6B"/>
    <w:rsid w:val="00486AA1"/>
    <w:rsid w:val="00487EFA"/>
    <w:rsid w:val="004907DA"/>
    <w:rsid w:val="00491E9E"/>
    <w:rsid w:val="004926CE"/>
    <w:rsid w:val="00497E22"/>
    <w:rsid w:val="00497FD4"/>
    <w:rsid w:val="004A056A"/>
    <w:rsid w:val="004A1719"/>
    <w:rsid w:val="004A2678"/>
    <w:rsid w:val="004A2D91"/>
    <w:rsid w:val="004A3CA1"/>
    <w:rsid w:val="004B462B"/>
    <w:rsid w:val="004B4686"/>
    <w:rsid w:val="004B4714"/>
    <w:rsid w:val="004B488C"/>
    <w:rsid w:val="004B6527"/>
    <w:rsid w:val="004C0B60"/>
    <w:rsid w:val="004C1DCA"/>
    <w:rsid w:val="004C6598"/>
    <w:rsid w:val="004C78A6"/>
    <w:rsid w:val="004D6C77"/>
    <w:rsid w:val="004E7459"/>
    <w:rsid w:val="004F6BA4"/>
    <w:rsid w:val="00501993"/>
    <w:rsid w:val="00501FB3"/>
    <w:rsid w:val="00502CF8"/>
    <w:rsid w:val="005030D1"/>
    <w:rsid w:val="00503F07"/>
    <w:rsid w:val="005045F0"/>
    <w:rsid w:val="00504AD7"/>
    <w:rsid w:val="00514896"/>
    <w:rsid w:val="0051639B"/>
    <w:rsid w:val="0051668E"/>
    <w:rsid w:val="005177B7"/>
    <w:rsid w:val="0051798E"/>
    <w:rsid w:val="0052081A"/>
    <w:rsid w:val="005249FF"/>
    <w:rsid w:val="00530DC0"/>
    <w:rsid w:val="00535296"/>
    <w:rsid w:val="00543FD5"/>
    <w:rsid w:val="00550130"/>
    <w:rsid w:val="00551DC4"/>
    <w:rsid w:val="005558B6"/>
    <w:rsid w:val="00555CCB"/>
    <w:rsid w:val="00557755"/>
    <w:rsid w:val="005602D6"/>
    <w:rsid w:val="00560A68"/>
    <w:rsid w:val="00563A36"/>
    <w:rsid w:val="00565C8C"/>
    <w:rsid w:val="005672AC"/>
    <w:rsid w:val="005704AC"/>
    <w:rsid w:val="005707D2"/>
    <w:rsid w:val="00572EF3"/>
    <w:rsid w:val="00581CF1"/>
    <w:rsid w:val="00583000"/>
    <w:rsid w:val="005870C9"/>
    <w:rsid w:val="005878B8"/>
    <w:rsid w:val="00587CED"/>
    <w:rsid w:val="0059255F"/>
    <w:rsid w:val="00595692"/>
    <w:rsid w:val="00595DFD"/>
    <w:rsid w:val="005965CF"/>
    <w:rsid w:val="005973A1"/>
    <w:rsid w:val="00597EA4"/>
    <w:rsid w:val="005A1545"/>
    <w:rsid w:val="005A1F45"/>
    <w:rsid w:val="005A752F"/>
    <w:rsid w:val="005B37A1"/>
    <w:rsid w:val="005B4FF3"/>
    <w:rsid w:val="005B5D97"/>
    <w:rsid w:val="005C0B2A"/>
    <w:rsid w:val="005C5046"/>
    <w:rsid w:val="005C5BDA"/>
    <w:rsid w:val="005C5EFE"/>
    <w:rsid w:val="005D70CA"/>
    <w:rsid w:val="005E2093"/>
    <w:rsid w:val="005E418F"/>
    <w:rsid w:val="005E6A8A"/>
    <w:rsid w:val="005E7DC9"/>
    <w:rsid w:val="005F5941"/>
    <w:rsid w:val="005F64A5"/>
    <w:rsid w:val="006008DB"/>
    <w:rsid w:val="006022B0"/>
    <w:rsid w:val="00603114"/>
    <w:rsid w:val="006049EE"/>
    <w:rsid w:val="006077B1"/>
    <w:rsid w:val="00610495"/>
    <w:rsid w:val="00610FDD"/>
    <w:rsid w:val="006117FB"/>
    <w:rsid w:val="006159AE"/>
    <w:rsid w:val="00623CCC"/>
    <w:rsid w:val="00624A8D"/>
    <w:rsid w:val="0062566F"/>
    <w:rsid w:val="00626604"/>
    <w:rsid w:val="00626E2B"/>
    <w:rsid w:val="00627B00"/>
    <w:rsid w:val="00631C1C"/>
    <w:rsid w:val="006326ED"/>
    <w:rsid w:val="0063403C"/>
    <w:rsid w:val="00634ED0"/>
    <w:rsid w:val="006360D6"/>
    <w:rsid w:val="0064279D"/>
    <w:rsid w:val="00643869"/>
    <w:rsid w:val="00652B63"/>
    <w:rsid w:val="00655F4A"/>
    <w:rsid w:val="0066768A"/>
    <w:rsid w:val="00670715"/>
    <w:rsid w:val="00672761"/>
    <w:rsid w:val="00672E70"/>
    <w:rsid w:val="006746BE"/>
    <w:rsid w:val="00680B46"/>
    <w:rsid w:val="00682336"/>
    <w:rsid w:val="0068377A"/>
    <w:rsid w:val="00685990"/>
    <w:rsid w:val="0068754E"/>
    <w:rsid w:val="00692C73"/>
    <w:rsid w:val="006939F0"/>
    <w:rsid w:val="006948E5"/>
    <w:rsid w:val="00697527"/>
    <w:rsid w:val="006A0406"/>
    <w:rsid w:val="006A188C"/>
    <w:rsid w:val="006A19F5"/>
    <w:rsid w:val="006A2B65"/>
    <w:rsid w:val="006B009F"/>
    <w:rsid w:val="006B1917"/>
    <w:rsid w:val="006B2FE6"/>
    <w:rsid w:val="006B3203"/>
    <w:rsid w:val="006B5CDF"/>
    <w:rsid w:val="006B6AB5"/>
    <w:rsid w:val="006B7556"/>
    <w:rsid w:val="006C1D0E"/>
    <w:rsid w:val="006C1FA7"/>
    <w:rsid w:val="006C2635"/>
    <w:rsid w:val="006C3BA3"/>
    <w:rsid w:val="006D08F1"/>
    <w:rsid w:val="006D0FA0"/>
    <w:rsid w:val="006D2D60"/>
    <w:rsid w:val="006D2F32"/>
    <w:rsid w:val="006D65D2"/>
    <w:rsid w:val="006D66EE"/>
    <w:rsid w:val="006E2EAB"/>
    <w:rsid w:val="006E4356"/>
    <w:rsid w:val="006E4D95"/>
    <w:rsid w:val="006E65FB"/>
    <w:rsid w:val="006E6E84"/>
    <w:rsid w:val="006F353D"/>
    <w:rsid w:val="006F3AA6"/>
    <w:rsid w:val="006F4EAD"/>
    <w:rsid w:val="006F5CD3"/>
    <w:rsid w:val="006F6327"/>
    <w:rsid w:val="006F769C"/>
    <w:rsid w:val="00700B1E"/>
    <w:rsid w:val="007105E8"/>
    <w:rsid w:val="007150F4"/>
    <w:rsid w:val="00722CC7"/>
    <w:rsid w:val="007238E8"/>
    <w:rsid w:val="007240EF"/>
    <w:rsid w:val="007249C0"/>
    <w:rsid w:val="0072723C"/>
    <w:rsid w:val="00730F19"/>
    <w:rsid w:val="00732927"/>
    <w:rsid w:val="00732FAD"/>
    <w:rsid w:val="00733F77"/>
    <w:rsid w:val="0073412D"/>
    <w:rsid w:val="0073724A"/>
    <w:rsid w:val="00743039"/>
    <w:rsid w:val="00743B4E"/>
    <w:rsid w:val="0074668E"/>
    <w:rsid w:val="00753C90"/>
    <w:rsid w:val="00753DEB"/>
    <w:rsid w:val="00757F65"/>
    <w:rsid w:val="007678CD"/>
    <w:rsid w:val="00770AC1"/>
    <w:rsid w:val="00780255"/>
    <w:rsid w:val="007927F9"/>
    <w:rsid w:val="00793DB4"/>
    <w:rsid w:val="007A65F0"/>
    <w:rsid w:val="007B0C50"/>
    <w:rsid w:val="007C19E8"/>
    <w:rsid w:val="007C26B2"/>
    <w:rsid w:val="007C5026"/>
    <w:rsid w:val="007C5B47"/>
    <w:rsid w:val="007D06AC"/>
    <w:rsid w:val="007D5C13"/>
    <w:rsid w:val="007E080B"/>
    <w:rsid w:val="007E3880"/>
    <w:rsid w:val="007E4E50"/>
    <w:rsid w:val="007E742D"/>
    <w:rsid w:val="007F3A8C"/>
    <w:rsid w:val="007F43CB"/>
    <w:rsid w:val="007F5658"/>
    <w:rsid w:val="007F5799"/>
    <w:rsid w:val="007F5EEA"/>
    <w:rsid w:val="007F6939"/>
    <w:rsid w:val="00804200"/>
    <w:rsid w:val="0081221F"/>
    <w:rsid w:val="00812DEE"/>
    <w:rsid w:val="00812E03"/>
    <w:rsid w:val="008135AA"/>
    <w:rsid w:val="008140C4"/>
    <w:rsid w:val="00821312"/>
    <w:rsid w:val="00822C27"/>
    <w:rsid w:val="00827F3F"/>
    <w:rsid w:val="008324C1"/>
    <w:rsid w:val="0083499F"/>
    <w:rsid w:val="00836B96"/>
    <w:rsid w:val="008427CC"/>
    <w:rsid w:val="00843806"/>
    <w:rsid w:val="008438BC"/>
    <w:rsid w:val="00864CCA"/>
    <w:rsid w:val="00865AE1"/>
    <w:rsid w:val="00866F2B"/>
    <w:rsid w:val="00877954"/>
    <w:rsid w:val="00882B46"/>
    <w:rsid w:val="00890B87"/>
    <w:rsid w:val="00893D6E"/>
    <w:rsid w:val="00893DD2"/>
    <w:rsid w:val="00897DFB"/>
    <w:rsid w:val="008A10DC"/>
    <w:rsid w:val="008B007C"/>
    <w:rsid w:val="008B244C"/>
    <w:rsid w:val="008B5B07"/>
    <w:rsid w:val="008B5E0E"/>
    <w:rsid w:val="008B7F58"/>
    <w:rsid w:val="008D00AD"/>
    <w:rsid w:val="008D4200"/>
    <w:rsid w:val="008D5E1E"/>
    <w:rsid w:val="008E47F3"/>
    <w:rsid w:val="008E4E50"/>
    <w:rsid w:val="008E7E29"/>
    <w:rsid w:val="008F1AB6"/>
    <w:rsid w:val="008F2444"/>
    <w:rsid w:val="008F3368"/>
    <w:rsid w:val="008F3566"/>
    <w:rsid w:val="008F651F"/>
    <w:rsid w:val="00901BED"/>
    <w:rsid w:val="009035F5"/>
    <w:rsid w:val="00905AE9"/>
    <w:rsid w:val="00905B1C"/>
    <w:rsid w:val="00913263"/>
    <w:rsid w:val="00914E83"/>
    <w:rsid w:val="00917A48"/>
    <w:rsid w:val="009206E2"/>
    <w:rsid w:val="00922934"/>
    <w:rsid w:val="009250C2"/>
    <w:rsid w:val="00930077"/>
    <w:rsid w:val="009315EF"/>
    <w:rsid w:val="00931778"/>
    <w:rsid w:val="00936CF8"/>
    <w:rsid w:val="00940763"/>
    <w:rsid w:val="00941001"/>
    <w:rsid w:val="00943EDA"/>
    <w:rsid w:val="009479AE"/>
    <w:rsid w:val="00950427"/>
    <w:rsid w:val="00950CCD"/>
    <w:rsid w:val="00953433"/>
    <w:rsid w:val="00953835"/>
    <w:rsid w:val="009538EE"/>
    <w:rsid w:val="00953F2B"/>
    <w:rsid w:val="0096319C"/>
    <w:rsid w:val="00967BD9"/>
    <w:rsid w:val="00972369"/>
    <w:rsid w:val="00976D7E"/>
    <w:rsid w:val="009836A4"/>
    <w:rsid w:val="00987B68"/>
    <w:rsid w:val="00991DFB"/>
    <w:rsid w:val="0099591A"/>
    <w:rsid w:val="00996899"/>
    <w:rsid w:val="009A24CF"/>
    <w:rsid w:val="009A36D7"/>
    <w:rsid w:val="009A5603"/>
    <w:rsid w:val="009A5B3B"/>
    <w:rsid w:val="009A5F54"/>
    <w:rsid w:val="009A7201"/>
    <w:rsid w:val="009A7615"/>
    <w:rsid w:val="009B1A9D"/>
    <w:rsid w:val="009B28E1"/>
    <w:rsid w:val="009B6BC6"/>
    <w:rsid w:val="009C59F6"/>
    <w:rsid w:val="009C7BDC"/>
    <w:rsid w:val="009C7F82"/>
    <w:rsid w:val="009D0CD3"/>
    <w:rsid w:val="009D10A6"/>
    <w:rsid w:val="009D1A47"/>
    <w:rsid w:val="009D2E34"/>
    <w:rsid w:val="009E0B72"/>
    <w:rsid w:val="009E0D70"/>
    <w:rsid w:val="009E0D8F"/>
    <w:rsid w:val="009E291C"/>
    <w:rsid w:val="009E7D68"/>
    <w:rsid w:val="009F290D"/>
    <w:rsid w:val="00A00976"/>
    <w:rsid w:val="00A01F08"/>
    <w:rsid w:val="00A02FFF"/>
    <w:rsid w:val="00A030E6"/>
    <w:rsid w:val="00A05618"/>
    <w:rsid w:val="00A165D0"/>
    <w:rsid w:val="00A22912"/>
    <w:rsid w:val="00A2487E"/>
    <w:rsid w:val="00A30B6B"/>
    <w:rsid w:val="00A364BE"/>
    <w:rsid w:val="00A4156D"/>
    <w:rsid w:val="00A430EA"/>
    <w:rsid w:val="00A4332F"/>
    <w:rsid w:val="00A437D2"/>
    <w:rsid w:val="00A44A05"/>
    <w:rsid w:val="00A4608D"/>
    <w:rsid w:val="00A47161"/>
    <w:rsid w:val="00A471EB"/>
    <w:rsid w:val="00A4733D"/>
    <w:rsid w:val="00A47C13"/>
    <w:rsid w:val="00A56121"/>
    <w:rsid w:val="00A5662E"/>
    <w:rsid w:val="00A605AE"/>
    <w:rsid w:val="00A617F8"/>
    <w:rsid w:val="00A62B8A"/>
    <w:rsid w:val="00A6733F"/>
    <w:rsid w:val="00A71CFC"/>
    <w:rsid w:val="00A729F7"/>
    <w:rsid w:val="00A7636E"/>
    <w:rsid w:val="00A82DC9"/>
    <w:rsid w:val="00A85D46"/>
    <w:rsid w:val="00A86195"/>
    <w:rsid w:val="00A8657A"/>
    <w:rsid w:val="00A87EB7"/>
    <w:rsid w:val="00A92FCE"/>
    <w:rsid w:val="00A9385F"/>
    <w:rsid w:val="00A95563"/>
    <w:rsid w:val="00A95F82"/>
    <w:rsid w:val="00AA28B5"/>
    <w:rsid w:val="00AA3050"/>
    <w:rsid w:val="00AA5C64"/>
    <w:rsid w:val="00AA68B5"/>
    <w:rsid w:val="00AB0543"/>
    <w:rsid w:val="00AB14DD"/>
    <w:rsid w:val="00AB35D6"/>
    <w:rsid w:val="00AC3E87"/>
    <w:rsid w:val="00AC7D14"/>
    <w:rsid w:val="00AD0966"/>
    <w:rsid w:val="00AD3171"/>
    <w:rsid w:val="00AD3288"/>
    <w:rsid w:val="00AD6E83"/>
    <w:rsid w:val="00AE10F6"/>
    <w:rsid w:val="00AE25C0"/>
    <w:rsid w:val="00AE25F8"/>
    <w:rsid w:val="00AE2B43"/>
    <w:rsid w:val="00AE4335"/>
    <w:rsid w:val="00AE689F"/>
    <w:rsid w:val="00AE68B7"/>
    <w:rsid w:val="00AF0FE3"/>
    <w:rsid w:val="00AF211F"/>
    <w:rsid w:val="00AF228B"/>
    <w:rsid w:val="00AF764D"/>
    <w:rsid w:val="00B05A63"/>
    <w:rsid w:val="00B068F7"/>
    <w:rsid w:val="00B101B7"/>
    <w:rsid w:val="00B141B2"/>
    <w:rsid w:val="00B148C2"/>
    <w:rsid w:val="00B14EB6"/>
    <w:rsid w:val="00B15673"/>
    <w:rsid w:val="00B15D89"/>
    <w:rsid w:val="00B17D6E"/>
    <w:rsid w:val="00B20DC1"/>
    <w:rsid w:val="00B21F3C"/>
    <w:rsid w:val="00B23E70"/>
    <w:rsid w:val="00B247C8"/>
    <w:rsid w:val="00B320CE"/>
    <w:rsid w:val="00B33A30"/>
    <w:rsid w:val="00B34A61"/>
    <w:rsid w:val="00B45965"/>
    <w:rsid w:val="00B5294C"/>
    <w:rsid w:val="00B6230E"/>
    <w:rsid w:val="00B63D9F"/>
    <w:rsid w:val="00B6455C"/>
    <w:rsid w:val="00B70E3C"/>
    <w:rsid w:val="00B71046"/>
    <w:rsid w:val="00B74256"/>
    <w:rsid w:val="00B76AAF"/>
    <w:rsid w:val="00B77F0C"/>
    <w:rsid w:val="00B8120F"/>
    <w:rsid w:val="00B821D6"/>
    <w:rsid w:val="00B869FC"/>
    <w:rsid w:val="00B8741E"/>
    <w:rsid w:val="00B921BA"/>
    <w:rsid w:val="00B96304"/>
    <w:rsid w:val="00BB039B"/>
    <w:rsid w:val="00BB0FEA"/>
    <w:rsid w:val="00BB24DE"/>
    <w:rsid w:val="00BB3038"/>
    <w:rsid w:val="00BB328A"/>
    <w:rsid w:val="00BB3796"/>
    <w:rsid w:val="00BB3B6C"/>
    <w:rsid w:val="00BB5FF7"/>
    <w:rsid w:val="00BC00AE"/>
    <w:rsid w:val="00BC117D"/>
    <w:rsid w:val="00BC210F"/>
    <w:rsid w:val="00BC288B"/>
    <w:rsid w:val="00BC3D85"/>
    <w:rsid w:val="00BC62DB"/>
    <w:rsid w:val="00BC69BC"/>
    <w:rsid w:val="00BC7D66"/>
    <w:rsid w:val="00BD1D5D"/>
    <w:rsid w:val="00BD2FE0"/>
    <w:rsid w:val="00BD3B75"/>
    <w:rsid w:val="00BD4C3C"/>
    <w:rsid w:val="00BD4EAD"/>
    <w:rsid w:val="00BD5610"/>
    <w:rsid w:val="00BE1B1C"/>
    <w:rsid w:val="00BE260C"/>
    <w:rsid w:val="00BF0DE8"/>
    <w:rsid w:val="00BF111F"/>
    <w:rsid w:val="00BF32D3"/>
    <w:rsid w:val="00BF3619"/>
    <w:rsid w:val="00BF444C"/>
    <w:rsid w:val="00BF5D99"/>
    <w:rsid w:val="00BF60FD"/>
    <w:rsid w:val="00BF6644"/>
    <w:rsid w:val="00BF7D6F"/>
    <w:rsid w:val="00C042FB"/>
    <w:rsid w:val="00C05B9A"/>
    <w:rsid w:val="00C07E3A"/>
    <w:rsid w:val="00C10148"/>
    <w:rsid w:val="00C109CA"/>
    <w:rsid w:val="00C1210B"/>
    <w:rsid w:val="00C13AB9"/>
    <w:rsid w:val="00C13EFA"/>
    <w:rsid w:val="00C149D5"/>
    <w:rsid w:val="00C16358"/>
    <w:rsid w:val="00C20113"/>
    <w:rsid w:val="00C24A0A"/>
    <w:rsid w:val="00C26CF3"/>
    <w:rsid w:val="00C331E0"/>
    <w:rsid w:val="00C33EB5"/>
    <w:rsid w:val="00C437D1"/>
    <w:rsid w:val="00C5061C"/>
    <w:rsid w:val="00C5302E"/>
    <w:rsid w:val="00C554D1"/>
    <w:rsid w:val="00C62A31"/>
    <w:rsid w:val="00C66CDF"/>
    <w:rsid w:val="00C73F1A"/>
    <w:rsid w:val="00C822F1"/>
    <w:rsid w:val="00C83141"/>
    <w:rsid w:val="00C87459"/>
    <w:rsid w:val="00C90A1F"/>
    <w:rsid w:val="00C927E1"/>
    <w:rsid w:val="00C92D27"/>
    <w:rsid w:val="00C94A7E"/>
    <w:rsid w:val="00C94E73"/>
    <w:rsid w:val="00CA3F6D"/>
    <w:rsid w:val="00CA6D16"/>
    <w:rsid w:val="00CA7FB7"/>
    <w:rsid w:val="00CB1EE0"/>
    <w:rsid w:val="00CB5E79"/>
    <w:rsid w:val="00CB6832"/>
    <w:rsid w:val="00CC2CCF"/>
    <w:rsid w:val="00CC5760"/>
    <w:rsid w:val="00CD2C50"/>
    <w:rsid w:val="00CE5096"/>
    <w:rsid w:val="00CE5176"/>
    <w:rsid w:val="00CE623B"/>
    <w:rsid w:val="00CE7B15"/>
    <w:rsid w:val="00CF04F9"/>
    <w:rsid w:val="00CF1615"/>
    <w:rsid w:val="00CF4A49"/>
    <w:rsid w:val="00CF5B1D"/>
    <w:rsid w:val="00CF6DC4"/>
    <w:rsid w:val="00CF6FBC"/>
    <w:rsid w:val="00D02B14"/>
    <w:rsid w:val="00D04688"/>
    <w:rsid w:val="00D055CE"/>
    <w:rsid w:val="00D05F79"/>
    <w:rsid w:val="00D15463"/>
    <w:rsid w:val="00D1608B"/>
    <w:rsid w:val="00D205DE"/>
    <w:rsid w:val="00D2206F"/>
    <w:rsid w:val="00D31146"/>
    <w:rsid w:val="00D32868"/>
    <w:rsid w:val="00D34957"/>
    <w:rsid w:val="00D36A1E"/>
    <w:rsid w:val="00D55569"/>
    <w:rsid w:val="00D6022F"/>
    <w:rsid w:val="00D6352D"/>
    <w:rsid w:val="00D63FF8"/>
    <w:rsid w:val="00D64F6C"/>
    <w:rsid w:val="00D70C6C"/>
    <w:rsid w:val="00D72A10"/>
    <w:rsid w:val="00D77024"/>
    <w:rsid w:val="00D80883"/>
    <w:rsid w:val="00D8518E"/>
    <w:rsid w:val="00D868B1"/>
    <w:rsid w:val="00D904B0"/>
    <w:rsid w:val="00D915D4"/>
    <w:rsid w:val="00D9310E"/>
    <w:rsid w:val="00D9750C"/>
    <w:rsid w:val="00DA0FBA"/>
    <w:rsid w:val="00DB2E05"/>
    <w:rsid w:val="00DB69C8"/>
    <w:rsid w:val="00DC043F"/>
    <w:rsid w:val="00DC45ED"/>
    <w:rsid w:val="00DD1356"/>
    <w:rsid w:val="00DD7FAF"/>
    <w:rsid w:val="00DE1C5E"/>
    <w:rsid w:val="00DE3C05"/>
    <w:rsid w:val="00DE415C"/>
    <w:rsid w:val="00DE4737"/>
    <w:rsid w:val="00DE646C"/>
    <w:rsid w:val="00DE6F71"/>
    <w:rsid w:val="00DE7517"/>
    <w:rsid w:val="00DF66E1"/>
    <w:rsid w:val="00DF7997"/>
    <w:rsid w:val="00E03ADD"/>
    <w:rsid w:val="00E03D32"/>
    <w:rsid w:val="00E04572"/>
    <w:rsid w:val="00E055A5"/>
    <w:rsid w:val="00E05CD4"/>
    <w:rsid w:val="00E065E6"/>
    <w:rsid w:val="00E0682A"/>
    <w:rsid w:val="00E069C9"/>
    <w:rsid w:val="00E11A43"/>
    <w:rsid w:val="00E13420"/>
    <w:rsid w:val="00E15911"/>
    <w:rsid w:val="00E200A4"/>
    <w:rsid w:val="00E20ABE"/>
    <w:rsid w:val="00E2323C"/>
    <w:rsid w:val="00E24254"/>
    <w:rsid w:val="00E26E57"/>
    <w:rsid w:val="00E27060"/>
    <w:rsid w:val="00E30014"/>
    <w:rsid w:val="00E35241"/>
    <w:rsid w:val="00E429C7"/>
    <w:rsid w:val="00E45C07"/>
    <w:rsid w:val="00E51287"/>
    <w:rsid w:val="00E53E1E"/>
    <w:rsid w:val="00E5486C"/>
    <w:rsid w:val="00E54FB6"/>
    <w:rsid w:val="00E6333C"/>
    <w:rsid w:val="00E67747"/>
    <w:rsid w:val="00E703C7"/>
    <w:rsid w:val="00E70A38"/>
    <w:rsid w:val="00E72920"/>
    <w:rsid w:val="00E73981"/>
    <w:rsid w:val="00E74A1C"/>
    <w:rsid w:val="00E74A44"/>
    <w:rsid w:val="00E75718"/>
    <w:rsid w:val="00E76736"/>
    <w:rsid w:val="00E81D3F"/>
    <w:rsid w:val="00E85331"/>
    <w:rsid w:val="00E91612"/>
    <w:rsid w:val="00E9479D"/>
    <w:rsid w:val="00E957E0"/>
    <w:rsid w:val="00E97DEB"/>
    <w:rsid w:val="00EA1B72"/>
    <w:rsid w:val="00EA4D9E"/>
    <w:rsid w:val="00EB1090"/>
    <w:rsid w:val="00EB13E7"/>
    <w:rsid w:val="00EB28E4"/>
    <w:rsid w:val="00EB2A8E"/>
    <w:rsid w:val="00EB3144"/>
    <w:rsid w:val="00EB355E"/>
    <w:rsid w:val="00EC51A1"/>
    <w:rsid w:val="00ED1DD7"/>
    <w:rsid w:val="00ED3894"/>
    <w:rsid w:val="00ED52A1"/>
    <w:rsid w:val="00ED602F"/>
    <w:rsid w:val="00EE0CE9"/>
    <w:rsid w:val="00EE6BB2"/>
    <w:rsid w:val="00EF0E84"/>
    <w:rsid w:val="00EF23F4"/>
    <w:rsid w:val="00F000DD"/>
    <w:rsid w:val="00F022A6"/>
    <w:rsid w:val="00F02C4A"/>
    <w:rsid w:val="00F0687C"/>
    <w:rsid w:val="00F1218D"/>
    <w:rsid w:val="00F12C50"/>
    <w:rsid w:val="00F13E3E"/>
    <w:rsid w:val="00F23FCF"/>
    <w:rsid w:val="00F25881"/>
    <w:rsid w:val="00F3177B"/>
    <w:rsid w:val="00F36403"/>
    <w:rsid w:val="00F4199D"/>
    <w:rsid w:val="00F42323"/>
    <w:rsid w:val="00F45A55"/>
    <w:rsid w:val="00F50731"/>
    <w:rsid w:val="00F517D8"/>
    <w:rsid w:val="00F5414D"/>
    <w:rsid w:val="00F70437"/>
    <w:rsid w:val="00F70C05"/>
    <w:rsid w:val="00F70D08"/>
    <w:rsid w:val="00F74844"/>
    <w:rsid w:val="00F85B2D"/>
    <w:rsid w:val="00F91E27"/>
    <w:rsid w:val="00F93F92"/>
    <w:rsid w:val="00F9748F"/>
    <w:rsid w:val="00FA2B4C"/>
    <w:rsid w:val="00FA410E"/>
    <w:rsid w:val="00FA481C"/>
    <w:rsid w:val="00FA4A3B"/>
    <w:rsid w:val="00FA592A"/>
    <w:rsid w:val="00FB3734"/>
    <w:rsid w:val="00FC4628"/>
    <w:rsid w:val="00FD0C35"/>
    <w:rsid w:val="00FD3AA3"/>
    <w:rsid w:val="00FD61C3"/>
    <w:rsid w:val="00FD6706"/>
    <w:rsid w:val="00FD7F5F"/>
    <w:rsid w:val="00FE5EE6"/>
    <w:rsid w:val="00FF2ECB"/>
    <w:rsid w:val="00FF4A28"/>
    <w:rsid w:val="00FF589A"/>
    <w:rsid w:val="00FF6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7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B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character" w:customStyle="1" w:styleId="Heading3Char">
    <w:name w:val="Heading 3 Char"/>
    <w:basedOn w:val="DefaultParagraphFont"/>
    <w:link w:val="Heading3"/>
    <w:uiPriority w:val="9"/>
    <w:semiHidden/>
    <w:rsid w:val="00967B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BD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74397">
      <w:bodyDiv w:val="1"/>
      <w:marLeft w:val="0"/>
      <w:marRight w:val="0"/>
      <w:marTop w:val="0"/>
      <w:marBottom w:val="0"/>
      <w:divBdr>
        <w:top w:val="none" w:sz="0" w:space="0" w:color="auto"/>
        <w:left w:val="none" w:sz="0" w:space="0" w:color="auto"/>
        <w:bottom w:val="none" w:sz="0" w:space="0" w:color="auto"/>
        <w:right w:val="none" w:sz="0" w:space="0" w:color="auto"/>
      </w:divBdr>
    </w:div>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64114805">
      <w:bodyDiv w:val="1"/>
      <w:marLeft w:val="0"/>
      <w:marRight w:val="0"/>
      <w:marTop w:val="0"/>
      <w:marBottom w:val="0"/>
      <w:divBdr>
        <w:top w:val="none" w:sz="0" w:space="0" w:color="auto"/>
        <w:left w:val="none" w:sz="0" w:space="0" w:color="auto"/>
        <w:bottom w:val="none" w:sz="0" w:space="0" w:color="auto"/>
        <w:right w:val="none" w:sz="0" w:space="0" w:color="auto"/>
      </w:divBdr>
    </w:div>
    <w:div w:id="72824251">
      <w:bodyDiv w:val="1"/>
      <w:marLeft w:val="0"/>
      <w:marRight w:val="0"/>
      <w:marTop w:val="0"/>
      <w:marBottom w:val="0"/>
      <w:divBdr>
        <w:top w:val="none" w:sz="0" w:space="0" w:color="auto"/>
        <w:left w:val="none" w:sz="0" w:space="0" w:color="auto"/>
        <w:bottom w:val="none" w:sz="0" w:space="0" w:color="auto"/>
        <w:right w:val="none" w:sz="0" w:space="0" w:color="auto"/>
      </w:divBdr>
    </w:div>
    <w:div w:id="90782383">
      <w:bodyDiv w:val="1"/>
      <w:marLeft w:val="0"/>
      <w:marRight w:val="0"/>
      <w:marTop w:val="0"/>
      <w:marBottom w:val="0"/>
      <w:divBdr>
        <w:top w:val="none" w:sz="0" w:space="0" w:color="auto"/>
        <w:left w:val="none" w:sz="0" w:space="0" w:color="auto"/>
        <w:bottom w:val="none" w:sz="0" w:space="0" w:color="auto"/>
        <w:right w:val="none" w:sz="0" w:space="0" w:color="auto"/>
      </w:divBdr>
      <w:divsChild>
        <w:div w:id="1662196488">
          <w:marLeft w:val="0"/>
          <w:marRight w:val="0"/>
          <w:marTop w:val="0"/>
          <w:marBottom w:val="0"/>
          <w:divBdr>
            <w:top w:val="none" w:sz="0" w:space="0" w:color="auto"/>
            <w:left w:val="none" w:sz="0" w:space="0" w:color="auto"/>
            <w:bottom w:val="none" w:sz="0" w:space="0" w:color="auto"/>
            <w:right w:val="none" w:sz="0" w:space="0" w:color="auto"/>
          </w:divBdr>
        </w:div>
        <w:div w:id="572356360">
          <w:marLeft w:val="0"/>
          <w:marRight w:val="0"/>
          <w:marTop w:val="0"/>
          <w:marBottom w:val="0"/>
          <w:divBdr>
            <w:top w:val="none" w:sz="0" w:space="0" w:color="auto"/>
            <w:left w:val="none" w:sz="0" w:space="0" w:color="auto"/>
            <w:bottom w:val="none" w:sz="0" w:space="0" w:color="auto"/>
            <w:right w:val="none" w:sz="0" w:space="0" w:color="auto"/>
          </w:divBdr>
        </w:div>
        <w:div w:id="349374467">
          <w:marLeft w:val="0"/>
          <w:marRight w:val="0"/>
          <w:marTop w:val="0"/>
          <w:marBottom w:val="0"/>
          <w:divBdr>
            <w:top w:val="none" w:sz="0" w:space="0" w:color="auto"/>
            <w:left w:val="none" w:sz="0" w:space="0" w:color="auto"/>
            <w:bottom w:val="none" w:sz="0" w:space="0" w:color="auto"/>
            <w:right w:val="none" w:sz="0" w:space="0" w:color="auto"/>
          </w:divBdr>
        </w:div>
        <w:div w:id="1467746331">
          <w:marLeft w:val="0"/>
          <w:marRight w:val="0"/>
          <w:marTop w:val="0"/>
          <w:marBottom w:val="0"/>
          <w:divBdr>
            <w:top w:val="none" w:sz="0" w:space="0" w:color="auto"/>
            <w:left w:val="none" w:sz="0" w:space="0" w:color="auto"/>
            <w:bottom w:val="none" w:sz="0" w:space="0" w:color="auto"/>
            <w:right w:val="none" w:sz="0" w:space="0" w:color="auto"/>
          </w:divBdr>
        </w:div>
        <w:div w:id="2142074301">
          <w:marLeft w:val="0"/>
          <w:marRight w:val="0"/>
          <w:marTop w:val="0"/>
          <w:marBottom w:val="0"/>
          <w:divBdr>
            <w:top w:val="none" w:sz="0" w:space="0" w:color="auto"/>
            <w:left w:val="none" w:sz="0" w:space="0" w:color="auto"/>
            <w:bottom w:val="none" w:sz="0" w:space="0" w:color="auto"/>
            <w:right w:val="none" w:sz="0" w:space="0" w:color="auto"/>
          </w:divBdr>
        </w:div>
        <w:div w:id="1898930055">
          <w:marLeft w:val="0"/>
          <w:marRight w:val="0"/>
          <w:marTop w:val="0"/>
          <w:marBottom w:val="0"/>
          <w:divBdr>
            <w:top w:val="none" w:sz="0" w:space="0" w:color="auto"/>
            <w:left w:val="none" w:sz="0" w:space="0" w:color="auto"/>
            <w:bottom w:val="none" w:sz="0" w:space="0" w:color="auto"/>
            <w:right w:val="none" w:sz="0" w:space="0" w:color="auto"/>
          </w:divBdr>
        </w:div>
        <w:div w:id="1855339463">
          <w:marLeft w:val="0"/>
          <w:marRight w:val="0"/>
          <w:marTop w:val="0"/>
          <w:marBottom w:val="0"/>
          <w:divBdr>
            <w:top w:val="none" w:sz="0" w:space="0" w:color="auto"/>
            <w:left w:val="none" w:sz="0" w:space="0" w:color="auto"/>
            <w:bottom w:val="none" w:sz="0" w:space="0" w:color="auto"/>
            <w:right w:val="none" w:sz="0" w:space="0" w:color="auto"/>
          </w:divBdr>
        </w:div>
        <w:div w:id="1238128603">
          <w:marLeft w:val="0"/>
          <w:marRight w:val="0"/>
          <w:marTop w:val="0"/>
          <w:marBottom w:val="0"/>
          <w:divBdr>
            <w:top w:val="none" w:sz="0" w:space="0" w:color="auto"/>
            <w:left w:val="none" w:sz="0" w:space="0" w:color="auto"/>
            <w:bottom w:val="none" w:sz="0" w:space="0" w:color="auto"/>
            <w:right w:val="none" w:sz="0" w:space="0" w:color="auto"/>
          </w:divBdr>
        </w:div>
      </w:divsChild>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40118551">
      <w:bodyDiv w:val="1"/>
      <w:marLeft w:val="0"/>
      <w:marRight w:val="0"/>
      <w:marTop w:val="0"/>
      <w:marBottom w:val="0"/>
      <w:divBdr>
        <w:top w:val="none" w:sz="0" w:space="0" w:color="auto"/>
        <w:left w:val="none" w:sz="0" w:space="0" w:color="auto"/>
        <w:bottom w:val="none" w:sz="0" w:space="0" w:color="auto"/>
        <w:right w:val="none" w:sz="0" w:space="0" w:color="auto"/>
      </w:divBdr>
    </w:div>
    <w:div w:id="145125382">
      <w:bodyDiv w:val="1"/>
      <w:marLeft w:val="0"/>
      <w:marRight w:val="0"/>
      <w:marTop w:val="0"/>
      <w:marBottom w:val="0"/>
      <w:divBdr>
        <w:top w:val="none" w:sz="0" w:space="0" w:color="auto"/>
        <w:left w:val="none" w:sz="0" w:space="0" w:color="auto"/>
        <w:bottom w:val="none" w:sz="0" w:space="0" w:color="auto"/>
        <w:right w:val="none" w:sz="0" w:space="0" w:color="auto"/>
      </w:divBdr>
    </w:div>
    <w:div w:id="151221433">
      <w:bodyDiv w:val="1"/>
      <w:marLeft w:val="0"/>
      <w:marRight w:val="0"/>
      <w:marTop w:val="0"/>
      <w:marBottom w:val="0"/>
      <w:divBdr>
        <w:top w:val="none" w:sz="0" w:space="0" w:color="auto"/>
        <w:left w:val="none" w:sz="0" w:space="0" w:color="auto"/>
        <w:bottom w:val="none" w:sz="0" w:space="0" w:color="auto"/>
        <w:right w:val="none" w:sz="0" w:space="0" w:color="auto"/>
      </w:divBdr>
    </w:div>
    <w:div w:id="184909653">
      <w:bodyDiv w:val="1"/>
      <w:marLeft w:val="0"/>
      <w:marRight w:val="0"/>
      <w:marTop w:val="0"/>
      <w:marBottom w:val="0"/>
      <w:divBdr>
        <w:top w:val="none" w:sz="0" w:space="0" w:color="auto"/>
        <w:left w:val="none" w:sz="0" w:space="0" w:color="auto"/>
        <w:bottom w:val="none" w:sz="0" w:space="0" w:color="auto"/>
        <w:right w:val="none" w:sz="0" w:space="0" w:color="auto"/>
      </w:divBdr>
    </w:div>
    <w:div w:id="189926030">
      <w:bodyDiv w:val="1"/>
      <w:marLeft w:val="0"/>
      <w:marRight w:val="0"/>
      <w:marTop w:val="0"/>
      <w:marBottom w:val="0"/>
      <w:divBdr>
        <w:top w:val="none" w:sz="0" w:space="0" w:color="auto"/>
        <w:left w:val="none" w:sz="0" w:space="0" w:color="auto"/>
        <w:bottom w:val="none" w:sz="0" w:space="0" w:color="auto"/>
        <w:right w:val="none" w:sz="0" w:space="0" w:color="auto"/>
      </w:divBdr>
    </w:div>
    <w:div w:id="196089631">
      <w:bodyDiv w:val="1"/>
      <w:marLeft w:val="0"/>
      <w:marRight w:val="0"/>
      <w:marTop w:val="0"/>
      <w:marBottom w:val="0"/>
      <w:divBdr>
        <w:top w:val="none" w:sz="0" w:space="0" w:color="auto"/>
        <w:left w:val="none" w:sz="0" w:space="0" w:color="auto"/>
        <w:bottom w:val="none" w:sz="0" w:space="0" w:color="auto"/>
        <w:right w:val="none" w:sz="0" w:space="0" w:color="auto"/>
      </w:divBdr>
      <w:divsChild>
        <w:div w:id="116066648">
          <w:marLeft w:val="0"/>
          <w:marRight w:val="0"/>
          <w:marTop w:val="0"/>
          <w:marBottom w:val="0"/>
          <w:divBdr>
            <w:top w:val="none" w:sz="0" w:space="0" w:color="auto"/>
            <w:left w:val="none" w:sz="0" w:space="0" w:color="auto"/>
            <w:bottom w:val="none" w:sz="0" w:space="0" w:color="auto"/>
            <w:right w:val="none" w:sz="0" w:space="0" w:color="auto"/>
          </w:divBdr>
        </w:div>
      </w:divsChild>
    </w:div>
    <w:div w:id="209655256">
      <w:bodyDiv w:val="1"/>
      <w:marLeft w:val="0"/>
      <w:marRight w:val="0"/>
      <w:marTop w:val="0"/>
      <w:marBottom w:val="0"/>
      <w:divBdr>
        <w:top w:val="none" w:sz="0" w:space="0" w:color="auto"/>
        <w:left w:val="none" w:sz="0" w:space="0" w:color="auto"/>
        <w:bottom w:val="none" w:sz="0" w:space="0" w:color="auto"/>
        <w:right w:val="none" w:sz="0" w:space="0" w:color="auto"/>
      </w:divBdr>
    </w:div>
    <w:div w:id="211622182">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272132768">
      <w:bodyDiv w:val="1"/>
      <w:marLeft w:val="0"/>
      <w:marRight w:val="0"/>
      <w:marTop w:val="0"/>
      <w:marBottom w:val="0"/>
      <w:divBdr>
        <w:top w:val="none" w:sz="0" w:space="0" w:color="auto"/>
        <w:left w:val="none" w:sz="0" w:space="0" w:color="auto"/>
        <w:bottom w:val="none" w:sz="0" w:space="0" w:color="auto"/>
        <w:right w:val="none" w:sz="0" w:space="0" w:color="auto"/>
      </w:divBdr>
    </w:div>
    <w:div w:id="284390774">
      <w:bodyDiv w:val="1"/>
      <w:marLeft w:val="0"/>
      <w:marRight w:val="0"/>
      <w:marTop w:val="0"/>
      <w:marBottom w:val="0"/>
      <w:divBdr>
        <w:top w:val="none" w:sz="0" w:space="0" w:color="auto"/>
        <w:left w:val="none" w:sz="0" w:space="0" w:color="auto"/>
        <w:bottom w:val="none" w:sz="0" w:space="0" w:color="auto"/>
        <w:right w:val="none" w:sz="0" w:space="0" w:color="auto"/>
      </w:divBdr>
    </w:div>
    <w:div w:id="298190612">
      <w:bodyDiv w:val="1"/>
      <w:marLeft w:val="0"/>
      <w:marRight w:val="0"/>
      <w:marTop w:val="0"/>
      <w:marBottom w:val="0"/>
      <w:divBdr>
        <w:top w:val="none" w:sz="0" w:space="0" w:color="auto"/>
        <w:left w:val="none" w:sz="0" w:space="0" w:color="auto"/>
        <w:bottom w:val="none" w:sz="0" w:space="0" w:color="auto"/>
        <w:right w:val="none" w:sz="0" w:space="0" w:color="auto"/>
      </w:divBdr>
    </w:div>
    <w:div w:id="325476744">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362369473">
      <w:bodyDiv w:val="1"/>
      <w:marLeft w:val="0"/>
      <w:marRight w:val="0"/>
      <w:marTop w:val="0"/>
      <w:marBottom w:val="0"/>
      <w:divBdr>
        <w:top w:val="none" w:sz="0" w:space="0" w:color="auto"/>
        <w:left w:val="none" w:sz="0" w:space="0" w:color="auto"/>
        <w:bottom w:val="none" w:sz="0" w:space="0" w:color="auto"/>
        <w:right w:val="none" w:sz="0" w:space="0" w:color="auto"/>
      </w:divBdr>
    </w:div>
    <w:div w:id="373964649">
      <w:bodyDiv w:val="1"/>
      <w:marLeft w:val="0"/>
      <w:marRight w:val="0"/>
      <w:marTop w:val="0"/>
      <w:marBottom w:val="0"/>
      <w:divBdr>
        <w:top w:val="none" w:sz="0" w:space="0" w:color="auto"/>
        <w:left w:val="none" w:sz="0" w:space="0" w:color="auto"/>
        <w:bottom w:val="none" w:sz="0" w:space="0" w:color="auto"/>
        <w:right w:val="none" w:sz="0" w:space="0" w:color="auto"/>
      </w:divBdr>
    </w:div>
    <w:div w:id="386031295">
      <w:bodyDiv w:val="1"/>
      <w:marLeft w:val="0"/>
      <w:marRight w:val="0"/>
      <w:marTop w:val="0"/>
      <w:marBottom w:val="0"/>
      <w:divBdr>
        <w:top w:val="none" w:sz="0" w:space="0" w:color="auto"/>
        <w:left w:val="none" w:sz="0" w:space="0" w:color="auto"/>
        <w:bottom w:val="none" w:sz="0" w:space="0" w:color="auto"/>
        <w:right w:val="none" w:sz="0" w:space="0" w:color="auto"/>
      </w:divBdr>
    </w:div>
    <w:div w:id="408699567">
      <w:bodyDiv w:val="1"/>
      <w:marLeft w:val="0"/>
      <w:marRight w:val="0"/>
      <w:marTop w:val="0"/>
      <w:marBottom w:val="0"/>
      <w:divBdr>
        <w:top w:val="none" w:sz="0" w:space="0" w:color="auto"/>
        <w:left w:val="none" w:sz="0" w:space="0" w:color="auto"/>
        <w:bottom w:val="none" w:sz="0" w:space="0" w:color="auto"/>
        <w:right w:val="none" w:sz="0" w:space="0" w:color="auto"/>
      </w:divBdr>
    </w:div>
    <w:div w:id="419370306">
      <w:bodyDiv w:val="1"/>
      <w:marLeft w:val="0"/>
      <w:marRight w:val="0"/>
      <w:marTop w:val="0"/>
      <w:marBottom w:val="0"/>
      <w:divBdr>
        <w:top w:val="none" w:sz="0" w:space="0" w:color="auto"/>
        <w:left w:val="none" w:sz="0" w:space="0" w:color="auto"/>
        <w:bottom w:val="none" w:sz="0" w:space="0" w:color="auto"/>
        <w:right w:val="none" w:sz="0" w:space="0" w:color="auto"/>
      </w:divBdr>
    </w:div>
    <w:div w:id="444886383">
      <w:bodyDiv w:val="1"/>
      <w:marLeft w:val="0"/>
      <w:marRight w:val="0"/>
      <w:marTop w:val="0"/>
      <w:marBottom w:val="0"/>
      <w:divBdr>
        <w:top w:val="none" w:sz="0" w:space="0" w:color="auto"/>
        <w:left w:val="none" w:sz="0" w:space="0" w:color="auto"/>
        <w:bottom w:val="none" w:sz="0" w:space="0" w:color="auto"/>
        <w:right w:val="none" w:sz="0" w:space="0" w:color="auto"/>
      </w:divBdr>
    </w:div>
    <w:div w:id="451555982">
      <w:bodyDiv w:val="1"/>
      <w:marLeft w:val="0"/>
      <w:marRight w:val="0"/>
      <w:marTop w:val="0"/>
      <w:marBottom w:val="0"/>
      <w:divBdr>
        <w:top w:val="none" w:sz="0" w:space="0" w:color="auto"/>
        <w:left w:val="none" w:sz="0" w:space="0" w:color="auto"/>
        <w:bottom w:val="none" w:sz="0" w:space="0" w:color="auto"/>
        <w:right w:val="none" w:sz="0" w:space="0" w:color="auto"/>
      </w:divBdr>
    </w:div>
    <w:div w:id="481698207">
      <w:bodyDiv w:val="1"/>
      <w:marLeft w:val="0"/>
      <w:marRight w:val="0"/>
      <w:marTop w:val="0"/>
      <w:marBottom w:val="0"/>
      <w:divBdr>
        <w:top w:val="none" w:sz="0" w:space="0" w:color="auto"/>
        <w:left w:val="none" w:sz="0" w:space="0" w:color="auto"/>
        <w:bottom w:val="none" w:sz="0" w:space="0" w:color="auto"/>
        <w:right w:val="none" w:sz="0" w:space="0" w:color="auto"/>
      </w:divBdr>
    </w:div>
    <w:div w:id="483933937">
      <w:bodyDiv w:val="1"/>
      <w:marLeft w:val="0"/>
      <w:marRight w:val="0"/>
      <w:marTop w:val="0"/>
      <w:marBottom w:val="0"/>
      <w:divBdr>
        <w:top w:val="none" w:sz="0" w:space="0" w:color="auto"/>
        <w:left w:val="none" w:sz="0" w:space="0" w:color="auto"/>
        <w:bottom w:val="none" w:sz="0" w:space="0" w:color="auto"/>
        <w:right w:val="none" w:sz="0" w:space="0" w:color="auto"/>
      </w:divBdr>
    </w:div>
    <w:div w:id="523517971">
      <w:bodyDiv w:val="1"/>
      <w:marLeft w:val="0"/>
      <w:marRight w:val="0"/>
      <w:marTop w:val="0"/>
      <w:marBottom w:val="0"/>
      <w:divBdr>
        <w:top w:val="none" w:sz="0" w:space="0" w:color="auto"/>
        <w:left w:val="none" w:sz="0" w:space="0" w:color="auto"/>
        <w:bottom w:val="none" w:sz="0" w:space="0" w:color="auto"/>
        <w:right w:val="none" w:sz="0" w:space="0" w:color="auto"/>
      </w:divBdr>
    </w:div>
    <w:div w:id="537594580">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44950523">
      <w:bodyDiv w:val="1"/>
      <w:marLeft w:val="0"/>
      <w:marRight w:val="0"/>
      <w:marTop w:val="0"/>
      <w:marBottom w:val="0"/>
      <w:divBdr>
        <w:top w:val="none" w:sz="0" w:space="0" w:color="auto"/>
        <w:left w:val="none" w:sz="0" w:space="0" w:color="auto"/>
        <w:bottom w:val="none" w:sz="0" w:space="0" w:color="auto"/>
        <w:right w:val="none" w:sz="0" w:space="0" w:color="auto"/>
      </w:divBdr>
    </w:div>
    <w:div w:id="583996518">
      <w:bodyDiv w:val="1"/>
      <w:marLeft w:val="0"/>
      <w:marRight w:val="0"/>
      <w:marTop w:val="0"/>
      <w:marBottom w:val="0"/>
      <w:divBdr>
        <w:top w:val="none" w:sz="0" w:space="0" w:color="auto"/>
        <w:left w:val="none" w:sz="0" w:space="0" w:color="auto"/>
        <w:bottom w:val="none" w:sz="0" w:space="0" w:color="auto"/>
        <w:right w:val="none" w:sz="0" w:space="0" w:color="auto"/>
      </w:divBdr>
    </w:div>
    <w:div w:id="589391396">
      <w:bodyDiv w:val="1"/>
      <w:marLeft w:val="0"/>
      <w:marRight w:val="0"/>
      <w:marTop w:val="0"/>
      <w:marBottom w:val="0"/>
      <w:divBdr>
        <w:top w:val="none" w:sz="0" w:space="0" w:color="auto"/>
        <w:left w:val="none" w:sz="0" w:space="0" w:color="auto"/>
        <w:bottom w:val="none" w:sz="0" w:space="0" w:color="auto"/>
        <w:right w:val="none" w:sz="0" w:space="0" w:color="auto"/>
      </w:divBdr>
      <w:divsChild>
        <w:div w:id="1021393601">
          <w:marLeft w:val="0"/>
          <w:marRight w:val="0"/>
          <w:marTop w:val="0"/>
          <w:marBottom w:val="0"/>
          <w:divBdr>
            <w:top w:val="none" w:sz="0" w:space="0" w:color="auto"/>
            <w:left w:val="none" w:sz="0" w:space="0" w:color="auto"/>
            <w:bottom w:val="none" w:sz="0" w:space="0" w:color="auto"/>
            <w:right w:val="none" w:sz="0" w:space="0" w:color="auto"/>
          </w:divBdr>
        </w:div>
      </w:divsChild>
    </w:div>
    <w:div w:id="601493105">
      <w:bodyDiv w:val="1"/>
      <w:marLeft w:val="0"/>
      <w:marRight w:val="0"/>
      <w:marTop w:val="0"/>
      <w:marBottom w:val="0"/>
      <w:divBdr>
        <w:top w:val="none" w:sz="0" w:space="0" w:color="auto"/>
        <w:left w:val="none" w:sz="0" w:space="0" w:color="auto"/>
        <w:bottom w:val="none" w:sz="0" w:space="0" w:color="auto"/>
        <w:right w:val="none" w:sz="0" w:space="0" w:color="auto"/>
      </w:divBdr>
    </w:div>
    <w:div w:id="602764377">
      <w:bodyDiv w:val="1"/>
      <w:marLeft w:val="0"/>
      <w:marRight w:val="0"/>
      <w:marTop w:val="0"/>
      <w:marBottom w:val="0"/>
      <w:divBdr>
        <w:top w:val="none" w:sz="0" w:space="0" w:color="auto"/>
        <w:left w:val="none" w:sz="0" w:space="0" w:color="auto"/>
        <w:bottom w:val="none" w:sz="0" w:space="0" w:color="auto"/>
        <w:right w:val="none" w:sz="0" w:space="0" w:color="auto"/>
      </w:divBdr>
    </w:div>
    <w:div w:id="606084844">
      <w:bodyDiv w:val="1"/>
      <w:marLeft w:val="0"/>
      <w:marRight w:val="0"/>
      <w:marTop w:val="0"/>
      <w:marBottom w:val="0"/>
      <w:divBdr>
        <w:top w:val="none" w:sz="0" w:space="0" w:color="auto"/>
        <w:left w:val="none" w:sz="0" w:space="0" w:color="auto"/>
        <w:bottom w:val="none" w:sz="0" w:space="0" w:color="auto"/>
        <w:right w:val="none" w:sz="0" w:space="0" w:color="auto"/>
      </w:divBdr>
    </w:div>
    <w:div w:id="623732282">
      <w:bodyDiv w:val="1"/>
      <w:marLeft w:val="0"/>
      <w:marRight w:val="0"/>
      <w:marTop w:val="0"/>
      <w:marBottom w:val="0"/>
      <w:divBdr>
        <w:top w:val="none" w:sz="0" w:space="0" w:color="auto"/>
        <w:left w:val="none" w:sz="0" w:space="0" w:color="auto"/>
        <w:bottom w:val="none" w:sz="0" w:space="0" w:color="auto"/>
        <w:right w:val="none" w:sz="0" w:space="0" w:color="auto"/>
      </w:divBdr>
      <w:divsChild>
        <w:div w:id="369033544">
          <w:marLeft w:val="0"/>
          <w:marRight w:val="0"/>
          <w:marTop w:val="0"/>
          <w:marBottom w:val="0"/>
          <w:divBdr>
            <w:top w:val="none" w:sz="0" w:space="0" w:color="auto"/>
            <w:left w:val="none" w:sz="0" w:space="0" w:color="auto"/>
            <w:bottom w:val="none" w:sz="0" w:space="0" w:color="auto"/>
            <w:right w:val="none" w:sz="0" w:space="0" w:color="auto"/>
          </w:divBdr>
        </w:div>
      </w:divsChild>
    </w:div>
    <w:div w:id="641884583">
      <w:bodyDiv w:val="1"/>
      <w:marLeft w:val="0"/>
      <w:marRight w:val="0"/>
      <w:marTop w:val="0"/>
      <w:marBottom w:val="0"/>
      <w:divBdr>
        <w:top w:val="none" w:sz="0" w:space="0" w:color="auto"/>
        <w:left w:val="none" w:sz="0" w:space="0" w:color="auto"/>
        <w:bottom w:val="none" w:sz="0" w:space="0" w:color="auto"/>
        <w:right w:val="none" w:sz="0" w:space="0" w:color="auto"/>
      </w:divBdr>
    </w:div>
    <w:div w:id="659189362">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02904261">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0858496">
      <w:bodyDiv w:val="1"/>
      <w:marLeft w:val="0"/>
      <w:marRight w:val="0"/>
      <w:marTop w:val="0"/>
      <w:marBottom w:val="0"/>
      <w:divBdr>
        <w:top w:val="none" w:sz="0" w:space="0" w:color="auto"/>
        <w:left w:val="none" w:sz="0" w:space="0" w:color="auto"/>
        <w:bottom w:val="none" w:sz="0" w:space="0" w:color="auto"/>
        <w:right w:val="none" w:sz="0" w:space="0" w:color="auto"/>
      </w:divBdr>
      <w:divsChild>
        <w:div w:id="1033073641">
          <w:marLeft w:val="0"/>
          <w:marRight w:val="0"/>
          <w:marTop w:val="0"/>
          <w:marBottom w:val="0"/>
          <w:divBdr>
            <w:top w:val="none" w:sz="0" w:space="0" w:color="auto"/>
            <w:left w:val="none" w:sz="0" w:space="0" w:color="auto"/>
            <w:bottom w:val="none" w:sz="0" w:space="0" w:color="auto"/>
            <w:right w:val="none" w:sz="0" w:space="0" w:color="auto"/>
          </w:divBdr>
        </w:div>
        <w:div w:id="1813139281">
          <w:marLeft w:val="0"/>
          <w:marRight w:val="0"/>
          <w:marTop w:val="0"/>
          <w:marBottom w:val="0"/>
          <w:divBdr>
            <w:top w:val="none" w:sz="0" w:space="0" w:color="auto"/>
            <w:left w:val="none" w:sz="0" w:space="0" w:color="auto"/>
            <w:bottom w:val="none" w:sz="0" w:space="0" w:color="auto"/>
            <w:right w:val="none" w:sz="0" w:space="0" w:color="auto"/>
          </w:divBdr>
        </w:div>
        <w:div w:id="1682664734">
          <w:marLeft w:val="0"/>
          <w:marRight w:val="0"/>
          <w:marTop w:val="0"/>
          <w:marBottom w:val="0"/>
          <w:divBdr>
            <w:top w:val="none" w:sz="0" w:space="0" w:color="auto"/>
            <w:left w:val="none" w:sz="0" w:space="0" w:color="auto"/>
            <w:bottom w:val="none" w:sz="0" w:space="0" w:color="auto"/>
            <w:right w:val="none" w:sz="0" w:space="0" w:color="auto"/>
          </w:divBdr>
        </w:div>
        <w:div w:id="810176417">
          <w:marLeft w:val="0"/>
          <w:marRight w:val="0"/>
          <w:marTop w:val="0"/>
          <w:marBottom w:val="0"/>
          <w:divBdr>
            <w:top w:val="none" w:sz="0" w:space="0" w:color="auto"/>
            <w:left w:val="none" w:sz="0" w:space="0" w:color="auto"/>
            <w:bottom w:val="none" w:sz="0" w:space="0" w:color="auto"/>
            <w:right w:val="none" w:sz="0" w:space="0" w:color="auto"/>
          </w:divBdr>
        </w:div>
        <w:div w:id="1667904671">
          <w:marLeft w:val="0"/>
          <w:marRight w:val="0"/>
          <w:marTop w:val="0"/>
          <w:marBottom w:val="0"/>
          <w:divBdr>
            <w:top w:val="none" w:sz="0" w:space="0" w:color="auto"/>
            <w:left w:val="none" w:sz="0" w:space="0" w:color="auto"/>
            <w:bottom w:val="none" w:sz="0" w:space="0" w:color="auto"/>
            <w:right w:val="none" w:sz="0" w:space="0" w:color="auto"/>
          </w:divBdr>
        </w:div>
        <w:div w:id="1543976233">
          <w:marLeft w:val="0"/>
          <w:marRight w:val="0"/>
          <w:marTop w:val="0"/>
          <w:marBottom w:val="0"/>
          <w:divBdr>
            <w:top w:val="none" w:sz="0" w:space="0" w:color="auto"/>
            <w:left w:val="none" w:sz="0" w:space="0" w:color="auto"/>
            <w:bottom w:val="none" w:sz="0" w:space="0" w:color="auto"/>
            <w:right w:val="none" w:sz="0" w:space="0" w:color="auto"/>
          </w:divBdr>
        </w:div>
        <w:div w:id="83232625">
          <w:marLeft w:val="0"/>
          <w:marRight w:val="0"/>
          <w:marTop w:val="0"/>
          <w:marBottom w:val="0"/>
          <w:divBdr>
            <w:top w:val="none" w:sz="0" w:space="0" w:color="auto"/>
            <w:left w:val="none" w:sz="0" w:space="0" w:color="auto"/>
            <w:bottom w:val="none" w:sz="0" w:space="0" w:color="auto"/>
            <w:right w:val="none" w:sz="0" w:space="0" w:color="auto"/>
          </w:divBdr>
        </w:div>
        <w:div w:id="2146775942">
          <w:marLeft w:val="0"/>
          <w:marRight w:val="0"/>
          <w:marTop w:val="0"/>
          <w:marBottom w:val="0"/>
          <w:divBdr>
            <w:top w:val="none" w:sz="0" w:space="0" w:color="auto"/>
            <w:left w:val="none" w:sz="0" w:space="0" w:color="auto"/>
            <w:bottom w:val="none" w:sz="0" w:space="0" w:color="auto"/>
            <w:right w:val="none" w:sz="0" w:space="0" w:color="auto"/>
          </w:divBdr>
        </w:div>
      </w:divsChild>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7968100">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793597909">
      <w:bodyDiv w:val="1"/>
      <w:marLeft w:val="0"/>
      <w:marRight w:val="0"/>
      <w:marTop w:val="0"/>
      <w:marBottom w:val="0"/>
      <w:divBdr>
        <w:top w:val="none" w:sz="0" w:space="0" w:color="auto"/>
        <w:left w:val="none" w:sz="0" w:space="0" w:color="auto"/>
        <w:bottom w:val="none" w:sz="0" w:space="0" w:color="auto"/>
        <w:right w:val="none" w:sz="0" w:space="0" w:color="auto"/>
      </w:divBdr>
    </w:div>
    <w:div w:id="803698436">
      <w:bodyDiv w:val="1"/>
      <w:marLeft w:val="0"/>
      <w:marRight w:val="0"/>
      <w:marTop w:val="0"/>
      <w:marBottom w:val="0"/>
      <w:divBdr>
        <w:top w:val="none" w:sz="0" w:space="0" w:color="auto"/>
        <w:left w:val="none" w:sz="0" w:space="0" w:color="auto"/>
        <w:bottom w:val="none" w:sz="0" w:space="0" w:color="auto"/>
        <w:right w:val="none" w:sz="0" w:space="0" w:color="auto"/>
      </w:divBdr>
      <w:divsChild>
        <w:div w:id="743449347">
          <w:marLeft w:val="0"/>
          <w:marRight w:val="0"/>
          <w:marTop w:val="0"/>
          <w:marBottom w:val="0"/>
          <w:divBdr>
            <w:top w:val="none" w:sz="0" w:space="0" w:color="auto"/>
            <w:left w:val="none" w:sz="0" w:space="0" w:color="auto"/>
            <w:bottom w:val="none" w:sz="0" w:space="0" w:color="auto"/>
            <w:right w:val="none" w:sz="0" w:space="0" w:color="auto"/>
          </w:divBdr>
        </w:div>
      </w:divsChild>
    </w:div>
    <w:div w:id="808012494">
      <w:bodyDiv w:val="1"/>
      <w:marLeft w:val="0"/>
      <w:marRight w:val="0"/>
      <w:marTop w:val="0"/>
      <w:marBottom w:val="0"/>
      <w:divBdr>
        <w:top w:val="none" w:sz="0" w:space="0" w:color="auto"/>
        <w:left w:val="none" w:sz="0" w:space="0" w:color="auto"/>
        <w:bottom w:val="none" w:sz="0" w:space="0" w:color="auto"/>
        <w:right w:val="none" w:sz="0" w:space="0" w:color="auto"/>
      </w:divBdr>
    </w:div>
    <w:div w:id="811139523">
      <w:bodyDiv w:val="1"/>
      <w:marLeft w:val="0"/>
      <w:marRight w:val="0"/>
      <w:marTop w:val="0"/>
      <w:marBottom w:val="0"/>
      <w:divBdr>
        <w:top w:val="none" w:sz="0" w:space="0" w:color="auto"/>
        <w:left w:val="none" w:sz="0" w:space="0" w:color="auto"/>
        <w:bottom w:val="none" w:sz="0" w:space="0" w:color="auto"/>
        <w:right w:val="none" w:sz="0" w:space="0" w:color="auto"/>
      </w:divBdr>
    </w:div>
    <w:div w:id="817183478">
      <w:bodyDiv w:val="1"/>
      <w:marLeft w:val="0"/>
      <w:marRight w:val="0"/>
      <w:marTop w:val="0"/>
      <w:marBottom w:val="0"/>
      <w:divBdr>
        <w:top w:val="none" w:sz="0" w:space="0" w:color="auto"/>
        <w:left w:val="none" w:sz="0" w:space="0" w:color="auto"/>
        <w:bottom w:val="none" w:sz="0" w:space="0" w:color="auto"/>
        <w:right w:val="none" w:sz="0" w:space="0" w:color="auto"/>
      </w:divBdr>
    </w:div>
    <w:div w:id="864631810">
      <w:bodyDiv w:val="1"/>
      <w:marLeft w:val="0"/>
      <w:marRight w:val="0"/>
      <w:marTop w:val="0"/>
      <w:marBottom w:val="0"/>
      <w:divBdr>
        <w:top w:val="none" w:sz="0" w:space="0" w:color="auto"/>
        <w:left w:val="none" w:sz="0" w:space="0" w:color="auto"/>
        <w:bottom w:val="none" w:sz="0" w:space="0" w:color="auto"/>
        <w:right w:val="none" w:sz="0" w:space="0" w:color="auto"/>
      </w:divBdr>
    </w:div>
    <w:div w:id="867568060">
      <w:bodyDiv w:val="1"/>
      <w:marLeft w:val="0"/>
      <w:marRight w:val="0"/>
      <w:marTop w:val="0"/>
      <w:marBottom w:val="0"/>
      <w:divBdr>
        <w:top w:val="none" w:sz="0" w:space="0" w:color="auto"/>
        <w:left w:val="none" w:sz="0" w:space="0" w:color="auto"/>
        <w:bottom w:val="none" w:sz="0" w:space="0" w:color="auto"/>
        <w:right w:val="none" w:sz="0" w:space="0" w:color="auto"/>
      </w:divBdr>
    </w:div>
    <w:div w:id="871113448">
      <w:bodyDiv w:val="1"/>
      <w:marLeft w:val="0"/>
      <w:marRight w:val="0"/>
      <w:marTop w:val="0"/>
      <w:marBottom w:val="0"/>
      <w:divBdr>
        <w:top w:val="none" w:sz="0" w:space="0" w:color="auto"/>
        <w:left w:val="none" w:sz="0" w:space="0" w:color="auto"/>
        <w:bottom w:val="none" w:sz="0" w:space="0" w:color="auto"/>
        <w:right w:val="none" w:sz="0" w:space="0" w:color="auto"/>
      </w:divBdr>
    </w:div>
    <w:div w:id="871457318">
      <w:bodyDiv w:val="1"/>
      <w:marLeft w:val="0"/>
      <w:marRight w:val="0"/>
      <w:marTop w:val="0"/>
      <w:marBottom w:val="0"/>
      <w:divBdr>
        <w:top w:val="none" w:sz="0" w:space="0" w:color="auto"/>
        <w:left w:val="none" w:sz="0" w:space="0" w:color="auto"/>
        <w:bottom w:val="none" w:sz="0" w:space="0" w:color="auto"/>
        <w:right w:val="none" w:sz="0" w:space="0" w:color="auto"/>
      </w:divBdr>
    </w:div>
    <w:div w:id="876047202">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13667290">
      <w:bodyDiv w:val="1"/>
      <w:marLeft w:val="0"/>
      <w:marRight w:val="0"/>
      <w:marTop w:val="0"/>
      <w:marBottom w:val="0"/>
      <w:divBdr>
        <w:top w:val="none" w:sz="0" w:space="0" w:color="auto"/>
        <w:left w:val="none" w:sz="0" w:space="0" w:color="auto"/>
        <w:bottom w:val="none" w:sz="0" w:space="0" w:color="auto"/>
        <w:right w:val="none" w:sz="0" w:space="0" w:color="auto"/>
      </w:divBdr>
    </w:div>
    <w:div w:id="933053959">
      <w:bodyDiv w:val="1"/>
      <w:marLeft w:val="0"/>
      <w:marRight w:val="0"/>
      <w:marTop w:val="0"/>
      <w:marBottom w:val="0"/>
      <w:divBdr>
        <w:top w:val="none" w:sz="0" w:space="0" w:color="auto"/>
        <w:left w:val="none" w:sz="0" w:space="0" w:color="auto"/>
        <w:bottom w:val="none" w:sz="0" w:space="0" w:color="auto"/>
        <w:right w:val="none" w:sz="0" w:space="0" w:color="auto"/>
      </w:divBdr>
    </w:div>
    <w:div w:id="934510577">
      <w:bodyDiv w:val="1"/>
      <w:marLeft w:val="0"/>
      <w:marRight w:val="0"/>
      <w:marTop w:val="0"/>
      <w:marBottom w:val="0"/>
      <w:divBdr>
        <w:top w:val="none" w:sz="0" w:space="0" w:color="auto"/>
        <w:left w:val="none" w:sz="0" w:space="0" w:color="auto"/>
        <w:bottom w:val="none" w:sz="0" w:space="0" w:color="auto"/>
        <w:right w:val="none" w:sz="0" w:space="0" w:color="auto"/>
      </w:divBdr>
    </w:div>
    <w:div w:id="951791356">
      <w:bodyDiv w:val="1"/>
      <w:marLeft w:val="0"/>
      <w:marRight w:val="0"/>
      <w:marTop w:val="0"/>
      <w:marBottom w:val="0"/>
      <w:divBdr>
        <w:top w:val="none" w:sz="0" w:space="0" w:color="auto"/>
        <w:left w:val="none" w:sz="0" w:space="0" w:color="auto"/>
        <w:bottom w:val="none" w:sz="0" w:space="0" w:color="auto"/>
        <w:right w:val="none" w:sz="0" w:space="0" w:color="auto"/>
      </w:divBdr>
    </w:div>
    <w:div w:id="954874216">
      <w:bodyDiv w:val="1"/>
      <w:marLeft w:val="0"/>
      <w:marRight w:val="0"/>
      <w:marTop w:val="0"/>
      <w:marBottom w:val="0"/>
      <w:divBdr>
        <w:top w:val="none" w:sz="0" w:space="0" w:color="auto"/>
        <w:left w:val="none" w:sz="0" w:space="0" w:color="auto"/>
        <w:bottom w:val="none" w:sz="0" w:space="0" w:color="auto"/>
        <w:right w:val="none" w:sz="0" w:space="0" w:color="auto"/>
      </w:divBdr>
    </w:div>
    <w:div w:id="980381275">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91980798">
      <w:bodyDiv w:val="1"/>
      <w:marLeft w:val="0"/>
      <w:marRight w:val="0"/>
      <w:marTop w:val="0"/>
      <w:marBottom w:val="0"/>
      <w:divBdr>
        <w:top w:val="none" w:sz="0" w:space="0" w:color="auto"/>
        <w:left w:val="none" w:sz="0" w:space="0" w:color="auto"/>
        <w:bottom w:val="none" w:sz="0" w:space="0" w:color="auto"/>
        <w:right w:val="none" w:sz="0" w:space="0" w:color="auto"/>
      </w:divBdr>
    </w:div>
    <w:div w:id="994072366">
      <w:bodyDiv w:val="1"/>
      <w:marLeft w:val="0"/>
      <w:marRight w:val="0"/>
      <w:marTop w:val="0"/>
      <w:marBottom w:val="0"/>
      <w:divBdr>
        <w:top w:val="none" w:sz="0" w:space="0" w:color="auto"/>
        <w:left w:val="none" w:sz="0" w:space="0" w:color="auto"/>
        <w:bottom w:val="none" w:sz="0" w:space="0" w:color="auto"/>
        <w:right w:val="none" w:sz="0" w:space="0" w:color="auto"/>
      </w:divBdr>
    </w:div>
    <w:div w:id="1001007587">
      <w:bodyDiv w:val="1"/>
      <w:marLeft w:val="0"/>
      <w:marRight w:val="0"/>
      <w:marTop w:val="0"/>
      <w:marBottom w:val="0"/>
      <w:divBdr>
        <w:top w:val="none" w:sz="0" w:space="0" w:color="auto"/>
        <w:left w:val="none" w:sz="0" w:space="0" w:color="auto"/>
        <w:bottom w:val="none" w:sz="0" w:space="0" w:color="auto"/>
        <w:right w:val="none" w:sz="0" w:space="0" w:color="auto"/>
      </w:divBdr>
    </w:div>
    <w:div w:id="1003240215">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067605894">
      <w:bodyDiv w:val="1"/>
      <w:marLeft w:val="0"/>
      <w:marRight w:val="0"/>
      <w:marTop w:val="0"/>
      <w:marBottom w:val="0"/>
      <w:divBdr>
        <w:top w:val="none" w:sz="0" w:space="0" w:color="auto"/>
        <w:left w:val="none" w:sz="0" w:space="0" w:color="auto"/>
        <w:bottom w:val="none" w:sz="0" w:space="0" w:color="auto"/>
        <w:right w:val="none" w:sz="0" w:space="0" w:color="auto"/>
      </w:divBdr>
    </w:div>
    <w:div w:id="1092968102">
      <w:bodyDiv w:val="1"/>
      <w:marLeft w:val="0"/>
      <w:marRight w:val="0"/>
      <w:marTop w:val="0"/>
      <w:marBottom w:val="0"/>
      <w:divBdr>
        <w:top w:val="none" w:sz="0" w:space="0" w:color="auto"/>
        <w:left w:val="none" w:sz="0" w:space="0" w:color="auto"/>
        <w:bottom w:val="none" w:sz="0" w:space="0" w:color="auto"/>
        <w:right w:val="none" w:sz="0" w:space="0" w:color="auto"/>
      </w:divBdr>
    </w:div>
    <w:div w:id="1115098469">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17215261">
      <w:bodyDiv w:val="1"/>
      <w:marLeft w:val="0"/>
      <w:marRight w:val="0"/>
      <w:marTop w:val="0"/>
      <w:marBottom w:val="0"/>
      <w:divBdr>
        <w:top w:val="none" w:sz="0" w:space="0" w:color="auto"/>
        <w:left w:val="none" w:sz="0" w:space="0" w:color="auto"/>
        <w:bottom w:val="none" w:sz="0" w:space="0" w:color="auto"/>
        <w:right w:val="none" w:sz="0" w:space="0" w:color="auto"/>
      </w:divBdr>
    </w:div>
    <w:div w:id="1138572968">
      <w:bodyDiv w:val="1"/>
      <w:marLeft w:val="0"/>
      <w:marRight w:val="0"/>
      <w:marTop w:val="0"/>
      <w:marBottom w:val="0"/>
      <w:divBdr>
        <w:top w:val="none" w:sz="0" w:space="0" w:color="auto"/>
        <w:left w:val="none" w:sz="0" w:space="0" w:color="auto"/>
        <w:bottom w:val="none" w:sz="0" w:space="0" w:color="auto"/>
        <w:right w:val="none" w:sz="0" w:space="0" w:color="auto"/>
      </w:divBdr>
    </w:div>
    <w:div w:id="1138887065">
      <w:bodyDiv w:val="1"/>
      <w:marLeft w:val="0"/>
      <w:marRight w:val="0"/>
      <w:marTop w:val="0"/>
      <w:marBottom w:val="0"/>
      <w:divBdr>
        <w:top w:val="none" w:sz="0" w:space="0" w:color="auto"/>
        <w:left w:val="none" w:sz="0" w:space="0" w:color="auto"/>
        <w:bottom w:val="none" w:sz="0" w:space="0" w:color="auto"/>
        <w:right w:val="none" w:sz="0" w:space="0" w:color="auto"/>
      </w:divBdr>
    </w:div>
    <w:div w:id="1140656377">
      <w:bodyDiv w:val="1"/>
      <w:marLeft w:val="0"/>
      <w:marRight w:val="0"/>
      <w:marTop w:val="0"/>
      <w:marBottom w:val="0"/>
      <w:divBdr>
        <w:top w:val="none" w:sz="0" w:space="0" w:color="auto"/>
        <w:left w:val="none" w:sz="0" w:space="0" w:color="auto"/>
        <w:bottom w:val="none" w:sz="0" w:space="0" w:color="auto"/>
        <w:right w:val="none" w:sz="0" w:space="0" w:color="auto"/>
      </w:divBdr>
    </w:div>
    <w:div w:id="1148018038">
      <w:bodyDiv w:val="1"/>
      <w:marLeft w:val="0"/>
      <w:marRight w:val="0"/>
      <w:marTop w:val="0"/>
      <w:marBottom w:val="0"/>
      <w:divBdr>
        <w:top w:val="none" w:sz="0" w:space="0" w:color="auto"/>
        <w:left w:val="none" w:sz="0" w:space="0" w:color="auto"/>
        <w:bottom w:val="none" w:sz="0" w:space="0" w:color="auto"/>
        <w:right w:val="none" w:sz="0" w:space="0" w:color="auto"/>
      </w:divBdr>
    </w:div>
    <w:div w:id="1163466628">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02597143">
      <w:bodyDiv w:val="1"/>
      <w:marLeft w:val="0"/>
      <w:marRight w:val="0"/>
      <w:marTop w:val="0"/>
      <w:marBottom w:val="0"/>
      <w:divBdr>
        <w:top w:val="none" w:sz="0" w:space="0" w:color="auto"/>
        <w:left w:val="none" w:sz="0" w:space="0" w:color="auto"/>
        <w:bottom w:val="none" w:sz="0" w:space="0" w:color="auto"/>
        <w:right w:val="none" w:sz="0" w:space="0" w:color="auto"/>
      </w:divBdr>
    </w:div>
    <w:div w:id="1212614169">
      <w:bodyDiv w:val="1"/>
      <w:marLeft w:val="0"/>
      <w:marRight w:val="0"/>
      <w:marTop w:val="0"/>
      <w:marBottom w:val="0"/>
      <w:divBdr>
        <w:top w:val="none" w:sz="0" w:space="0" w:color="auto"/>
        <w:left w:val="none" w:sz="0" w:space="0" w:color="auto"/>
        <w:bottom w:val="none" w:sz="0" w:space="0" w:color="auto"/>
        <w:right w:val="none" w:sz="0" w:space="0" w:color="auto"/>
      </w:divBdr>
    </w:div>
    <w:div w:id="1260210535">
      <w:bodyDiv w:val="1"/>
      <w:marLeft w:val="0"/>
      <w:marRight w:val="0"/>
      <w:marTop w:val="0"/>
      <w:marBottom w:val="0"/>
      <w:divBdr>
        <w:top w:val="none" w:sz="0" w:space="0" w:color="auto"/>
        <w:left w:val="none" w:sz="0" w:space="0" w:color="auto"/>
        <w:bottom w:val="none" w:sz="0" w:space="0" w:color="auto"/>
        <w:right w:val="none" w:sz="0" w:space="0" w:color="auto"/>
      </w:divBdr>
    </w:div>
    <w:div w:id="1278752440">
      <w:bodyDiv w:val="1"/>
      <w:marLeft w:val="0"/>
      <w:marRight w:val="0"/>
      <w:marTop w:val="0"/>
      <w:marBottom w:val="0"/>
      <w:divBdr>
        <w:top w:val="none" w:sz="0" w:space="0" w:color="auto"/>
        <w:left w:val="none" w:sz="0" w:space="0" w:color="auto"/>
        <w:bottom w:val="none" w:sz="0" w:space="0" w:color="auto"/>
        <w:right w:val="none" w:sz="0" w:space="0" w:color="auto"/>
      </w:divBdr>
    </w:div>
    <w:div w:id="1278874313">
      <w:bodyDiv w:val="1"/>
      <w:marLeft w:val="0"/>
      <w:marRight w:val="0"/>
      <w:marTop w:val="0"/>
      <w:marBottom w:val="0"/>
      <w:divBdr>
        <w:top w:val="none" w:sz="0" w:space="0" w:color="auto"/>
        <w:left w:val="none" w:sz="0" w:space="0" w:color="auto"/>
        <w:bottom w:val="none" w:sz="0" w:space="0" w:color="auto"/>
        <w:right w:val="none" w:sz="0" w:space="0" w:color="auto"/>
      </w:divBdr>
    </w:div>
    <w:div w:id="1279140135">
      <w:bodyDiv w:val="1"/>
      <w:marLeft w:val="0"/>
      <w:marRight w:val="0"/>
      <w:marTop w:val="0"/>
      <w:marBottom w:val="0"/>
      <w:divBdr>
        <w:top w:val="none" w:sz="0" w:space="0" w:color="auto"/>
        <w:left w:val="none" w:sz="0" w:space="0" w:color="auto"/>
        <w:bottom w:val="none" w:sz="0" w:space="0" w:color="auto"/>
        <w:right w:val="none" w:sz="0" w:space="0" w:color="auto"/>
      </w:divBdr>
    </w:div>
    <w:div w:id="1286699519">
      <w:bodyDiv w:val="1"/>
      <w:marLeft w:val="0"/>
      <w:marRight w:val="0"/>
      <w:marTop w:val="0"/>
      <w:marBottom w:val="0"/>
      <w:divBdr>
        <w:top w:val="none" w:sz="0" w:space="0" w:color="auto"/>
        <w:left w:val="none" w:sz="0" w:space="0" w:color="auto"/>
        <w:bottom w:val="none" w:sz="0" w:space="0" w:color="auto"/>
        <w:right w:val="none" w:sz="0" w:space="0" w:color="auto"/>
      </w:divBdr>
    </w:div>
    <w:div w:id="1300646507">
      <w:bodyDiv w:val="1"/>
      <w:marLeft w:val="0"/>
      <w:marRight w:val="0"/>
      <w:marTop w:val="0"/>
      <w:marBottom w:val="0"/>
      <w:divBdr>
        <w:top w:val="none" w:sz="0" w:space="0" w:color="auto"/>
        <w:left w:val="none" w:sz="0" w:space="0" w:color="auto"/>
        <w:bottom w:val="none" w:sz="0" w:space="0" w:color="auto"/>
        <w:right w:val="none" w:sz="0" w:space="0" w:color="auto"/>
      </w:divBdr>
    </w:div>
    <w:div w:id="1305164969">
      <w:bodyDiv w:val="1"/>
      <w:marLeft w:val="0"/>
      <w:marRight w:val="0"/>
      <w:marTop w:val="0"/>
      <w:marBottom w:val="0"/>
      <w:divBdr>
        <w:top w:val="none" w:sz="0" w:space="0" w:color="auto"/>
        <w:left w:val="none" w:sz="0" w:space="0" w:color="auto"/>
        <w:bottom w:val="none" w:sz="0" w:space="0" w:color="auto"/>
        <w:right w:val="none" w:sz="0" w:space="0" w:color="auto"/>
      </w:divBdr>
    </w:div>
    <w:div w:id="1306159832">
      <w:bodyDiv w:val="1"/>
      <w:marLeft w:val="0"/>
      <w:marRight w:val="0"/>
      <w:marTop w:val="0"/>
      <w:marBottom w:val="0"/>
      <w:divBdr>
        <w:top w:val="none" w:sz="0" w:space="0" w:color="auto"/>
        <w:left w:val="none" w:sz="0" w:space="0" w:color="auto"/>
        <w:bottom w:val="none" w:sz="0" w:space="0" w:color="auto"/>
        <w:right w:val="none" w:sz="0" w:space="0" w:color="auto"/>
      </w:divBdr>
    </w:div>
    <w:div w:id="1308626286">
      <w:bodyDiv w:val="1"/>
      <w:marLeft w:val="0"/>
      <w:marRight w:val="0"/>
      <w:marTop w:val="0"/>
      <w:marBottom w:val="0"/>
      <w:divBdr>
        <w:top w:val="none" w:sz="0" w:space="0" w:color="auto"/>
        <w:left w:val="none" w:sz="0" w:space="0" w:color="auto"/>
        <w:bottom w:val="none" w:sz="0" w:space="0" w:color="auto"/>
        <w:right w:val="none" w:sz="0" w:space="0" w:color="auto"/>
      </w:divBdr>
    </w:div>
    <w:div w:id="1346519217">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67172790">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382830578">
      <w:bodyDiv w:val="1"/>
      <w:marLeft w:val="0"/>
      <w:marRight w:val="0"/>
      <w:marTop w:val="0"/>
      <w:marBottom w:val="0"/>
      <w:divBdr>
        <w:top w:val="none" w:sz="0" w:space="0" w:color="auto"/>
        <w:left w:val="none" w:sz="0" w:space="0" w:color="auto"/>
        <w:bottom w:val="none" w:sz="0" w:space="0" w:color="auto"/>
        <w:right w:val="none" w:sz="0" w:space="0" w:color="auto"/>
      </w:divBdr>
    </w:div>
    <w:div w:id="1399521955">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17627445">
      <w:bodyDiv w:val="1"/>
      <w:marLeft w:val="0"/>
      <w:marRight w:val="0"/>
      <w:marTop w:val="0"/>
      <w:marBottom w:val="0"/>
      <w:divBdr>
        <w:top w:val="none" w:sz="0" w:space="0" w:color="auto"/>
        <w:left w:val="none" w:sz="0" w:space="0" w:color="auto"/>
        <w:bottom w:val="none" w:sz="0" w:space="0" w:color="auto"/>
        <w:right w:val="none" w:sz="0" w:space="0" w:color="auto"/>
      </w:divBdr>
    </w:div>
    <w:div w:id="1433815070">
      <w:bodyDiv w:val="1"/>
      <w:marLeft w:val="0"/>
      <w:marRight w:val="0"/>
      <w:marTop w:val="0"/>
      <w:marBottom w:val="0"/>
      <w:divBdr>
        <w:top w:val="none" w:sz="0" w:space="0" w:color="auto"/>
        <w:left w:val="none" w:sz="0" w:space="0" w:color="auto"/>
        <w:bottom w:val="none" w:sz="0" w:space="0" w:color="auto"/>
        <w:right w:val="none" w:sz="0" w:space="0" w:color="auto"/>
      </w:divBdr>
    </w:div>
    <w:div w:id="1434592221">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52703472">
      <w:bodyDiv w:val="1"/>
      <w:marLeft w:val="0"/>
      <w:marRight w:val="0"/>
      <w:marTop w:val="0"/>
      <w:marBottom w:val="0"/>
      <w:divBdr>
        <w:top w:val="none" w:sz="0" w:space="0" w:color="auto"/>
        <w:left w:val="none" w:sz="0" w:space="0" w:color="auto"/>
        <w:bottom w:val="none" w:sz="0" w:space="0" w:color="auto"/>
        <w:right w:val="none" w:sz="0" w:space="0" w:color="auto"/>
      </w:divBdr>
    </w:div>
    <w:div w:id="1456752343">
      <w:bodyDiv w:val="1"/>
      <w:marLeft w:val="0"/>
      <w:marRight w:val="0"/>
      <w:marTop w:val="0"/>
      <w:marBottom w:val="0"/>
      <w:divBdr>
        <w:top w:val="none" w:sz="0" w:space="0" w:color="auto"/>
        <w:left w:val="none" w:sz="0" w:space="0" w:color="auto"/>
        <w:bottom w:val="none" w:sz="0" w:space="0" w:color="auto"/>
        <w:right w:val="none" w:sz="0" w:space="0" w:color="auto"/>
      </w:divBdr>
    </w:div>
    <w:div w:id="1472746825">
      <w:bodyDiv w:val="1"/>
      <w:marLeft w:val="0"/>
      <w:marRight w:val="0"/>
      <w:marTop w:val="0"/>
      <w:marBottom w:val="0"/>
      <w:divBdr>
        <w:top w:val="none" w:sz="0" w:space="0" w:color="auto"/>
        <w:left w:val="none" w:sz="0" w:space="0" w:color="auto"/>
        <w:bottom w:val="none" w:sz="0" w:space="0" w:color="auto"/>
        <w:right w:val="none" w:sz="0" w:space="0" w:color="auto"/>
      </w:divBdr>
    </w:div>
    <w:div w:id="1485584900">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47984431">
      <w:bodyDiv w:val="1"/>
      <w:marLeft w:val="0"/>
      <w:marRight w:val="0"/>
      <w:marTop w:val="0"/>
      <w:marBottom w:val="0"/>
      <w:divBdr>
        <w:top w:val="none" w:sz="0" w:space="0" w:color="auto"/>
        <w:left w:val="none" w:sz="0" w:space="0" w:color="auto"/>
        <w:bottom w:val="none" w:sz="0" w:space="0" w:color="auto"/>
        <w:right w:val="none" w:sz="0" w:space="0" w:color="auto"/>
      </w:divBdr>
    </w:div>
    <w:div w:id="1587113830">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25454187">
      <w:bodyDiv w:val="1"/>
      <w:marLeft w:val="0"/>
      <w:marRight w:val="0"/>
      <w:marTop w:val="0"/>
      <w:marBottom w:val="0"/>
      <w:divBdr>
        <w:top w:val="none" w:sz="0" w:space="0" w:color="auto"/>
        <w:left w:val="none" w:sz="0" w:space="0" w:color="auto"/>
        <w:bottom w:val="none" w:sz="0" w:space="0" w:color="auto"/>
        <w:right w:val="none" w:sz="0" w:space="0" w:color="auto"/>
      </w:divBdr>
    </w:div>
    <w:div w:id="1645426150">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68052373">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12993835">
      <w:bodyDiv w:val="1"/>
      <w:marLeft w:val="0"/>
      <w:marRight w:val="0"/>
      <w:marTop w:val="0"/>
      <w:marBottom w:val="0"/>
      <w:divBdr>
        <w:top w:val="none" w:sz="0" w:space="0" w:color="auto"/>
        <w:left w:val="none" w:sz="0" w:space="0" w:color="auto"/>
        <w:bottom w:val="none" w:sz="0" w:space="0" w:color="auto"/>
        <w:right w:val="none" w:sz="0" w:space="0" w:color="auto"/>
      </w:divBdr>
    </w:div>
    <w:div w:id="1736195518">
      <w:bodyDiv w:val="1"/>
      <w:marLeft w:val="0"/>
      <w:marRight w:val="0"/>
      <w:marTop w:val="0"/>
      <w:marBottom w:val="0"/>
      <w:divBdr>
        <w:top w:val="none" w:sz="0" w:space="0" w:color="auto"/>
        <w:left w:val="none" w:sz="0" w:space="0" w:color="auto"/>
        <w:bottom w:val="none" w:sz="0" w:space="0" w:color="auto"/>
        <w:right w:val="none" w:sz="0" w:space="0" w:color="auto"/>
      </w:divBdr>
    </w:div>
    <w:div w:id="1766615275">
      <w:bodyDiv w:val="1"/>
      <w:marLeft w:val="0"/>
      <w:marRight w:val="0"/>
      <w:marTop w:val="0"/>
      <w:marBottom w:val="0"/>
      <w:divBdr>
        <w:top w:val="none" w:sz="0" w:space="0" w:color="auto"/>
        <w:left w:val="none" w:sz="0" w:space="0" w:color="auto"/>
        <w:bottom w:val="none" w:sz="0" w:space="0" w:color="auto"/>
        <w:right w:val="none" w:sz="0" w:space="0" w:color="auto"/>
      </w:divBdr>
    </w:div>
    <w:div w:id="1783375703">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791439885">
      <w:bodyDiv w:val="1"/>
      <w:marLeft w:val="0"/>
      <w:marRight w:val="0"/>
      <w:marTop w:val="0"/>
      <w:marBottom w:val="0"/>
      <w:divBdr>
        <w:top w:val="none" w:sz="0" w:space="0" w:color="auto"/>
        <w:left w:val="none" w:sz="0" w:space="0" w:color="auto"/>
        <w:bottom w:val="none" w:sz="0" w:space="0" w:color="auto"/>
        <w:right w:val="none" w:sz="0" w:space="0" w:color="auto"/>
      </w:divBdr>
    </w:div>
    <w:div w:id="1800031595">
      <w:bodyDiv w:val="1"/>
      <w:marLeft w:val="0"/>
      <w:marRight w:val="0"/>
      <w:marTop w:val="0"/>
      <w:marBottom w:val="0"/>
      <w:divBdr>
        <w:top w:val="none" w:sz="0" w:space="0" w:color="auto"/>
        <w:left w:val="none" w:sz="0" w:space="0" w:color="auto"/>
        <w:bottom w:val="none" w:sz="0" w:space="0" w:color="auto"/>
        <w:right w:val="none" w:sz="0" w:space="0" w:color="auto"/>
      </w:divBdr>
    </w:div>
    <w:div w:id="1800952145">
      <w:bodyDiv w:val="1"/>
      <w:marLeft w:val="0"/>
      <w:marRight w:val="0"/>
      <w:marTop w:val="0"/>
      <w:marBottom w:val="0"/>
      <w:divBdr>
        <w:top w:val="none" w:sz="0" w:space="0" w:color="auto"/>
        <w:left w:val="none" w:sz="0" w:space="0" w:color="auto"/>
        <w:bottom w:val="none" w:sz="0" w:space="0" w:color="auto"/>
        <w:right w:val="none" w:sz="0" w:space="0" w:color="auto"/>
      </w:divBdr>
    </w:div>
    <w:div w:id="1812364764">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65434855">
      <w:bodyDiv w:val="1"/>
      <w:marLeft w:val="0"/>
      <w:marRight w:val="0"/>
      <w:marTop w:val="0"/>
      <w:marBottom w:val="0"/>
      <w:divBdr>
        <w:top w:val="none" w:sz="0" w:space="0" w:color="auto"/>
        <w:left w:val="none" w:sz="0" w:space="0" w:color="auto"/>
        <w:bottom w:val="none" w:sz="0" w:space="0" w:color="auto"/>
        <w:right w:val="none" w:sz="0" w:space="0" w:color="auto"/>
      </w:divBdr>
    </w:div>
    <w:div w:id="1865751529">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1064734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24338661">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55864695">
      <w:bodyDiv w:val="1"/>
      <w:marLeft w:val="0"/>
      <w:marRight w:val="0"/>
      <w:marTop w:val="0"/>
      <w:marBottom w:val="0"/>
      <w:divBdr>
        <w:top w:val="none" w:sz="0" w:space="0" w:color="auto"/>
        <w:left w:val="none" w:sz="0" w:space="0" w:color="auto"/>
        <w:bottom w:val="none" w:sz="0" w:space="0" w:color="auto"/>
        <w:right w:val="none" w:sz="0" w:space="0" w:color="auto"/>
      </w:divBdr>
    </w:div>
    <w:div w:id="1960599999">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1981574211">
      <w:bodyDiv w:val="1"/>
      <w:marLeft w:val="0"/>
      <w:marRight w:val="0"/>
      <w:marTop w:val="0"/>
      <w:marBottom w:val="0"/>
      <w:divBdr>
        <w:top w:val="none" w:sz="0" w:space="0" w:color="auto"/>
        <w:left w:val="none" w:sz="0" w:space="0" w:color="auto"/>
        <w:bottom w:val="none" w:sz="0" w:space="0" w:color="auto"/>
        <w:right w:val="none" w:sz="0" w:space="0" w:color="auto"/>
      </w:divBdr>
    </w:div>
    <w:div w:id="1987277185">
      <w:bodyDiv w:val="1"/>
      <w:marLeft w:val="0"/>
      <w:marRight w:val="0"/>
      <w:marTop w:val="0"/>
      <w:marBottom w:val="0"/>
      <w:divBdr>
        <w:top w:val="none" w:sz="0" w:space="0" w:color="auto"/>
        <w:left w:val="none" w:sz="0" w:space="0" w:color="auto"/>
        <w:bottom w:val="none" w:sz="0" w:space="0" w:color="auto"/>
        <w:right w:val="none" w:sz="0" w:space="0" w:color="auto"/>
      </w:divBdr>
    </w:div>
    <w:div w:id="1989625749">
      <w:bodyDiv w:val="1"/>
      <w:marLeft w:val="0"/>
      <w:marRight w:val="0"/>
      <w:marTop w:val="0"/>
      <w:marBottom w:val="0"/>
      <w:divBdr>
        <w:top w:val="none" w:sz="0" w:space="0" w:color="auto"/>
        <w:left w:val="none" w:sz="0" w:space="0" w:color="auto"/>
        <w:bottom w:val="none" w:sz="0" w:space="0" w:color="auto"/>
        <w:right w:val="none" w:sz="0" w:space="0" w:color="auto"/>
      </w:divBdr>
    </w:div>
    <w:div w:id="1996563491">
      <w:bodyDiv w:val="1"/>
      <w:marLeft w:val="0"/>
      <w:marRight w:val="0"/>
      <w:marTop w:val="0"/>
      <w:marBottom w:val="0"/>
      <w:divBdr>
        <w:top w:val="none" w:sz="0" w:space="0" w:color="auto"/>
        <w:left w:val="none" w:sz="0" w:space="0" w:color="auto"/>
        <w:bottom w:val="none" w:sz="0" w:space="0" w:color="auto"/>
        <w:right w:val="none" w:sz="0" w:space="0" w:color="auto"/>
      </w:divBdr>
    </w:div>
    <w:div w:id="2000117032">
      <w:bodyDiv w:val="1"/>
      <w:marLeft w:val="0"/>
      <w:marRight w:val="0"/>
      <w:marTop w:val="0"/>
      <w:marBottom w:val="0"/>
      <w:divBdr>
        <w:top w:val="none" w:sz="0" w:space="0" w:color="auto"/>
        <w:left w:val="none" w:sz="0" w:space="0" w:color="auto"/>
        <w:bottom w:val="none" w:sz="0" w:space="0" w:color="auto"/>
        <w:right w:val="none" w:sz="0" w:space="0" w:color="auto"/>
      </w:divBdr>
    </w:div>
    <w:div w:id="2001886126">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34574437">
      <w:bodyDiv w:val="1"/>
      <w:marLeft w:val="0"/>
      <w:marRight w:val="0"/>
      <w:marTop w:val="0"/>
      <w:marBottom w:val="0"/>
      <w:divBdr>
        <w:top w:val="none" w:sz="0" w:space="0" w:color="auto"/>
        <w:left w:val="none" w:sz="0" w:space="0" w:color="auto"/>
        <w:bottom w:val="none" w:sz="0" w:space="0" w:color="auto"/>
        <w:right w:val="none" w:sz="0" w:space="0" w:color="auto"/>
      </w:divBdr>
    </w:div>
    <w:div w:id="2054109980">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4885857">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 w:id="2118714261">
      <w:bodyDiv w:val="1"/>
      <w:marLeft w:val="0"/>
      <w:marRight w:val="0"/>
      <w:marTop w:val="0"/>
      <w:marBottom w:val="0"/>
      <w:divBdr>
        <w:top w:val="none" w:sz="0" w:space="0" w:color="auto"/>
        <w:left w:val="none" w:sz="0" w:space="0" w:color="auto"/>
        <w:bottom w:val="none" w:sz="0" w:space="0" w:color="auto"/>
        <w:right w:val="none" w:sz="0" w:space="0" w:color="auto"/>
      </w:divBdr>
    </w:div>
    <w:div w:id="2119329681">
      <w:bodyDiv w:val="1"/>
      <w:marLeft w:val="0"/>
      <w:marRight w:val="0"/>
      <w:marTop w:val="0"/>
      <w:marBottom w:val="0"/>
      <w:divBdr>
        <w:top w:val="none" w:sz="0" w:space="0" w:color="auto"/>
        <w:left w:val="none" w:sz="0" w:space="0" w:color="auto"/>
        <w:bottom w:val="none" w:sz="0" w:space="0" w:color="auto"/>
        <w:right w:val="none" w:sz="0" w:space="0" w:color="auto"/>
      </w:divBdr>
    </w:div>
    <w:div w:id="2120834996">
      <w:bodyDiv w:val="1"/>
      <w:marLeft w:val="0"/>
      <w:marRight w:val="0"/>
      <w:marTop w:val="0"/>
      <w:marBottom w:val="0"/>
      <w:divBdr>
        <w:top w:val="none" w:sz="0" w:space="0" w:color="auto"/>
        <w:left w:val="none" w:sz="0" w:space="0" w:color="auto"/>
        <w:bottom w:val="none" w:sz="0" w:space="0" w:color="auto"/>
        <w:right w:val="none" w:sz="0" w:space="0" w:color="auto"/>
      </w:divBdr>
    </w:div>
    <w:div w:id="213929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ulinarystaffing.com/news/2024-04-07-the-complete-guide-to-cross-training-your-hospitality-staff.html" TargetMode="External"/><Relationship Id="rId18" Type="http://schemas.openxmlformats.org/officeDocument/2006/relationships/hyperlink" Target="https://www.mckinsey.com/capabilities/mckinsey-digital/our-insights/advanced-analytics-in-hospitality"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bu.edu/bhr/2021/05/31/hotels-in-financial-distress-and-their-resolution/" TargetMode="External"/><Relationship Id="rId7" Type="http://schemas.openxmlformats.org/officeDocument/2006/relationships/footnotes" Target="footnotes.xml"/><Relationship Id="rId12" Type="http://schemas.openxmlformats.org/officeDocument/2006/relationships/hyperlink" Target="https://cpp-luxury.com/the-savoy-london-makes-a-powerful-come-back-post-pandemic-review/" TargetMode="External"/><Relationship Id="rId17" Type="http://schemas.openxmlformats.org/officeDocument/2006/relationships/hyperlink" Target="https://www.hospitalitynet.org/opinion/4112715.html"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hospitalitytech.com/hotels-and-digital-revolution-ways-improve-guest-experiences" TargetMode="External"/><Relationship Id="rId20" Type="http://schemas.openxmlformats.org/officeDocument/2006/relationships/hyperlink" Target="https://www.raindropsresorts.com/blog/why-do-travelers-choose-boutique-hotels-5-reasons-to-stay-and-what-they-gain/"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rchive.hotelbusiness.com/how-cross-training-programs-benefit-hoteliers/"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thesavoylondon.com/we-are-reopening/" TargetMode="External"/><Relationship Id="rId23" Type="http://schemas.openxmlformats.org/officeDocument/2006/relationships/hyperlink" Target="https://www.ritzcarlton.com/en/hotels-and-resorts/meetings-and-celebrations/meetings/" TargetMode="External"/><Relationship Id="rId28"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https://image.uk.info.pwc.com/lib/fe31117075640475701c74/m/7/UK%2BHotels%2BForecast%2B2022%2B-%2B2023_Reportv2.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knightfrank.com/research/article/2020-12-03-down-but-not-out-how-the-uk-hotel-sector-is-adapting-to-survive" TargetMode="External"/><Relationship Id="rId22" Type="http://schemas.openxmlformats.org/officeDocument/2006/relationships/hyperlink" Target="https://www.statista.com/topics/6224/covid-19-impact-on-the-tourism-industry/"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5C6980-659F-485D-96B3-65AD52015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4490</TotalTime>
  <Pages>16</Pages>
  <Words>3809</Words>
  <Characters>21714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25473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692</cp:revision>
  <dcterms:created xsi:type="dcterms:W3CDTF">2023-05-29T23:11:00Z</dcterms:created>
  <dcterms:modified xsi:type="dcterms:W3CDTF">2024-11-13T15:47:00Z</dcterms:modified>
</cp:coreProperties>
</file>