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D649A" w14:textId="77777777" w:rsidR="00127410" w:rsidRDefault="00000000">
      <w:pPr>
        <w:pStyle w:val="Title"/>
      </w:pPr>
      <w:r>
        <w:t>FinSure Bank (FSB)</w:t>
      </w:r>
    </w:p>
    <w:p w14:paraId="7BA93B6A" w14:textId="6171F2EF" w:rsidR="00127410" w:rsidRDefault="00000000">
      <w:pPr>
        <w:pStyle w:val="Heading1"/>
      </w:pPr>
      <w:r>
        <w:t>Risk Register &amp; FAIR Quantitative Analysis</w:t>
      </w:r>
    </w:p>
    <w:p w14:paraId="265938B0" w14:textId="77777777" w:rsidR="00127410" w:rsidRDefault="00000000">
      <w:r>
        <w:t>Version 1.0 | Classification: CONFIDENTIAL | April 2026</w:t>
      </w:r>
    </w:p>
    <w:p w14:paraId="47E0700F" w14:textId="77777777" w:rsidR="00127410" w:rsidRDefault="00127410"/>
    <w:p w14:paraId="0837CB2A" w14:textId="77777777" w:rsidR="00127410" w:rsidRDefault="00000000">
      <w:pPr>
        <w:pStyle w:val="Heading2"/>
      </w:pPr>
      <w:r>
        <w:t>1. Purpose</w:t>
      </w:r>
    </w:p>
    <w:p w14:paraId="5F79CA52" w14:textId="77777777" w:rsidR="00127410" w:rsidRDefault="00000000">
      <w:r>
        <w:t>This risk register documents the principal information security risks facing FinSure Bank, assessed using both qualitative classification (aligned with Table 2 of the main report) and quantitative analysis using the Factor Analysis of Information Risk (FAIR) methodology. FAIR provides a probabilistic, financial model that translates risk assessments into defensible monetary terms, enabling data-driven prioritisation of security investments within FSB’s 13.2% security budget allocation.</w:t>
      </w:r>
    </w:p>
    <w:p w14:paraId="5E53913E" w14:textId="77777777" w:rsidR="00127410" w:rsidRDefault="00000000">
      <w:pPr>
        <w:pStyle w:val="Heading2"/>
      </w:pPr>
      <w:r>
        <w:t>2. FAIR Methodology Overview</w:t>
      </w:r>
    </w:p>
    <w:p w14:paraId="46F7CF1D" w14:textId="77777777" w:rsidR="00127410" w:rsidRDefault="00000000">
      <w:r>
        <w:t>FAIR decomposes risk into two primary factors: Loss Event Frequency (LEF) — how often a threat event is expected to occur — and Loss Magnitude (LM) — the probable financial impact when it does. These are further decomposed into Threat Event Frequency, Vulnerability, Primary Loss, and Secondary Loss. Each factor is estimated using a calibrated range (minimum, most likely, maximum) to produce a Monte Carlo-simulated Annual Loss Expectancy (ALE).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876"/>
        <w:gridCol w:w="2877"/>
        <w:gridCol w:w="2877"/>
      </w:tblGrid>
      <w:tr w:rsidR="00127410" w14:paraId="1129698F" w14:textId="77777777">
        <w:trPr>
          <w:jc w:val="center"/>
        </w:trPr>
        <w:tc>
          <w:tcPr>
            <w:tcW w:w="2880" w:type="dxa"/>
            <w:shd w:val="clear" w:color="auto" w:fill="2E4057"/>
          </w:tcPr>
          <w:p w14:paraId="2BD17257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FAIR Component</w:t>
            </w:r>
          </w:p>
        </w:tc>
        <w:tc>
          <w:tcPr>
            <w:tcW w:w="2880" w:type="dxa"/>
            <w:shd w:val="clear" w:color="auto" w:fill="2E4057"/>
          </w:tcPr>
          <w:p w14:paraId="1D1C2F2D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Definition</w:t>
            </w:r>
          </w:p>
        </w:tc>
        <w:tc>
          <w:tcPr>
            <w:tcW w:w="2880" w:type="dxa"/>
            <w:shd w:val="clear" w:color="auto" w:fill="2E4057"/>
          </w:tcPr>
          <w:p w14:paraId="5D4A9455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Data Source for FSB</w:t>
            </w:r>
          </w:p>
        </w:tc>
      </w:tr>
      <w:tr w:rsidR="00127410" w14:paraId="5A00D9D9" w14:textId="77777777">
        <w:trPr>
          <w:jc w:val="center"/>
        </w:trPr>
        <w:tc>
          <w:tcPr>
            <w:tcW w:w="2880" w:type="dxa"/>
            <w:shd w:val="clear" w:color="auto" w:fill="F0F4F8"/>
          </w:tcPr>
          <w:p w14:paraId="7CC33CE8" w14:textId="77777777" w:rsidR="00127410" w:rsidRDefault="00000000">
            <w:r>
              <w:rPr>
                <w:sz w:val="18"/>
              </w:rPr>
              <w:t>Threat Event Frequency (TEF)</w:t>
            </w:r>
          </w:p>
        </w:tc>
        <w:tc>
          <w:tcPr>
            <w:tcW w:w="2880" w:type="dxa"/>
            <w:shd w:val="clear" w:color="auto" w:fill="F0F4F8"/>
          </w:tcPr>
          <w:p w14:paraId="690485B1" w14:textId="77777777" w:rsidR="00127410" w:rsidRDefault="00000000">
            <w:r>
              <w:rPr>
                <w:sz w:val="18"/>
              </w:rPr>
              <w:t>How frequently a threat agent is expected to act against an asset</w:t>
            </w:r>
          </w:p>
        </w:tc>
        <w:tc>
          <w:tcPr>
            <w:tcW w:w="2880" w:type="dxa"/>
            <w:shd w:val="clear" w:color="auto" w:fill="F0F4F8"/>
          </w:tcPr>
          <w:p w14:paraId="6D89C96A" w14:textId="77777777" w:rsidR="00127410" w:rsidRDefault="00000000">
            <w:r>
              <w:rPr>
                <w:sz w:val="18"/>
              </w:rPr>
              <w:t>Threat intelligence feeds; historical incident data</w:t>
            </w:r>
          </w:p>
        </w:tc>
      </w:tr>
      <w:tr w:rsidR="00127410" w14:paraId="0FD01106" w14:textId="77777777">
        <w:trPr>
          <w:jc w:val="center"/>
        </w:trPr>
        <w:tc>
          <w:tcPr>
            <w:tcW w:w="2880" w:type="dxa"/>
          </w:tcPr>
          <w:p w14:paraId="6DB23AB6" w14:textId="77777777" w:rsidR="00127410" w:rsidRDefault="00000000">
            <w:r>
              <w:rPr>
                <w:sz w:val="18"/>
              </w:rPr>
              <w:t>Vulnerability (Vuln)</w:t>
            </w:r>
          </w:p>
        </w:tc>
        <w:tc>
          <w:tcPr>
            <w:tcW w:w="2880" w:type="dxa"/>
          </w:tcPr>
          <w:p w14:paraId="698352FF" w14:textId="77777777" w:rsidR="00127410" w:rsidRDefault="00000000">
            <w:r>
              <w:rPr>
                <w:sz w:val="18"/>
              </w:rPr>
              <w:t>Probability that a threat event results in a loss event, given existing controls</w:t>
            </w:r>
          </w:p>
        </w:tc>
        <w:tc>
          <w:tcPr>
            <w:tcW w:w="2880" w:type="dxa"/>
          </w:tcPr>
          <w:p w14:paraId="6E13FCA4" w14:textId="77777777" w:rsidR="00127410" w:rsidRDefault="00000000">
            <w:r>
              <w:rPr>
                <w:sz w:val="18"/>
              </w:rPr>
              <w:t>Penetration testing results; control effectiveness audits</w:t>
            </w:r>
          </w:p>
        </w:tc>
      </w:tr>
      <w:tr w:rsidR="00127410" w14:paraId="4941FD49" w14:textId="77777777">
        <w:trPr>
          <w:jc w:val="center"/>
        </w:trPr>
        <w:tc>
          <w:tcPr>
            <w:tcW w:w="2880" w:type="dxa"/>
            <w:shd w:val="clear" w:color="auto" w:fill="F0F4F8"/>
          </w:tcPr>
          <w:p w14:paraId="3C29C6CE" w14:textId="77777777" w:rsidR="00127410" w:rsidRDefault="00000000">
            <w:r>
              <w:rPr>
                <w:sz w:val="18"/>
              </w:rPr>
              <w:t>Loss Event Frequency (LEF)</w:t>
            </w:r>
          </w:p>
        </w:tc>
        <w:tc>
          <w:tcPr>
            <w:tcW w:w="2880" w:type="dxa"/>
            <w:shd w:val="clear" w:color="auto" w:fill="F0F4F8"/>
          </w:tcPr>
          <w:p w14:paraId="29BCAC72" w14:textId="77777777" w:rsidR="00127410" w:rsidRDefault="00000000">
            <w:r>
              <w:rPr>
                <w:sz w:val="18"/>
              </w:rPr>
              <w:t>TEF × Vuln = expected annual frequency of successful attacks</w:t>
            </w:r>
          </w:p>
        </w:tc>
        <w:tc>
          <w:tcPr>
            <w:tcW w:w="2880" w:type="dxa"/>
            <w:shd w:val="clear" w:color="auto" w:fill="F0F4F8"/>
          </w:tcPr>
          <w:p w14:paraId="46306290" w14:textId="77777777" w:rsidR="00127410" w:rsidRDefault="00000000">
            <w:r>
              <w:rPr>
                <w:sz w:val="18"/>
              </w:rPr>
              <w:t>Calculated</w:t>
            </w:r>
          </w:p>
        </w:tc>
      </w:tr>
      <w:tr w:rsidR="00127410" w14:paraId="7FCAAB1B" w14:textId="77777777">
        <w:trPr>
          <w:jc w:val="center"/>
        </w:trPr>
        <w:tc>
          <w:tcPr>
            <w:tcW w:w="2880" w:type="dxa"/>
          </w:tcPr>
          <w:p w14:paraId="039EC499" w14:textId="77777777" w:rsidR="00127410" w:rsidRDefault="00000000">
            <w:r>
              <w:rPr>
                <w:sz w:val="18"/>
              </w:rPr>
              <w:t>Primary Loss Magnitude</w:t>
            </w:r>
          </w:p>
        </w:tc>
        <w:tc>
          <w:tcPr>
            <w:tcW w:w="2880" w:type="dxa"/>
          </w:tcPr>
          <w:p w14:paraId="7CE8C458" w14:textId="77777777" w:rsidR="00127410" w:rsidRDefault="00000000">
            <w:r>
              <w:rPr>
                <w:sz w:val="18"/>
              </w:rPr>
              <w:t>Direct costs: incident response, system restoration, regulatory fines</w:t>
            </w:r>
          </w:p>
        </w:tc>
        <w:tc>
          <w:tcPr>
            <w:tcW w:w="2880" w:type="dxa"/>
          </w:tcPr>
          <w:p w14:paraId="08C16EF7" w14:textId="77777777" w:rsidR="00127410" w:rsidRDefault="00000000">
            <w:r>
              <w:rPr>
                <w:sz w:val="18"/>
              </w:rPr>
              <w:t>IBM Cost of a Data Breach Report [23]; GDPR fine precedents</w:t>
            </w:r>
          </w:p>
        </w:tc>
      </w:tr>
      <w:tr w:rsidR="00127410" w14:paraId="00047BA4" w14:textId="77777777">
        <w:trPr>
          <w:jc w:val="center"/>
        </w:trPr>
        <w:tc>
          <w:tcPr>
            <w:tcW w:w="2880" w:type="dxa"/>
            <w:shd w:val="clear" w:color="auto" w:fill="F0F4F8"/>
          </w:tcPr>
          <w:p w14:paraId="1D131F8D" w14:textId="77777777" w:rsidR="00127410" w:rsidRDefault="00000000">
            <w:r>
              <w:rPr>
                <w:sz w:val="18"/>
              </w:rPr>
              <w:t>Secondary Loss Magnitude</w:t>
            </w:r>
          </w:p>
        </w:tc>
        <w:tc>
          <w:tcPr>
            <w:tcW w:w="2880" w:type="dxa"/>
            <w:shd w:val="clear" w:color="auto" w:fill="F0F4F8"/>
          </w:tcPr>
          <w:p w14:paraId="01AE178D" w14:textId="77777777" w:rsidR="00127410" w:rsidRDefault="00000000">
            <w:r>
              <w:rPr>
                <w:sz w:val="18"/>
              </w:rPr>
              <w:t>Indirect costs: customer churn, brand damage, share price impact, litigation</w:t>
            </w:r>
          </w:p>
        </w:tc>
        <w:tc>
          <w:tcPr>
            <w:tcW w:w="2880" w:type="dxa"/>
            <w:shd w:val="clear" w:color="auto" w:fill="F0F4F8"/>
          </w:tcPr>
          <w:p w14:paraId="0ECA3FF6" w14:textId="77777777" w:rsidR="00127410" w:rsidRDefault="00000000">
            <w:r>
              <w:rPr>
                <w:sz w:val="18"/>
              </w:rPr>
              <w:t>Industry benchmarks; FSB customer base valuation</w:t>
            </w:r>
          </w:p>
        </w:tc>
      </w:tr>
      <w:tr w:rsidR="00127410" w14:paraId="3D823EBE" w14:textId="77777777">
        <w:trPr>
          <w:jc w:val="center"/>
        </w:trPr>
        <w:tc>
          <w:tcPr>
            <w:tcW w:w="2880" w:type="dxa"/>
          </w:tcPr>
          <w:p w14:paraId="470800B2" w14:textId="77777777" w:rsidR="00127410" w:rsidRDefault="00000000">
            <w:r>
              <w:rPr>
                <w:sz w:val="18"/>
              </w:rPr>
              <w:lastRenderedPageBreak/>
              <w:t>Annual Loss Expectancy (ALE)</w:t>
            </w:r>
          </w:p>
        </w:tc>
        <w:tc>
          <w:tcPr>
            <w:tcW w:w="2880" w:type="dxa"/>
          </w:tcPr>
          <w:p w14:paraId="190F7666" w14:textId="77777777" w:rsidR="00127410" w:rsidRDefault="00000000">
            <w:r>
              <w:rPr>
                <w:sz w:val="18"/>
              </w:rPr>
              <w:t>LEF × (Primary + Secondary Loss) = annualised financial risk</w:t>
            </w:r>
          </w:p>
        </w:tc>
        <w:tc>
          <w:tcPr>
            <w:tcW w:w="2880" w:type="dxa"/>
          </w:tcPr>
          <w:p w14:paraId="013DDE35" w14:textId="77777777" w:rsidR="00127410" w:rsidRDefault="00000000">
            <w:r>
              <w:rPr>
                <w:sz w:val="18"/>
              </w:rPr>
              <w:t>Monte Carlo simulation (10,000 iterations)</w:t>
            </w:r>
          </w:p>
        </w:tc>
      </w:tr>
    </w:tbl>
    <w:p w14:paraId="48ADCE4C" w14:textId="77777777" w:rsidR="00127410" w:rsidRDefault="00127410"/>
    <w:p w14:paraId="4ED025A8" w14:textId="77777777" w:rsidR="00127410" w:rsidRDefault="00000000">
      <w:pPr>
        <w:pStyle w:val="Heading2"/>
      </w:pPr>
      <w:r>
        <w:t>3. Quantitative Risk Register</w:t>
      </w:r>
    </w:p>
    <w:p w14:paraId="22417506" w14:textId="77777777" w:rsidR="00127410" w:rsidRDefault="00000000">
      <w:r>
        <w:t>The following register presents each risk with both qualitative ratings (for stakeholder communication) and FAIR-derived quantitative estimates (for investment prioritisation). Financial estimates are calibrated using the IBM Cost of a Data Breach Report 2024 financial services average of $6.08M and adjusted for FSB’s operational scale.</w:t>
      </w:r>
    </w:p>
    <w:p w14:paraId="44333C99" w14:textId="77777777" w:rsidR="00127410" w:rsidRDefault="00127410"/>
    <w:p w14:paraId="7CA8961D" w14:textId="77777777" w:rsidR="00127410" w:rsidRDefault="00000000">
      <w:pPr>
        <w:pStyle w:val="Heading3"/>
      </w:pPr>
      <w:r>
        <w:t>RISK-001: Cloud Infrastructure Misconfiguration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315"/>
        <w:gridCol w:w="4315"/>
      </w:tblGrid>
      <w:tr w:rsidR="00127410" w14:paraId="0163C403" w14:textId="77777777">
        <w:trPr>
          <w:jc w:val="center"/>
        </w:trPr>
        <w:tc>
          <w:tcPr>
            <w:tcW w:w="4320" w:type="dxa"/>
            <w:shd w:val="clear" w:color="auto" w:fill="2E4057"/>
          </w:tcPr>
          <w:p w14:paraId="6A93E340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Attribute</w:t>
            </w:r>
          </w:p>
        </w:tc>
        <w:tc>
          <w:tcPr>
            <w:tcW w:w="4320" w:type="dxa"/>
            <w:shd w:val="clear" w:color="auto" w:fill="2E4057"/>
          </w:tcPr>
          <w:p w14:paraId="4681ECBC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Detail</w:t>
            </w:r>
          </w:p>
        </w:tc>
      </w:tr>
      <w:tr w:rsidR="00127410" w14:paraId="46183EE4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6B636727" w14:textId="77777777" w:rsidR="00127410" w:rsidRDefault="00000000">
            <w:r>
              <w:rPr>
                <w:sz w:val="18"/>
              </w:rPr>
              <w:t>Risk ID</w:t>
            </w:r>
          </w:p>
        </w:tc>
        <w:tc>
          <w:tcPr>
            <w:tcW w:w="4320" w:type="dxa"/>
            <w:shd w:val="clear" w:color="auto" w:fill="F0F4F8"/>
          </w:tcPr>
          <w:p w14:paraId="5F79289F" w14:textId="77777777" w:rsidR="00127410" w:rsidRDefault="00000000">
            <w:r>
              <w:rPr>
                <w:sz w:val="18"/>
              </w:rPr>
              <w:t>RISK-001</w:t>
            </w:r>
          </w:p>
        </w:tc>
      </w:tr>
      <w:tr w:rsidR="00127410" w14:paraId="1D6B70C1" w14:textId="77777777">
        <w:trPr>
          <w:jc w:val="center"/>
        </w:trPr>
        <w:tc>
          <w:tcPr>
            <w:tcW w:w="4320" w:type="dxa"/>
          </w:tcPr>
          <w:p w14:paraId="2B319695" w14:textId="77777777" w:rsidR="00127410" w:rsidRDefault="00000000">
            <w:r>
              <w:rPr>
                <w:sz w:val="18"/>
              </w:rPr>
              <w:t>Threat Source</w:t>
            </w:r>
          </w:p>
        </w:tc>
        <w:tc>
          <w:tcPr>
            <w:tcW w:w="4320" w:type="dxa"/>
          </w:tcPr>
          <w:p w14:paraId="286A9F3B" w14:textId="77777777" w:rsidR="00127410" w:rsidRDefault="00000000">
            <w:r>
              <w:rPr>
                <w:sz w:val="18"/>
              </w:rPr>
              <w:t>External attacker exploiting misconfigured cloud resources (open S3 buckets, overly permissive IAM roles, exposed management APIs)</w:t>
            </w:r>
          </w:p>
        </w:tc>
      </w:tr>
      <w:tr w:rsidR="00127410" w14:paraId="5ECC7770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3DD1592E" w14:textId="77777777" w:rsidR="00127410" w:rsidRDefault="00000000">
            <w:r>
              <w:rPr>
                <w:sz w:val="18"/>
              </w:rPr>
              <w:t>Affected Assets</w:t>
            </w:r>
          </w:p>
        </w:tc>
        <w:tc>
          <w:tcPr>
            <w:tcW w:w="4320" w:type="dxa"/>
            <w:shd w:val="clear" w:color="auto" w:fill="F0F4F8"/>
          </w:tcPr>
          <w:p w14:paraId="235714FA" w14:textId="77777777" w:rsidR="00127410" w:rsidRDefault="00000000">
            <w:r>
              <w:rPr>
                <w:sz w:val="18"/>
              </w:rPr>
              <w:t>Customer PII databases; core banking APIs; payment processing infrastructure</w:t>
            </w:r>
          </w:p>
        </w:tc>
      </w:tr>
      <w:tr w:rsidR="00127410" w14:paraId="7158FBD2" w14:textId="77777777">
        <w:trPr>
          <w:jc w:val="center"/>
        </w:trPr>
        <w:tc>
          <w:tcPr>
            <w:tcW w:w="4320" w:type="dxa"/>
          </w:tcPr>
          <w:p w14:paraId="650EDB80" w14:textId="77777777" w:rsidR="00127410" w:rsidRDefault="00000000">
            <w:r>
              <w:rPr>
                <w:sz w:val="18"/>
              </w:rPr>
              <w:t>Qualitative Rating</w:t>
            </w:r>
          </w:p>
        </w:tc>
        <w:tc>
          <w:tcPr>
            <w:tcW w:w="4320" w:type="dxa"/>
          </w:tcPr>
          <w:p w14:paraId="0607B936" w14:textId="77777777" w:rsidR="00127410" w:rsidRDefault="00000000">
            <w:r>
              <w:rPr>
                <w:sz w:val="18"/>
              </w:rPr>
              <w:t>Likelihood: HIGH | Impact: CRITICAL</w:t>
            </w:r>
          </w:p>
        </w:tc>
      </w:tr>
      <w:tr w:rsidR="00127410" w14:paraId="0CCA0076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7DC191C2" w14:textId="77777777" w:rsidR="00127410" w:rsidRDefault="00000000">
            <w:r>
              <w:rPr>
                <w:sz w:val="18"/>
              </w:rPr>
              <w:t>TEF (Annual)</w:t>
            </w:r>
          </w:p>
        </w:tc>
        <w:tc>
          <w:tcPr>
            <w:tcW w:w="4320" w:type="dxa"/>
            <w:shd w:val="clear" w:color="auto" w:fill="F0F4F8"/>
          </w:tcPr>
          <w:p w14:paraId="0601C407" w14:textId="77777777" w:rsidR="00127410" w:rsidRDefault="00000000">
            <w:r>
              <w:rPr>
                <w:sz w:val="18"/>
              </w:rPr>
              <w:t>Min: 8 | Most Likely: 15 | Max: 30</w:t>
            </w:r>
          </w:p>
        </w:tc>
      </w:tr>
      <w:tr w:rsidR="00127410" w14:paraId="5C5DE95B" w14:textId="77777777">
        <w:trPr>
          <w:jc w:val="center"/>
        </w:trPr>
        <w:tc>
          <w:tcPr>
            <w:tcW w:w="4320" w:type="dxa"/>
          </w:tcPr>
          <w:p w14:paraId="3C806005" w14:textId="77777777" w:rsidR="00127410" w:rsidRDefault="00000000">
            <w:r>
              <w:rPr>
                <w:sz w:val="18"/>
              </w:rPr>
              <w:t>Vulnerability</w:t>
            </w:r>
          </w:p>
        </w:tc>
        <w:tc>
          <w:tcPr>
            <w:tcW w:w="4320" w:type="dxa"/>
          </w:tcPr>
          <w:p w14:paraId="23F07FA7" w14:textId="77777777" w:rsidR="00127410" w:rsidRDefault="00000000">
            <w:r>
              <w:rPr>
                <w:sz w:val="18"/>
              </w:rPr>
              <w:t>Current (No CSPM): 60–80% | Target (With CSPM): 5–15%</w:t>
            </w:r>
          </w:p>
        </w:tc>
      </w:tr>
      <w:tr w:rsidR="00127410" w14:paraId="13DD8660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19CE3109" w14:textId="77777777" w:rsidR="00127410" w:rsidRDefault="00000000">
            <w:r>
              <w:rPr>
                <w:sz w:val="18"/>
              </w:rPr>
              <w:t>Primary Loss Range</w:t>
            </w:r>
          </w:p>
        </w:tc>
        <w:tc>
          <w:tcPr>
            <w:tcW w:w="4320" w:type="dxa"/>
            <w:shd w:val="clear" w:color="auto" w:fill="F0F4F8"/>
          </w:tcPr>
          <w:p w14:paraId="163BEC1B" w14:textId="77777777" w:rsidR="00127410" w:rsidRDefault="00000000">
            <w:r>
              <w:rPr>
                <w:sz w:val="18"/>
              </w:rPr>
              <w:t>£250K – £2.5M per event (remediation, forensics, regulatory notification)</w:t>
            </w:r>
          </w:p>
        </w:tc>
      </w:tr>
      <w:tr w:rsidR="00127410" w14:paraId="331B0A09" w14:textId="77777777">
        <w:trPr>
          <w:jc w:val="center"/>
        </w:trPr>
        <w:tc>
          <w:tcPr>
            <w:tcW w:w="4320" w:type="dxa"/>
          </w:tcPr>
          <w:p w14:paraId="3478DE0D" w14:textId="77777777" w:rsidR="00127410" w:rsidRDefault="00000000">
            <w:r>
              <w:rPr>
                <w:sz w:val="18"/>
              </w:rPr>
              <w:t>Secondary Loss Range</w:t>
            </w:r>
          </w:p>
        </w:tc>
        <w:tc>
          <w:tcPr>
            <w:tcW w:w="4320" w:type="dxa"/>
          </w:tcPr>
          <w:p w14:paraId="1BEB7603" w14:textId="77777777" w:rsidR="00127410" w:rsidRDefault="00000000">
            <w:r>
              <w:rPr>
                <w:sz w:val="18"/>
              </w:rPr>
              <w:t>£1M – £5M per event (customer churn, FCA enforcement, brand damage)</w:t>
            </w:r>
          </w:p>
        </w:tc>
      </w:tr>
      <w:tr w:rsidR="00127410" w14:paraId="718B793B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2F5CD6E8" w14:textId="77777777" w:rsidR="00127410" w:rsidRDefault="00000000">
            <w:r>
              <w:rPr>
                <w:sz w:val="18"/>
              </w:rPr>
              <w:t>ALE (Current State)</w:t>
            </w:r>
          </w:p>
        </w:tc>
        <w:tc>
          <w:tcPr>
            <w:tcW w:w="4320" w:type="dxa"/>
            <w:shd w:val="clear" w:color="auto" w:fill="F0F4F8"/>
          </w:tcPr>
          <w:p w14:paraId="17AD61BE" w14:textId="77777777" w:rsidR="00127410" w:rsidRDefault="00000000">
            <w:r>
              <w:rPr>
                <w:sz w:val="18"/>
              </w:rPr>
              <w:t>£6.0M – £18.0M (90th percentile: £12.4M)</w:t>
            </w:r>
          </w:p>
        </w:tc>
      </w:tr>
      <w:tr w:rsidR="00127410" w14:paraId="216C15AF" w14:textId="77777777">
        <w:trPr>
          <w:jc w:val="center"/>
        </w:trPr>
        <w:tc>
          <w:tcPr>
            <w:tcW w:w="4320" w:type="dxa"/>
          </w:tcPr>
          <w:p w14:paraId="0EB6CA04" w14:textId="77777777" w:rsidR="00127410" w:rsidRDefault="00000000">
            <w:r>
              <w:rPr>
                <w:sz w:val="18"/>
              </w:rPr>
              <w:t>ALE (Target State)</w:t>
            </w:r>
          </w:p>
        </w:tc>
        <w:tc>
          <w:tcPr>
            <w:tcW w:w="4320" w:type="dxa"/>
          </w:tcPr>
          <w:p w14:paraId="1570BF6A" w14:textId="77777777" w:rsidR="00127410" w:rsidRDefault="00000000">
            <w:r>
              <w:rPr>
                <w:sz w:val="18"/>
              </w:rPr>
              <w:t>£180K – £900K (90th percentile: £620K)</w:t>
            </w:r>
          </w:p>
        </w:tc>
      </w:tr>
      <w:tr w:rsidR="00127410" w14:paraId="4EADF62E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4A889BB0" w14:textId="77777777" w:rsidR="00127410" w:rsidRDefault="00000000">
            <w:r>
              <w:rPr>
                <w:sz w:val="18"/>
              </w:rPr>
              <w:t>Risk Reduction</w:t>
            </w:r>
          </w:p>
        </w:tc>
        <w:tc>
          <w:tcPr>
            <w:tcW w:w="4320" w:type="dxa"/>
            <w:shd w:val="clear" w:color="auto" w:fill="F0F4F8"/>
          </w:tcPr>
          <w:p w14:paraId="75C982DB" w14:textId="77777777" w:rsidR="00127410" w:rsidRDefault="00000000">
            <w:r>
              <w:rPr>
                <w:sz w:val="18"/>
              </w:rPr>
              <w:t>~95% reduction in ALE through CSPM + CIEM deployment</w:t>
            </w:r>
          </w:p>
        </w:tc>
      </w:tr>
      <w:tr w:rsidR="00127410" w14:paraId="66E8FDE7" w14:textId="77777777">
        <w:trPr>
          <w:jc w:val="center"/>
        </w:trPr>
        <w:tc>
          <w:tcPr>
            <w:tcW w:w="4320" w:type="dxa"/>
          </w:tcPr>
          <w:p w14:paraId="02CA2ED6" w14:textId="77777777" w:rsidR="00127410" w:rsidRDefault="00000000">
            <w:r>
              <w:rPr>
                <w:sz w:val="18"/>
              </w:rPr>
              <w:t>Primary Control</w:t>
            </w:r>
          </w:p>
        </w:tc>
        <w:tc>
          <w:tcPr>
            <w:tcW w:w="4320" w:type="dxa"/>
          </w:tcPr>
          <w:p w14:paraId="21737F57" w14:textId="77777777" w:rsidR="00127410" w:rsidRDefault="00000000">
            <w:r>
              <w:rPr>
                <w:sz w:val="18"/>
              </w:rPr>
              <w:t>CSPM agentless scanning (Phase 1); CIEM least-privilege enforcement (Phase 2)</w:t>
            </w:r>
          </w:p>
        </w:tc>
      </w:tr>
      <w:tr w:rsidR="00127410" w14:paraId="542EB125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13617AD6" w14:textId="77777777" w:rsidR="00127410" w:rsidRDefault="00000000">
            <w:r>
              <w:rPr>
                <w:sz w:val="18"/>
              </w:rPr>
              <w:t>Framework Mapping</w:t>
            </w:r>
          </w:p>
        </w:tc>
        <w:tc>
          <w:tcPr>
            <w:tcW w:w="4320" w:type="dxa"/>
            <w:shd w:val="clear" w:color="auto" w:fill="F0F4F8"/>
          </w:tcPr>
          <w:p w14:paraId="1DB21725" w14:textId="77777777" w:rsidR="00127410" w:rsidRDefault="00000000">
            <w:r>
              <w:rPr>
                <w:sz w:val="18"/>
              </w:rPr>
              <w:t>CSA CCM IVS-01; ISO 27017; NIST PR.IP-1</w:t>
            </w:r>
          </w:p>
        </w:tc>
      </w:tr>
    </w:tbl>
    <w:p w14:paraId="1E4EB5F4" w14:textId="77777777" w:rsidR="00127410" w:rsidRDefault="00127410"/>
    <w:p w14:paraId="4CA71F7E" w14:textId="77777777" w:rsidR="00127410" w:rsidRDefault="00000000">
      <w:pPr>
        <w:pStyle w:val="Heading3"/>
      </w:pPr>
      <w:r>
        <w:t>RISK-002: Insider Data Exfiltration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315"/>
        <w:gridCol w:w="4315"/>
      </w:tblGrid>
      <w:tr w:rsidR="00127410" w14:paraId="7A180C8E" w14:textId="77777777">
        <w:trPr>
          <w:jc w:val="center"/>
        </w:trPr>
        <w:tc>
          <w:tcPr>
            <w:tcW w:w="4320" w:type="dxa"/>
            <w:shd w:val="clear" w:color="auto" w:fill="2E4057"/>
          </w:tcPr>
          <w:p w14:paraId="426FF40C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Attribute</w:t>
            </w:r>
          </w:p>
        </w:tc>
        <w:tc>
          <w:tcPr>
            <w:tcW w:w="4320" w:type="dxa"/>
            <w:shd w:val="clear" w:color="auto" w:fill="2E4057"/>
          </w:tcPr>
          <w:p w14:paraId="5BF250F1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Detail</w:t>
            </w:r>
          </w:p>
        </w:tc>
      </w:tr>
      <w:tr w:rsidR="00127410" w14:paraId="296BFE6B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07A6B015" w14:textId="77777777" w:rsidR="00127410" w:rsidRDefault="00000000">
            <w:r>
              <w:rPr>
                <w:sz w:val="18"/>
              </w:rPr>
              <w:t>Risk ID</w:t>
            </w:r>
          </w:p>
        </w:tc>
        <w:tc>
          <w:tcPr>
            <w:tcW w:w="4320" w:type="dxa"/>
            <w:shd w:val="clear" w:color="auto" w:fill="F0F4F8"/>
          </w:tcPr>
          <w:p w14:paraId="20BDB8EC" w14:textId="77777777" w:rsidR="00127410" w:rsidRDefault="00000000">
            <w:r>
              <w:rPr>
                <w:sz w:val="18"/>
              </w:rPr>
              <w:t>RISK-002</w:t>
            </w:r>
          </w:p>
        </w:tc>
      </w:tr>
      <w:tr w:rsidR="00127410" w14:paraId="5859A309" w14:textId="77777777">
        <w:trPr>
          <w:jc w:val="center"/>
        </w:trPr>
        <w:tc>
          <w:tcPr>
            <w:tcW w:w="4320" w:type="dxa"/>
          </w:tcPr>
          <w:p w14:paraId="2F0C09B1" w14:textId="77777777" w:rsidR="00127410" w:rsidRDefault="00000000">
            <w:r>
              <w:rPr>
                <w:sz w:val="18"/>
              </w:rPr>
              <w:t>Threat Source</w:t>
            </w:r>
          </w:p>
        </w:tc>
        <w:tc>
          <w:tcPr>
            <w:tcW w:w="4320" w:type="dxa"/>
          </w:tcPr>
          <w:p w14:paraId="7BDC9554" w14:textId="77777777" w:rsidR="00127410" w:rsidRDefault="00000000">
            <w:r>
              <w:rPr>
                <w:sz w:val="18"/>
              </w:rPr>
              <w:t>Malicious or negligent insider (employee, contractor) exfiltrating sensitive customer data or intellectual property</w:t>
            </w:r>
          </w:p>
        </w:tc>
      </w:tr>
      <w:tr w:rsidR="00127410" w14:paraId="141D8420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01D0834A" w14:textId="77777777" w:rsidR="00127410" w:rsidRDefault="00000000">
            <w:r>
              <w:rPr>
                <w:sz w:val="18"/>
              </w:rPr>
              <w:t>Affected Assets</w:t>
            </w:r>
          </w:p>
        </w:tc>
        <w:tc>
          <w:tcPr>
            <w:tcW w:w="4320" w:type="dxa"/>
            <w:shd w:val="clear" w:color="auto" w:fill="F0F4F8"/>
          </w:tcPr>
          <w:p w14:paraId="37495A64" w14:textId="77777777" w:rsidR="00127410" w:rsidRDefault="00000000">
            <w:r>
              <w:rPr>
                <w:sz w:val="18"/>
              </w:rPr>
              <w:t>Customer financial records; proprietary algorithms; strategic business data</w:t>
            </w:r>
          </w:p>
        </w:tc>
      </w:tr>
      <w:tr w:rsidR="00127410" w14:paraId="18EB8DED" w14:textId="77777777">
        <w:trPr>
          <w:jc w:val="center"/>
        </w:trPr>
        <w:tc>
          <w:tcPr>
            <w:tcW w:w="4320" w:type="dxa"/>
          </w:tcPr>
          <w:p w14:paraId="4B628947" w14:textId="77777777" w:rsidR="00127410" w:rsidRDefault="00000000">
            <w:r>
              <w:rPr>
                <w:sz w:val="18"/>
              </w:rPr>
              <w:t>Qualitative Rating</w:t>
            </w:r>
          </w:p>
        </w:tc>
        <w:tc>
          <w:tcPr>
            <w:tcW w:w="4320" w:type="dxa"/>
          </w:tcPr>
          <w:p w14:paraId="1E3957D7" w14:textId="77777777" w:rsidR="00127410" w:rsidRDefault="00000000">
            <w:r>
              <w:rPr>
                <w:sz w:val="18"/>
              </w:rPr>
              <w:t>Likelihood: MEDIUM–HIGH | Impact: CRITICAL</w:t>
            </w:r>
          </w:p>
        </w:tc>
      </w:tr>
      <w:tr w:rsidR="00127410" w14:paraId="7FF0F861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1FB08721" w14:textId="77777777" w:rsidR="00127410" w:rsidRDefault="00000000">
            <w:r>
              <w:rPr>
                <w:sz w:val="18"/>
              </w:rPr>
              <w:t>TEF (Annual)</w:t>
            </w:r>
          </w:p>
        </w:tc>
        <w:tc>
          <w:tcPr>
            <w:tcW w:w="4320" w:type="dxa"/>
            <w:shd w:val="clear" w:color="auto" w:fill="F0F4F8"/>
          </w:tcPr>
          <w:p w14:paraId="523CC225" w14:textId="77777777" w:rsidR="00127410" w:rsidRDefault="00000000">
            <w:r>
              <w:rPr>
                <w:sz w:val="18"/>
              </w:rPr>
              <w:t>Min: 2 | Most Likely: 6 | Max: 12</w:t>
            </w:r>
          </w:p>
        </w:tc>
      </w:tr>
      <w:tr w:rsidR="00127410" w14:paraId="3D89ABCE" w14:textId="77777777">
        <w:trPr>
          <w:jc w:val="center"/>
        </w:trPr>
        <w:tc>
          <w:tcPr>
            <w:tcW w:w="4320" w:type="dxa"/>
          </w:tcPr>
          <w:p w14:paraId="5A759381" w14:textId="77777777" w:rsidR="00127410" w:rsidRDefault="00000000">
            <w:r>
              <w:rPr>
                <w:sz w:val="18"/>
              </w:rPr>
              <w:t>Vulnerability</w:t>
            </w:r>
          </w:p>
        </w:tc>
        <w:tc>
          <w:tcPr>
            <w:tcW w:w="4320" w:type="dxa"/>
          </w:tcPr>
          <w:p w14:paraId="6BA895DA" w14:textId="77777777" w:rsidR="00127410" w:rsidRDefault="00000000">
            <w:r>
              <w:rPr>
                <w:sz w:val="18"/>
              </w:rPr>
              <w:t>Current (No DLP/PAM): 50–70% | Target (With CASB+DLP+PAM): 8–20%</w:t>
            </w:r>
          </w:p>
        </w:tc>
      </w:tr>
      <w:tr w:rsidR="00127410" w14:paraId="56F3A163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6590CEFB" w14:textId="77777777" w:rsidR="00127410" w:rsidRDefault="00000000">
            <w:r>
              <w:rPr>
                <w:sz w:val="18"/>
              </w:rPr>
              <w:t>Primary Loss Range</w:t>
            </w:r>
          </w:p>
        </w:tc>
        <w:tc>
          <w:tcPr>
            <w:tcW w:w="4320" w:type="dxa"/>
            <w:shd w:val="clear" w:color="auto" w:fill="F0F4F8"/>
          </w:tcPr>
          <w:p w14:paraId="7F616885" w14:textId="77777777" w:rsidR="00127410" w:rsidRDefault="00000000">
            <w:r>
              <w:rPr>
                <w:sz w:val="18"/>
              </w:rPr>
              <w:t>£500K – £4M per event (regulatory fines, forensic investigation, legal costs)</w:t>
            </w:r>
          </w:p>
        </w:tc>
      </w:tr>
      <w:tr w:rsidR="00127410" w14:paraId="675CC4E8" w14:textId="77777777">
        <w:trPr>
          <w:jc w:val="center"/>
        </w:trPr>
        <w:tc>
          <w:tcPr>
            <w:tcW w:w="4320" w:type="dxa"/>
          </w:tcPr>
          <w:p w14:paraId="5B834288" w14:textId="77777777" w:rsidR="00127410" w:rsidRDefault="00000000">
            <w:r>
              <w:rPr>
                <w:sz w:val="18"/>
              </w:rPr>
              <w:t>Secondary Loss Range</w:t>
            </w:r>
          </w:p>
        </w:tc>
        <w:tc>
          <w:tcPr>
            <w:tcW w:w="4320" w:type="dxa"/>
          </w:tcPr>
          <w:p w14:paraId="559C4701" w14:textId="77777777" w:rsidR="00127410" w:rsidRDefault="00000000">
            <w:r>
              <w:rPr>
                <w:sz w:val="18"/>
              </w:rPr>
              <w:t>£2M – £8M per event (customer trust erosion, competitive disadvantage)</w:t>
            </w:r>
          </w:p>
        </w:tc>
      </w:tr>
      <w:tr w:rsidR="00127410" w14:paraId="308F82A9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6CFAE66C" w14:textId="77777777" w:rsidR="00127410" w:rsidRDefault="00000000">
            <w:r>
              <w:rPr>
                <w:sz w:val="18"/>
              </w:rPr>
              <w:t>ALE (Current State)</w:t>
            </w:r>
          </w:p>
        </w:tc>
        <w:tc>
          <w:tcPr>
            <w:tcW w:w="4320" w:type="dxa"/>
            <w:shd w:val="clear" w:color="auto" w:fill="F0F4F8"/>
          </w:tcPr>
          <w:p w14:paraId="7066BDE2" w14:textId="77777777" w:rsidR="00127410" w:rsidRDefault="00000000">
            <w:r>
              <w:rPr>
                <w:sz w:val="18"/>
              </w:rPr>
              <w:t>£3.0M – £16.8M (90th percentile: £9.6M)</w:t>
            </w:r>
          </w:p>
        </w:tc>
      </w:tr>
      <w:tr w:rsidR="00127410" w14:paraId="39C4CD72" w14:textId="77777777">
        <w:trPr>
          <w:jc w:val="center"/>
        </w:trPr>
        <w:tc>
          <w:tcPr>
            <w:tcW w:w="4320" w:type="dxa"/>
          </w:tcPr>
          <w:p w14:paraId="0C94551B" w14:textId="77777777" w:rsidR="00127410" w:rsidRDefault="00000000">
            <w:r>
              <w:rPr>
                <w:sz w:val="18"/>
              </w:rPr>
              <w:t>ALE (Target State)</w:t>
            </w:r>
          </w:p>
        </w:tc>
        <w:tc>
          <w:tcPr>
            <w:tcW w:w="4320" w:type="dxa"/>
          </w:tcPr>
          <w:p w14:paraId="319199C4" w14:textId="77777777" w:rsidR="00127410" w:rsidRDefault="00000000">
            <w:r>
              <w:rPr>
                <w:sz w:val="18"/>
              </w:rPr>
              <w:t>£200K – £1.9M (90th percentile: £1.1M)</w:t>
            </w:r>
          </w:p>
        </w:tc>
      </w:tr>
      <w:tr w:rsidR="00127410" w14:paraId="74AC5831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4E0A4EB4" w14:textId="77777777" w:rsidR="00127410" w:rsidRDefault="00000000">
            <w:r>
              <w:rPr>
                <w:sz w:val="18"/>
              </w:rPr>
              <w:t>Risk Reduction</w:t>
            </w:r>
          </w:p>
        </w:tc>
        <w:tc>
          <w:tcPr>
            <w:tcW w:w="4320" w:type="dxa"/>
            <w:shd w:val="clear" w:color="auto" w:fill="F0F4F8"/>
          </w:tcPr>
          <w:p w14:paraId="7C7A2362" w14:textId="77777777" w:rsidR="00127410" w:rsidRDefault="00000000">
            <w:r>
              <w:rPr>
                <w:sz w:val="18"/>
              </w:rPr>
              <w:t>~88% reduction in ALE through layered CASB, DLP, and PAM controls</w:t>
            </w:r>
          </w:p>
        </w:tc>
      </w:tr>
      <w:tr w:rsidR="00127410" w14:paraId="2E87F5F5" w14:textId="77777777">
        <w:trPr>
          <w:jc w:val="center"/>
        </w:trPr>
        <w:tc>
          <w:tcPr>
            <w:tcW w:w="4320" w:type="dxa"/>
          </w:tcPr>
          <w:p w14:paraId="12C037BB" w14:textId="77777777" w:rsidR="00127410" w:rsidRDefault="00000000">
            <w:r>
              <w:rPr>
                <w:sz w:val="18"/>
              </w:rPr>
              <w:t>Primary Control</w:t>
            </w:r>
          </w:p>
        </w:tc>
        <w:tc>
          <w:tcPr>
            <w:tcW w:w="4320" w:type="dxa"/>
          </w:tcPr>
          <w:p w14:paraId="7326B202" w14:textId="77777777" w:rsidR="00127410" w:rsidRDefault="00000000">
            <w:r>
              <w:rPr>
                <w:sz w:val="18"/>
              </w:rPr>
              <w:t>CASB + DLP (Phase 2); PAM with JIT access (Phase 3); UEBA analytics</w:t>
            </w:r>
          </w:p>
        </w:tc>
      </w:tr>
      <w:tr w:rsidR="00127410" w14:paraId="7B08EB9C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30F37BD1" w14:textId="77777777" w:rsidR="00127410" w:rsidRDefault="00000000">
            <w:r>
              <w:rPr>
                <w:sz w:val="18"/>
              </w:rPr>
              <w:t>Framework Mapping</w:t>
            </w:r>
          </w:p>
        </w:tc>
        <w:tc>
          <w:tcPr>
            <w:tcW w:w="4320" w:type="dxa"/>
            <w:shd w:val="clear" w:color="auto" w:fill="F0F4F8"/>
          </w:tcPr>
          <w:p w14:paraId="07E1C32B" w14:textId="77777777" w:rsidR="00127410" w:rsidRDefault="00000000">
            <w:r>
              <w:rPr>
                <w:sz w:val="18"/>
              </w:rPr>
              <w:t>ISO 27001 A.8.3–8.12; NIST PR.AC, PR.DS; DORA Art. 9</w:t>
            </w:r>
          </w:p>
        </w:tc>
      </w:tr>
    </w:tbl>
    <w:p w14:paraId="2043B935" w14:textId="77777777" w:rsidR="00127410" w:rsidRDefault="00127410"/>
    <w:p w14:paraId="6124F18E" w14:textId="77777777" w:rsidR="00127410" w:rsidRDefault="00000000">
      <w:pPr>
        <w:pStyle w:val="Heading3"/>
      </w:pPr>
      <w:r>
        <w:t>RISK-003: Ransomware / Extortion Attack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314"/>
        <w:gridCol w:w="4316"/>
      </w:tblGrid>
      <w:tr w:rsidR="00127410" w14:paraId="57EC34BB" w14:textId="77777777">
        <w:trPr>
          <w:jc w:val="center"/>
        </w:trPr>
        <w:tc>
          <w:tcPr>
            <w:tcW w:w="4320" w:type="dxa"/>
            <w:shd w:val="clear" w:color="auto" w:fill="2E4057"/>
          </w:tcPr>
          <w:p w14:paraId="6153C37A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Attribute</w:t>
            </w:r>
          </w:p>
        </w:tc>
        <w:tc>
          <w:tcPr>
            <w:tcW w:w="4320" w:type="dxa"/>
            <w:shd w:val="clear" w:color="auto" w:fill="2E4057"/>
          </w:tcPr>
          <w:p w14:paraId="657F18ED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Detail</w:t>
            </w:r>
          </w:p>
        </w:tc>
      </w:tr>
      <w:tr w:rsidR="00127410" w14:paraId="1F41ECA1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1BAFD4B5" w14:textId="77777777" w:rsidR="00127410" w:rsidRDefault="00000000">
            <w:r>
              <w:rPr>
                <w:sz w:val="18"/>
              </w:rPr>
              <w:t>Risk ID</w:t>
            </w:r>
          </w:p>
        </w:tc>
        <w:tc>
          <w:tcPr>
            <w:tcW w:w="4320" w:type="dxa"/>
            <w:shd w:val="clear" w:color="auto" w:fill="F0F4F8"/>
          </w:tcPr>
          <w:p w14:paraId="437FF760" w14:textId="77777777" w:rsidR="00127410" w:rsidRDefault="00000000">
            <w:r>
              <w:rPr>
                <w:sz w:val="18"/>
              </w:rPr>
              <w:t>RISK-003</w:t>
            </w:r>
          </w:p>
        </w:tc>
      </w:tr>
      <w:tr w:rsidR="00127410" w14:paraId="53B4AC2A" w14:textId="77777777">
        <w:trPr>
          <w:jc w:val="center"/>
        </w:trPr>
        <w:tc>
          <w:tcPr>
            <w:tcW w:w="4320" w:type="dxa"/>
          </w:tcPr>
          <w:p w14:paraId="3F1F8C4B" w14:textId="77777777" w:rsidR="00127410" w:rsidRDefault="00000000">
            <w:r>
              <w:rPr>
                <w:sz w:val="18"/>
              </w:rPr>
              <w:t>Threat Source</w:t>
            </w:r>
          </w:p>
        </w:tc>
        <w:tc>
          <w:tcPr>
            <w:tcW w:w="4320" w:type="dxa"/>
          </w:tcPr>
          <w:p w14:paraId="3855EEBD" w14:textId="77777777" w:rsidR="00127410" w:rsidRDefault="00000000">
            <w:r>
              <w:rPr>
                <w:sz w:val="18"/>
              </w:rPr>
              <w:t>Organised cybercriminal group deploying ransomware via phishing, supply chain compromise, or exploited vulnerability</w:t>
            </w:r>
          </w:p>
        </w:tc>
      </w:tr>
      <w:tr w:rsidR="00127410" w14:paraId="309CD242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553DA97D" w14:textId="77777777" w:rsidR="00127410" w:rsidRDefault="00000000">
            <w:r>
              <w:rPr>
                <w:sz w:val="18"/>
              </w:rPr>
              <w:lastRenderedPageBreak/>
              <w:t>Affected Assets</w:t>
            </w:r>
          </w:p>
        </w:tc>
        <w:tc>
          <w:tcPr>
            <w:tcW w:w="4320" w:type="dxa"/>
            <w:shd w:val="clear" w:color="auto" w:fill="F0F4F8"/>
          </w:tcPr>
          <w:p w14:paraId="399BFF45" w14:textId="77777777" w:rsidR="00127410" w:rsidRDefault="00000000">
            <w:r>
              <w:rPr>
                <w:sz w:val="18"/>
              </w:rPr>
              <w:t>Core banking ledger; customer databases; internal systems; backup infrastructure</w:t>
            </w:r>
          </w:p>
        </w:tc>
      </w:tr>
      <w:tr w:rsidR="00127410" w14:paraId="0E73BAAD" w14:textId="77777777">
        <w:trPr>
          <w:jc w:val="center"/>
        </w:trPr>
        <w:tc>
          <w:tcPr>
            <w:tcW w:w="4320" w:type="dxa"/>
          </w:tcPr>
          <w:p w14:paraId="0B3AFFCD" w14:textId="77777777" w:rsidR="00127410" w:rsidRDefault="00000000">
            <w:r>
              <w:rPr>
                <w:sz w:val="18"/>
              </w:rPr>
              <w:t>Qualitative Rating</w:t>
            </w:r>
          </w:p>
        </w:tc>
        <w:tc>
          <w:tcPr>
            <w:tcW w:w="4320" w:type="dxa"/>
          </w:tcPr>
          <w:p w14:paraId="71741C6F" w14:textId="77777777" w:rsidR="00127410" w:rsidRDefault="00000000">
            <w:r>
              <w:rPr>
                <w:sz w:val="18"/>
              </w:rPr>
              <w:t>Likelihood: HIGH | Impact: CRITICAL</w:t>
            </w:r>
          </w:p>
        </w:tc>
      </w:tr>
      <w:tr w:rsidR="00127410" w14:paraId="3B0FB681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08CD24FD" w14:textId="77777777" w:rsidR="00127410" w:rsidRDefault="00000000">
            <w:r>
              <w:rPr>
                <w:sz w:val="18"/>
              </w:rPr>
              <w:t>TEF (Annual)</w:t>
            </w:r>
          </w:p>
        </w:tc>
        <w:tc>
          <w:tcPr>
            <w:tcW w:w="4320" w:type="dxa"/>
            <w:shd w:val="clear" w:color="auto" w:fill="F0F4F8"/>
          </w:tcPr>
          <w:p w14:paraId="4110C2D8" w14:textId="77777777" w:rsidR="00127410" w:rsidRDefault="00000000">
            <w:r>
              <w:rPr>
                <w:sz w:val="18"/>
              </w:rPr>
              <w:t>Min: 3 | Most Likely: 8 | Max: 18</w:t>
            </w:r>
          </w:p>
        </w:tc>
      </w:tr>
      <w:tr w:rsidR="00127410" w14:paraId="2497FA80" w14:textId="77777777">
        <w:trPr>
          <w:jc w:val="center"/>
        </w:trPr>
        <w:tc>
          <w:tcPr>
            <w:tcW w:w="4320" w:type="dxa"/>
          </w:tcPr>
          <w:p w14:paraId="64D94B20" w14:textId="77777777" w:rsidR="00127410" w:rsidRDefault="00000000">
            <w:r>
              <w:rPr>
                <w:sz w:val="18"/>
              </w:rPr>
              <w:t>Vulnerability</w:t>
            </w:r>
          </w:p>
        </w:tc>
        <w:tc>
          <w:tcPr>
            <w:tcW w:w="4320" w:type="dxa"/>
          </w:tcPr>
          <w:p w14:paraId="7F2409C6" w14:textId="77777777" w:rsidR="00127410" w:rsidRDefault="00000000">
            <w:r>
              <w:rPr>
                <w:sz w:val="18"/>
              </w:rPr>
              <w:t>Current (No CWPP/ZTA): 40–65% | Target (With CWPP+BCP/DRP+SOC): 5–18%</w:t>
            </w:r>
          </w:p>
        </w:tc>
      </w:tr>
      <w:tr w:rsidR="00127410" w14:paraId="34D0AA9C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7571C6DB" w14:textId="77777777" w:rsidR="00127410" w:rsidRDefault="00000000">
            <w:r>
              <w:rPr>
                <w:sz w:val="18"/>
              </w:rPr>
              <w:t>Primary Loss Range</w:t>
            </w:r>
          </w:p>
        </w:tc>
        <w:tc>
          <w:tcPr>
            <w:tcW w:w="4320" w:type="dxa"/>
            <w:shd w:val="clear" w:color="auto" w:fill="F0F4F8"/>
          </w:tcPr>
          <w:p w14:paraId="28E6AEE7" w14:textId="77777777" w:rsidR="00127410" w:rsidRDefault="00000000">
            <w:r>
              <w:rPr>
                <w:sz w:val="18"/>
              </w:rPr>
              <w:t>£1M – £8M per event (ransom consideration, system rebuild, regulatory penalties)</w:t>
            </w:r>
          </w:p>
        </w:tc>
      </w:tr>
      <w:tr w:rsidR="00127410" w14:paraId="2A6107E0" w14:textId="77777777">
        <w:trPr>
          <w:jc w:val="center"/>
        </w:trPr>
        <w:tc>
          <w:tcPr>
            <w:tcW w:w="4320" w:type="dxa"/>
          </w:tcPr>
          <w:p w14:paraId="442E0295" w14:textId="77777777" w:rsidR="00127410" w:rsidRDefault="00000000">
            <w:r>
              <w:rPr>
                <w:sz w:val="18"/>
              </w:rPr>
              <w:t>Secondary Loss Range</w:t>
            </w:r>
          </w:p>
        </w:tc>
        <w:tc>
          <w:tcPr>
            <w:tcW w:w="4320" w:type="dxa"/>
          </w:tcPr>
          <w:p w14:paraId="3425D4CA" w14:textId="77777777" w:rsidR="00127410" w:rsidRDefault="00000000">
            <w:r>
              <w:rPr>
                <w:sz w:val="18"/>
              </w:rPr>
              <w:t>£3M – £15M per event (operational downtime, customer exodus, market confidence)</w:t>
            </w:r>
          </w:p>
        </w:tc>
      </w:tr>
      <w:tr w:rsidR="00127410" w14:paraId="0DC419B5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6777E295" w14:textId="77777777" w:rsidR="00127410" w:rsidRDefault="00000000">
            <w:r>
              <w:rPr>
                <w:sz w:val="18"/>
              </w:rPr>
              <w:t>ALE (Current State)</w:t>
            </w:r>
          </w:p>
        </w:tc>
        <w:tc>
          <w:tcPr>
            <w:tcW w:w="4320" w:type="dxa"/>
            <w:shd w:val="clear" w:color="auto" w:fill="F0F4F8"/>
          </w:tcPr>
          <w:p w14:paraId="7D3C4F88" w14:textId="77777777" w:rsidR="00127410" w:rsidRDefault="00000000">
            <w:r>
              <w:rPr>
                <w:sz w:val="18"/>
              </w:rPr>
              <w:t>£4.8M – £26.9M (90th percentile: £14.7M)</w:t>
            </w:r>
          </w:p>
        </w:tc>
      </w:tr>
      <w:tr w:rsidR="00127410" w14:paraId="663B3A53" w14:textId="77777777">
        <w:trPr>
          <w:jc w:val="center"/>
        </w:trPr>
        <w:tc>
          <w:tcPr>
            <w:tcW w:w="4320" w:type="dxa"/>
          </w:tcPr>
          <w:p w14:paraId="371AEDA0" w14:textId="77777777" w:rsidR="00127410" w:rsidRDefault="00000000">
            <w:r>
              <w:rPr>
                <w:sz w:val="18"/>
              </w:rPr>
              <w:t>ALE (Target State)</w:t>
            </w:r>
          </w:p>
        </w:tc>
        <w:tc>
          <w:tcPr>
            <w:tcW w:w="4320" w:type="dxa"/>
          </w:tcPr>
          <w:p w14:paraId="1F1AE7CC" w14:textId="77777777" w:rsidR="00127410" w:rsidRDefault="00000000">
            <w:r>
              <w:rPr>
                <w:sz w:val="18"/>
              </w:rPr>
              <w:t>£400K – £3.7M (90th percentile: £2.1M)</w:t>
            </w:r>
          </w:p>
        </w:tc>
      </w:tr>
      <w:tr w:rsidR="00127410" w14:paraId="53AD18E3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09396B5B" w14:textId="77777777" w:rsidR="00127410" w:rsidRDefault="00000000">
            <w:r>
              <w:rPr>
                <w:sz w:val="18"/>
              </w:rPr>
              <w:t>Risk Reduction</w:t>
            </w:r>
          </w:p>
        </w:tc>
        <w:tc>
          <w:tcPr>
            <w:tcW w:w="4320" w:type="dxa"/>
            <w:shd w:val="clear" w:color="auto" w:fill="F0F4F8"/>
          </w:tcPr>
          <w:p w14:paraId="7AD8366E" w14:textId="77777777" w:rsidR="00127410" w:rsidRDefault="00000000">
            <w:r>
              <w:rPr>
                <w:sz w:val="18"/>
              </w:rPr>
              <w:t>~86% reduction in ALE through defence-in-depth and rapid recovery capability</w:t>
            </w:r>
          </w:p>
        </w:tc>
      </w:tr>
      <w:tr w:rsidR="00127410" w14:paraId="058C3AFA" w14:textId="77777777">
        <w:trPr>
          <w:jc w:val="center"/>
        </w:trPr>
        <w:tc>
          <w:tcPr>
            <w:tcW w:w="4320" w:type="dxa"/>
          </w:tcPr>
          <w:p w14:paraId="32A0B121" w14:textId="77777777" w:rsidR="00127410" w:rsidRDefault="00000000">
            <w:r>
              <w:rPr>
                <w:sz w:val="18"/>
              </w:rPr>
              <w:t>Primary Control</w:t>
            </w:r>
          </w:p>
        </w:tc>
        <w:tc>
          <w:tcPr>
            <w:tcW w:w="4320" w:type="dxa"/>
          </w:tcPr>
          <w:p w14:paraId="59B811B5" w14:textId="77777777" w:rsidR="00127410" w:rsidRDefault="00000000">
            <w:r>
              <w:rPr>
                <w:sz w:val="18"/>
              </w:rPr>
              <w:t>CWPP runtime protection (Phase 2); BCP/DRP with &lt;30min RTO (Phase 1–2); SOC monitoring (Phase 4)</w:t>
            </w:r>
          </w:p>
        </w:tc>
      </w:tr>
      <w:tr w:rsidR="00127410" w14:paraId="606DF3CB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6FBF43B6" w14:textId="77777777" w:rsidR="00127410" w:rsidRDefault="00000000">
            <w:r>
              <w:rPr>
                <w:sz w:val="18"/>
              </w:rPr>
              <w:t>Framework Mapping</w:t>
            </w:r>
          </w:p>
        </w:tc>
        <w:tc>
          <w:tcPr>
            <w:tcW w:w="4320" w:type="dxa"/>
            <w:shd w:val="clear" w:color="auto" w:fill="F0F4F8"/>
          </w:tcPr>
          <w:p w14:paraId="1795947B" w14:textId="77777777" w:rsidR="00127410" w:rsidRDefault="00000000">
            <w:r>
              <w:rPr>
                <w:sz w:val="18"/>
              </w:rPr>
              <w:t>NIST DE.CM, RS.RP; ISO 27001 A.5.24–5.28, A.8.7; DORA Art. 11–14</w:t>
            </w:r>
          </w:p>
        </w:tc>
      </w:tr>
    </w:tbl>
    <w:p w14:paraId="752EAD07" w14:textId="77777777" w:rsidR="00127410" w:rsidRDefault="00127410"/>
    <w:p w14:paraId="1AB0D02B" w14:textId="77777777" w:rsidR="00127410" w:rsidRDefault="00000000">
      <w:pPr>
        <w:pStyle w:val="Heading3"/>
      </w:pPr>
      <w:r>
        <w:t>RISK-004: BYOD Data Leakage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314"/>
        <w:gridCol w:w="4316"/>
      </w:tblGrid>
      <w:tr w:rsidR="00127410" w14:paraId="17F81FD4" w14:textId="77777777">
        <w:trPr>
          <w:jc w:val="center"/>
        </w:trPr>
        <w:tc>
          <w:tcPr>
            <w:tcW w:w="4320" w:type="dxa"/>
            <w:shd w:val="clear" w:color="auto" w:fill="2E4057"/>
          </w:tcPr>
          <w:p w14:paraId="0C2EC762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Attribute</w:t>
            </w:r>
          </w:p>
        </w:tc>
        <w:tc>
          <w:tcPr>
            <w:tcW w:w="4320" w:type="dxa"/>
            <w:shd w:val="clear" w:color="auto" w:fill="2E4057"/>
          </w:tcPr>
          <w:p w14:paraId="79A3B232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Detail</w:t>
            </w:r>
          </w:p>
        </w:tc>
      </w:tr>
      <w:tr w:rsidR="00127410" w14:paraId="51542836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24E9BEA4" w14:textId="77777777" w:rsidR="00127410" w:rsidRDefault="00000000">
            <w:r>
              <w:rPr>
                <w:sz w:val="18"/>
              </w:rPr>
              <w:t>Risk ID</w:t>
            </w:r>
          </w:p>
        </w:tc>
        <w:tc>
          <w:tcPr>
            <w:tcW w:w="4320" w:type="dxa"/>
            <w:shd w:val="clear" w:color="auto" w:fill="F0F4F8"/>
          </w:tcPr>
          <w:p w14:paraId="36435D04" w14:textId="77777777" w:rsidR="00127410" w:rsidRDefault="00000000">
            <w:r>
              <w:rPr>
                <w:sz w:val="18"/>
              </w:rPr>
              <w:t>RISK-004</w:t>
            </w:r>
          </w:p>
        </w:tc>
      </w:tr>
      <w:tr w:rsidR="00127410" w14:paraId="7DDA0AB8" w14:textId="77777777">
        <w:trPr>
          <w:jc w:val="center"/>
        </w:trPr>
        <w:tc>
          <w:tcPr>
            <w:tcW w:w="4320" w:type="dxa"/>
          </w:tcPr>
          <w:p w14:paraId="24977D94" w14:textId="77777777" w:rsidR="00127410" w:rsidRDefault="00000000">
            <w:r>
              <w:rPr>
                <w:sz w:val="18"/>
              </w:rPr>
              <w:t>Threat Source</w:t>
            </w:r>
          </w:p>
        </w:tc>
        <w:tc>
          <w:tcPr>
            <w:tcW w:w="4320" w:type="dxa"/>
          </w:tcPr>
          <w:p w14:paraId="62B96810" w14:textId="77777777" w:rsidR="00127410" w:rsidRDefault="00000000">
            <w:r>
              <w:rPr>
                <w:sz w:val="18"/>
              </w:rPr>
              <w:t>Data leakage through unmanaged personal devices: malware on BYOD endpoints, accidental data sharing, lost/stolen devices</w:t>
            </w:r>
          </w:p>
        </w:tc>
      </w:tr>
      <w:tr w:rsidR="00127410" w14:paraId="4B4A920C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30DA3E0A" w14:textId="77777777" w:rsidR="00127410" w:rsidRDefault="00000000">
            <w:r>
              <w:rPr>
                <w:sz w:val="18"/>
              </w:rPr>
              <w:t>Affected Assets</w:t>
            </w:r>
          </w:p>
        </w:tc>
        <w:tc>
          <w:tcPr>
            <w:tcW w:w="4320" w:type="dxa"/>
            <w:shd w:val="clear" w:color="auto" w:fill="F0F4F8"/>
          </w:tcPr>
          <w:p w14:paraId="3F8ACF96" w14:textId="77777777" w:rsidR="00127410" w:rsidRDefault="00000000">
            <w:r>
              <w:rPr>
                <w:sz w:val="18"/>
              </w:rPr>
              <w:t>Corporate communications; customer PII accessed via mobile apps; authentication credentials</w:t>
            </w:r>
          </w:p>
        </w:tc>
      </w:tr>
      <w:tr w:rsidR="00127410" w14:paraId="670C1541" w14:textId="77777777">
        <w:trPr>
          <w:jc w:val="center"/>
        </w:trPr>
        <w:tc>
          <w:tcPr>
            <w:tcW w:w="4320" w:type="dxa"/>
          </w:tcPr>
          <w:p w14:paraId="06D1A710" w14:textId="77777777" w:rsidR="00127410" w:rsidRDefault="00000000">
            <w:r>
              <w:rPr>
                <w:sz w:val="18"/>
              </w:rPr>
              <w:t>Qualitative Rating</w:t>
            </w:r>
          </w:p>
        </w:tc>
        <w:tc>
          <w:tcPr>
            <w:tcW w:w="4320" w:type="dxa"/>
          </w:tcPr>
          <w:p w14:paraId="3402B5FA" w14:textId="77777777" w:rsidR="00127410" w:rsidRDefault="00000000">
            <w:r>
              <w:rPr>
                <w:sz w:val="18"/>
              </w:rPr>
              <w:t>Likelihood: MEDIUM | Impact: HIGH</w:t>
            </w:r>
          </w:p>
        </w:tc>
      </w:tr>
      <w:tr w:rsidR="00127410" w14:paraId="5FCFA5A2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55984BDC" w14:textId="77777777" w:rsidR="00127410" w:rsidRDefault="00000000">
            <w:r>
              <w:rPr>
                <w:sz w:val="18"/>
              </w:rPr>
              <w:t>TEF (Annual)</w:t>
            </w:r>
          </w:p>
        </w:tc>
        <w:tc>
          <w:tcPr>
            <w:tcW w:w="4320" w:type="dxa"/>
            <w:shd w:val="clear" w:color="auto" w:fill="F0F4F8"/>
          </w:tcPr>
          <w:p w14:paraId="4EA30A51" w14:textId="77777777" w:rsidR="00127410" w:rsidRDefault="00000000">
            <w:r>
              <w:rPr>
                <w:sz w:val="18"/>
              </w:rPr>
              <w:t>Min: 5 | Most Likely: 12 | Max: 25</w:t>
            </w:r>
          </w:p>
        </w:tc>
      </w:tr>
      <w:tr w:rsidR="00127410" w14:paraId="770B1929" w14:textId="77777777">
        <w:trPr>
          <w:jc w:val="center"/>
        </w:trPr>
        <w:tc>
          <w:tcPr>
            <w:tcW w:w="4320" w:type="dxa"/>
          </w:tcPr>
          <w:p w14:paraId="3C121A62" w14:textId="77777777" w:rsidR="00127410" w:rsidRDefault="00000000">
            <w:r>
              <w:rPr>
                <w:sz w:val="18"/>
              </w:rPr>
              <w:t>Vulnerability</w:t>
            </w:r>
          </w:p>
        </w:tc>
        <w:tc>
          <w:tcPr>
            <w:tcW w:w="4320" w:type="dxa"/>
          </w:tcPr>
          <w:p w14:paraId="1D8AF5F9" w14:textId="77777777" w:rsidR="00127410" w:rsidRDefault="00000000">
            <w:r>
              <w:rPr>
                <w:sz w:val="18"/>
              </w:rPr>
              <w:t>Current (No MAM/Enclave): 35–55% | Target (With Secure Enclave+MAM+DLP): 3–10%</w:t>
            </w:r>
          </w:p>
        </w:tc>
      </w:tr>
      <w:tr w:rsidR="00127410" w14:paraId="04B8A318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7FD13393" w14:textId="77777777" w:rsidR="00127410" w:rsidRDefault="00000000">
            <w:r>
              <w:rPr>
                <w:sz w:val="18"/>
              </w:rPr>
              <w:t>Primary Loss Range</w:t>
            </w:r>
          </w:p>
        </w:tc>
        <w:tc>
          <w:tcPr>
            <w:tcW w:w="4320" w:type="dxa"/>
            <w:shd w:val="clear" w:color="auto" w:fill="F0F4F8"/>
          </w:tcPr>
          <w:p w14:paraId="17B48E02" w14:textId="77777777" w:rsidR="00127410" w:rsidRDefault="00000000">
            <w:r>
              <w:rPr>
                <w:sz w:val="18"/>
              </w:rPr>
              <w:t>£100K – £1.5M per event (device wipe, data recovery, GDPR notification)</w:t>
            </w:r>
          </w:p>
        </w:tc>
      </w:tr>
      <w:tr w:rsidR="00127410" w14:paraId="1742AD7F" w14:textId="77777777">
        <w:trPr>
          <w:jc w:val="center"/>
        </w:trPr>
        <w:tc>
          <w:tcPr>
            <w:tcW w:w="4320" w:type="dxa"/>
          </w:tcPr>
          <w:p w14:paraId="3A558452" w14:textId="77777777" w:rsidR="00127410" w:rsidRDefault="00000000">
            <w:r>
              <w:rPr>
                <w:sz w:val="18"/>
              </w:rPr>
              <w:lastRenderedPageBreak/>
              <w:t>Secondary Loss Range</w:t>
            </w:r>
          </w:p>
        </w:tc>
        <w:tc>
          <w:tcPr>
            <w:tcW w:w="4320" w:type="dxa"/>
          </w:tcPr>
          <w:p w14:paraId="7DC204E4" w14:textId="77777777" w:rsidR="00127410" w:rsidRDefault="00000000">
            <w:r>
              <w:rPr>
                <w:sz w:val="18"/>
              </w:rPr>
              <w:t>£200K – £2M per event (employee trust, regulatory scrutiny)</w:t>
            </w:r>
          </w:p>
        </w:tc>
      </w:tr>
      <w:tr w:rsidR="00127410" w14:paraId="46D90DE4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74068E9E" w14:textId="77777777" w:rsidR="00127410" w:rsidRDefault="00000000">
            <w:r>
              <w:rPr>
                <w:sz w:val="18"/>
              </w:rPr>
              <w:t>ALE (Current State)</w:t>
            </w:r>
          </w:p>
        </w:tc>
        <w:tc>
          <w:tcPr>
            <w:tcW w:w="4320" w:type="dxa"/>
            <w:shd w:val="clear" w:color="auto" w:fill="F0F4F8"/>
          </w:tcPr>
          <w:p w14:paraId="3A9A270E" w14:textId="77777777" w:rsidR="00127410" w:rsidRDefault="00000000">
            <w:r>
              <w:rPr>
                <w:sz w:val="18"/>
              </w:rPr>
              <w:t>£630K – £4.8M (90th percentile: £2.9M)</w:t>
            </w:r>
          </w:p>
        </w:tc>
      </w:tr>
      <w:tr w:rsidR="00127410" w14:paraId="5C57EDD6" w14:textId="77777777">
        <w:trPr>
          <w:jc w:val="center"/>
        </w:trPr>
        <w:tc>
          <w:tcPr>
            <w:tcW w:w="4320" w:type="dxa"/>
          </w:tcPr>
          <w:p w14:paraId="0FF6BA73" w14:textId="77777777" w:rsidR="00127410" w:rsidRDefault="00000000">
            <w:r>
              <w:rPr>
                <w:sz w:val="18"/>
              </w:rPr>
              <w:t>ALE (Target State)</w:t>
            </w:r>
          </w:p>
        </w:tc>
        <w:tc>
          <w:tcPr>
            <w:tcW w:w="4320" w:type="dxa"/>
          </w:tcPr>
          <w:p w14:paraId="075B805C" w14:textId="77777777" w:rsidR="00127410" w:rsidRDefault="00000000">
            <w:r>
              <w:rPr>
                <w:sz w:val="18"/>
              </w:rPr>
              <w:t>£45K – £350K (90th percentile: £210K)</w:t>
            </w:r>
          </w:p>
        </w:tc>
      </w:tr>
      <w:tr w:rsidR="00127410" w14:paraId="041FE357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344C0F39" w14:textId="77777777" w:rsidR="00127410" w:rsidRDefault="00000000">
            <w:r>
              <w:rPr>
                <w:sz w:val="18"/>
              </w:rPr>
              <w:t>Risk Reduction</w:t>
            </w:r>
          </w:p>
        </w:tc>
        <w:tc>
          <w:tcPr>
            <w:tcW w:w="4320" w:type="dxa"/>
            <w:shd w:val="clear" w:color="auto" w:fill="F0F4F8"/>
          </w:tcPr>
          <w:p w14:paraId="64F0C76F" w14:textId="77777777" w:rsidR="00127410" w:rsidRDefault="00000000">
            <w:r>
              <w:rPr>
                <w:sz w:val="18"/>
              </w:rPr>
              <w:t>~93% reduction in ALE through enclave isolation and MAM</w:t>
            </w:r>
          </w:p>
        </w:tc>
      </w:tr>
      <w:tr w:rsidR="00127410" w14:paraId="3618BBA9" w14:textId="77777777">
        <w:trPr>
          <w:jc w:val="center"/>
        </w:trPr>
        <w:tc>
          <w:tcPr>
            <w:tcW w:w="4320" w:type="dxa"/>
          </w:tcPr>
          <w:p w14:paraId="5661374D" w14:textId="77777777" w:rsidR="00127410" w:rsidRDefault="00000000">
            <w:r>
              <w:rPr>
                <w:sz w:val="18"/>
              </w:rPr>
              <w:t>Primary Control</w:t>
            </w:r>
          </w:p>
        </w:tc>
        <w:tc>
          <w:tcPr>
            <w:tcW w:w="4320" w:type="dxa"/>
          </w:tcPr>
          <w:p w14:paraId="6A9375BD" w14:textId="77777777" w:rsidR="00127410" w:rsidRDefault="00000000">
            <w:r>
              <w:rPr>
                <w:sz w:val="18"/>
              </w:rPr>
              <w:t>Secure Enclave + MAM (Phase 1–2); Remote wipe capability; BYOD AUP enforcement</w:t>
            </w:r>
          </w:p>
        </w:tc>
      </w:tr>
      <w:tr w:rsidR="00127410" w14:paraId="1C0BD56D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6DE420BA" w14:textId="77777777" w:rsidR="00127410" w:rsidRDefault="00000000">
            <w:r>
              <w:rPr>
                <w:sz w:val="18"/>
              </w:rPr>
              <w:t>Framework Mapping</w:t>
            </w:r>
          </w:p>
        </w:tc>
        <w:tc>
          <w:tcPr>
            <w:tcW w:w="4320" w:type="dxa"/>
            <w:shd w:val="clear" w:color="auto" w:fill="F0F4F8"/>
          </w:tcPr>
          <w:p w14:paraId="63C873B5" w14:textId="77777777" w:rsidR="00127410" w:rsidRDefault="00000000">
            <w:r>
              <w:rPr>
                <w:sz w:val="18"/>
              </w:rPr>
              <w:t>ISO 27001 A.6.7, A.8.1; GDPR Art. 32; NIST PR.DS</w:t>
            </w:r>
          </w:p>
        </w:tc>
      </w:tr>
    </w:tbl>
    <w:p w14:paraId="0D0774F1" w14:textId="77777777" w:rsidR="00127410" w:rsidRDefault="00127410"/>
    <w:p w14:paraId="721DF9D2" w14:textId="77777777" w:rsidR="00127410" w:rsidRDefault="00000000">
      <w:pPr>
        <w:pStyle w:val="Heading3"/>
      </w:pPr>
      <w:r>
        <w:t>RISK-005: Third-Party / Supply Chain Breach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315"/>
        <w:gridCol w:w="4315"/>
      </w:tblGrid>
      <w:tr w:rsidR="00127410" w14:paraId="140989B8" w14:textId="77777777">
        <w:trPr>
          <w:jc w:val="center"/>
        </w:trPr>
        <w:tc>
          <w:tcPr>
            <w:tcW w:w="4320" w:type="dxa"/>
            <w:shd w:val="clear" w:color="auto" w:fill="2E4057"/>
          </w:tcPr>
          <w:p w14:paraId="0305D6F1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Attribute</w:t>
            </w:r>
          </w:p>
        </w:tc>
        <w:tc>
          <w:tcPr>
            <w:tcW w:w="4320" w:type="dxa"/>
            <w:shd w:val="clear" w:color="auto" w:fill="2E4057"/>
          </w:tcPr>
          <w:p w14:paraId="12139360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Detail</w:t>
            </w:r>
          </w:p>
        </w:tc>
      </w:tr>
      <w:tr w:rsidR="00127410" w14:paraId="0C19AC40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4CF51908" w14:textId="77777777" w:rsidR="00127410" w:rsidRDefault="00000000">
            <w:r>
              <w:rPr>
                <w:sz w:val="18"/>
              </w:rPr>
              <w:t>Risk ID</w:t>
            </w:r>
          </w:p>
        </w:tc>
        <w:tc>
          <w:tcPr>
            <w:tcW w:w="4320" w:type="dxa"/>
            <w:shd w:val="clear" w:color="auto" w:fill="F0F4F8"/>
          </w:tcPr>
          <w:p w14:paraId="71CE22CB" w14:textId="77777777" w:rsidR="00127410" w:rsidRDefault="00000000">
            <w:r>
              <w:rPr>
                <w:sz w:val="18"/>
              </w:rPr>
              <w:t>RISK-005</w:t>
            </w:r>
          </w:p>
        </w:tc>
      </w:tr>
      <w:tr w:rsidR="00127410" w14:paraId="555D7BCC" w14:textId="77777777">
        <w:trPr>
          <w:jc w:val="center"/>
        </w:trPr>
        <w:tc>
          <w:tcPr>
            <w:tcW w:w="4320" w:type="dxa"/>
          </w:tcPr>
          <w:p w14:paraId="4FF1D94F" w14:textId="77777777" w:rsidR="00127410" w:rsidRDefault="00000000">
            <w:r>
              <w:rPr>
                <w:sz w:val="18"/>
              </w:rPr>
              <w:t>Threat Source</w:t>
            </w:r>
          </w:p>
        </w:tc>
        <w:tc>
          <w:tcPr>
            <w:tcW w:w="4320" w:type="dxa"/>
          </w:tcPr>
          <w:p w14:paraId="0C2A7F2C" w14:textId="77777777" w:rsidR="00127410" w:rsidRDefault="00000000">
            <w:r>
              <w:rPr>
                <w:sz w:val="18"/>
              </w:rPr>
              <w:t>Compromise of a Cloud Service Provider, SaaS vendor, or open-source dependency leading to cascading breach of FSB systems</w:t>
            </w:r>
          </w:p>
        </w:tc>
      </w:tr>
      <w:tr w:rsidR="00127410" w14:paraId="5D9E5812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7E631F84" w14:textId="77777777" w:rsidR="00127410" w:rsidRDefault="00000000">
            <w:r>
              <w:rPr>
                <w:sz w:val="18"/>
              </w:rPr>
              <w:t>Affected Assets</w:t>
            </w:r>
          </w:p>
        </w:tc>
        <w:tc>
          <w:tcPr>
            <w:tcW w:w="4320" w:type="dxa"/>
            <w:shd w:val="clear" w:color="auto" w:fill="F0F4F8"/>
          </w:tcPr>
          <w:p w14:paraId="3BBD0610" w14:textId="77777777" w:rsidR="00127410" w:rsidRDefault="00000000">
            <w:r>
              <w:rPr>
                <w:sz w:val="18"/>
              </w:rPr>
              <w:t>All cloud-hosted infrastructure; API integrations; payment processing chains</w:t>
            </w:r>
          </w:p>
        </w:tc>
      </w:tr>
      <w:tr w:rsidR="00127410" w14:paraId="6EBA9D76" w14:textId="77777777">
        <w:trPr>
          <w:jc w:val="center"/>
        </w:trPr>
        <w:tc>
          <w:tcPr>
            <w:tcW w:w="4320" w:type="dxa"/>
          </w:tcPr>
          <w:p w14:paraId="1EA59697" w14:textId="77777777" w:rsidR="00127410" w:rsidRDefault="00000000">
            <w:r>
              <w:rPr>
                <w:sz w:val="18"/>
              </w:rPr>
              <w:t>Qualitative Rating</w:t>
            </w:r>
          </w:p>
        </w:tc>
        <w:tc>
          <w:tcPr>
            <w:tcW w:w="4320" w:type="dxa"/>
          </w:tcPr>
          <w:p w14:paraId="518ECF7C" w14:textId="77777777" w:rsidR="00127410" w:rsidRDefault="00000000">
            <w:r>
              <w:rPr>
                <w:sz w:val="18"/>
              </w:rPr>
              <w:t>Likelihood: MEDIUM | Impact: HIGH</w:t>
            </w:r>
          </w:p>
        </w:tc>
      </w:tr>
      <w:tr w:rsidR="00127410" w14:paraId="1DD120F2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0837BAC5" w14:textId="77777777" w:rsidR="00127410" w:rsidRDefault="00000000">
            <w:r>
              <w:rPr>
                <w:sz w:val="18"/>
              </w:rPr>
              <w:t>TEF (Annual)</w:t>
            </w:r>
          </w:p>
        </w:tc>
        <w:tc>
          <w:tcPr>
            <w:tcW w:w="4320" w:type="dxa"/>
            <w:shd w:val="clear" w:color="auto" w:fill="F0F4F8"/>
          </w:tcPr>
          <w:p w14:paraId="5D04D7A1" w14:textId="77777777" w:rsidR="00127410" w:rsidRDefault="00000000">
            <w:r>
              <w:rPr>
                <w:sz w:val="18"/>
              </w:rPr>
              <w:t>Min: 1 | Most Likely: 3 | Max: 8</w:t>
            </w:r>
          </w:p>
        </w:tc>
      </w:tr>
      <w:tr w:rsidR="00127410" w14:paraId="475CD5AB" w14:textId="77777777">
        <w:trPr>
          <w:jc w:val="center"/>
        </w:trPr>
        <w:tc>
          <w:tcPr>
            <w:tcW w:w="4320" w:type="dxa"/>
          </w:tcPr>
          <w:p w14:paraId="7AE99524" w14:textId="77777777" w:rsidR="00127410" w:rsidRDefault="00000000">
            <w:r>
              <w:rPr>
                <w:sz w:val="18"/>
              </w:rPr>
              <w:t>Vulnerability</w:t>
            </w:r>
          </w:p>
        </w:tc>
        <w:tc>
          <w:tcPr>
            <w:tcW w:w="4320" w:type="dxa"/>
          </w:tcPr>
          <w:p w14:paraId="6E0B6CE1" w14:textId="77777777" w:rsidR="00127410" w:rsidRDefault="00000000">
            <w:r>
              <w:rPr>
                <w:sz w:val="18"/>
              </w:rPr>
              <w:t>Current (No TPRM): 30–50% | Target (With SLA+CIEM+Audit): 8–18%</w:t>
            </w:r>
          </w:p>
        </w:tc>
      </w:tr>
      <w:tr w:rsidR="00127410" w14:paraId="6F0D1F47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4F7DEA8B" w14:textId="77777777" w:rsidR="00127410" w:rsidRDefault="00000000">
            <w:r>
              <w:rPr>
                <w:sz w:val="18"/>
              </w:rPr>
              <w:t>Primary Loss Range</w:t>
            </w:r>
          </w:p>
        </w:tc>
        <w:tc>
          <w:tcPr>
            <w:tcW w:w="4320" w:type="dxa"/>
            <w:shd w:val="clear" w:color="auto" w:fill="F0F4F8"/>
          </w:tcPr>
          <w:p w14:paraId="2C9BC624" w14:textId="77777777" w:rsidR="00127410" w:rsidRDefault="00000000">
            <w:r>
              <w:rPr>
                <w:sz w:val="18"/>
              </w:rPr>
              <w:t>£500K – £5M per event (forensics, vendor transition, regulatory reporting)</w:t>
            </w:r>
          </w:p>
        </w:tc>
      </w:tr>
      <w:tr w:rsidR="00127410" w14:paraId="7DF6AF48" w14:textId="77777777">
        <w:trPr>
          <w:jc w:val="center"/>
        </w:trPr>
        <w:tc>
          <w:tcPr>
            <w:tcW w:w="4320" w:type="dxa"/>
          </w:tcPr>
          <w:p w14:paraId="6575DC94" w14:textId="77777777" w:rsidR="00127410" w:rsidRDefault="00000000">
            <w:r>
              <w:rPr>
                <w:sz w:val="18"/>
              </w:rPr>
              <w:t>Secondary Loss Range</w:t>
            </w:r>
          </w:p>
        </w:tc>
        <w:tc>
          <w:tcPr>
            <w:tcW w:w="4320" w:type="dxa"/>
          </w:tcPr>
          <w:p w14:paraId="759C0848" w14:textId="77777777" w:rsidR="00127410" w:rsidRDefault="00000000">
            <w:r>
              <w:rPr>
                <w:sz w:val="18"/>
              </w:rPr>
              <w:t>£1M – £7M per event (service disruption, regulatory sanctions, litigation)</w:t>
            </w:r>
          </w:p>
        </w:tc>
      </w:tr>
      <w:tr w:rsidR="00127410" w14:paraId="51F49F07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7BAF6A65" w14:textId="77777777" w:rsidR="00127410" w:rsidRDefault="00000000">
            <w:r>
              <w:rPr>
                <w:sz w:val="18"/>
              </w:rPr>
              <w:t>ALE (Current State)</w:t>
            </w:r>
          </w:p>
        </w:tc>
        <w:tc>
          <w:tcPr>
            <w:tcW w:w="4320" w:type="dxa"/>
            <w:shd w:val="clear" w:color="auto" w:fill="F0F4F8"/>
          </w:tcPr>
          <w:p w14:paraId="13918DAB" w14:textId="77777777" w:rsidR="00127410" w:rsidRDefault="00000000">
            <w:r>
              <w:rPr>
                <w:sz w:val="18"/>
              </w:rPr>
              <w:t>£450K – £9.6M (90th percentile: £4.8M)</w:t>
            </w:r>
          </w:p>
        </w:tc>
      </w:tr>
      <w:tr w:rsidR="00127410" w14:paraId="373B9478" w14:textId="77777777">
        <w:trPr>
          <w:jc w:val="center"/>
        </w:trPr>
        <w:tc>
          <w:tcPr>
            <w:tcW w:w="4320" w:type="dxa"/>
          </w:tcPr>
          <w:p w14:paraId="3085BB71" w14:textId="77777777" w:rsidR="00127410" w:rsidRDefault="00000000">
            <w:r>
              <w:rPr>
                <w:sz w:val="18"/>
              </w:rPr>
              <w:t>ALE (Target State)</w:t>
            </w:r>
          </w:p>
        </w:tc>
        <w:tc>
          <w:tcPr>
            <w:tcW w:w="4320" w:type="dxa"/>
          </w:tcPr>
          <w:p w14:paraId="1574A71C" w14:textId="77777777" w:rsidR="00127410" w:rsidRDefault="00000000">
            <w:r>
              <w:rPr>
                <w:sz w:val="18"/>
              </w:rPr>
              <w:t>£72K – £1.7M (90th percentile: £940K)</w:t>
            </w:r>
          </w:p>
        </w:tc>
      </w:tr>
      <w:tr w:rsidR="00127410" w14:paraId="1C5EB930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03BB9B63" w14:textId="77777777" w:rsidR="00127410" w:rsidRDefault="00000000">
            <w:r>
              <w:rPr>
                <w:sz w:val="18"/>
              </w:rPr>
              <w:t>Risk Reduction</w:t>
            </w:r>
          </w:p>
        </w:tc>
        <w:tc>
          <w:tcPr>
            <w:tcW w:w="4320" w:type="dxa"/>
            <w:shd w:val="clear" w:color="auto" w:fill="F0F4F8"/>
          </w:tcPr>
          <w:p w14:paraId="4F44C5A2" w14:textId="77777777" w:rsidR="00127410" w:rsidRDefault="00000000">
            <w:r>
              <w:rPr>
                <w:sz w:val="18"/>
              </w:rPr>
              <w:t>~80% reduction in ALE through vendor governance and exit planning</w:t>
            </w:r>
          </w:p>
        </w:tc>
      </w:tr>
      <w:tr w:rsidR="00127410" w14:paraId="698B5068" w14:textId="77777777">
        <w:trPr>
          <w:jc w:val="center"/>
        </w:trPr>
        <w:tc>
          <w:tcPr>
            <w:tcW w:w="4320" w:type="dxa"/>
          </w:tcPr>
          <w:p w14:paraId="78F31809" w14:textId="77777777" w:rsidR="00127410" w:rsidRDefault="00000000">
            <w:r>
              <w:rPr>
                <w:sz w:val="18"/>
              </w:rPr>
              <w:t>Primary Control</w:t>
            </w:r>
          </w:p>
        </w:tc>
        <w:tc>
          <w:tcPr>
            <w:tcW w:w="4320" w:type="dxa"/>
          </w:tcPr>
          <w:p w14:paraId="20EE1AEA" w14:textId="77777777" w:rsidR="00127410" w:rsidRDefault="00000000">
            <w:r>
              <w:rPr>
                <w:sz w:val="18"/>
              </w:rPr>
              <w:t>SLA enforcement with audit rights (Phase 1); CIEM (Phase 2); Vendor security scoring; Exit strategy testing</w:t>
            </w:r>
          </w:p>
        </w:tc>
      </w:tr>
      <w:tr w:rsidR="00127410" w14:paraId="55CE922E" w14:textId="77777777">
        <w:trPr>
          <w:jc w:val="center"/>
        </w:trPr>
        <w:tc>
          <w:tcPr>
            <w:tcW w:w="4320" w:type="dxa"/>
            <w:shd w:val="clear" w:color="auto" w:fill="F0F4F8"/>
          </w:tcPr>
          <w:p w14:paraId="209897F9" w14:textId="77777777" w:rsidR="00127410" w:rsidRDefault="00000000">
            <w:r>
              <w:rPr>
                <w:sz w:val="18"/>
              </w:rPr>
              <w:lastRenderedPageBreak/>
              <w:t>Framework Mapping</w:t>
            </w:r>
          </w:p>
        </w:tc>
        <w:tc>
          <w:tcPr>
            <w:tcW w:w="4320" w:type="dxa"/>
            <w:shd w:val="clear" w:color="auto" w:fill="F0F4F8"/>
          </w:tcPr>
          <w:p w14:paraId="190AFE68" w14:textId="77777777" w:rsidR="00127410" w:rsidRDefault="00000000">
            <w:r>
              <w:rPr>
                <w:sz w:val="18"/>
              </w:rPr>
              <w:t>FCA SYSC 8; DORA Art. 28–30; ISO 27001 A.5.19–5.23; ISO 27036</w:t>
            </w:r>
          </w:p>
        </w:tc>
      </w:tr>
    </w:tbl>
    <w:p w14:paraId="70CAC39A" w14:textId="77777777" w:rsidR="00127410" w:rsidRDefault="00127410"/>
    <w:p w14:paraId="2DBEE36E" w14:textId="77777777" w:rsidR="00127410" w:rsidRDefault="00000000">
      <w:pPr>
        <w:pStyle w:val="Heading2"/>
      </w:pPr>
      <w:r>
        <w:t>4. Risk Investment Summary</w:t>
      </w:r>
    </w:p>
    <w:p w14:paraId="0F27CFCD" w14:textId="77777777" w:rsidR="00127410" w:rsidRDefault="00000000">
      <w:r>
        <w:t>The following table summarises the total annualised risk exposure before and after the proposed security architecture implementation, demonstrating the financial justification for the phased investment programme: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728"/>
        <w:gridCol w:w="1725"/>
        <w:gridCol w:w="1725"/>
        <w:gridCol w:w="1726"/>
        <w:gridCol w:w="1726"/>
      </w:tblGrid>
      <w:tr w:rsidR="00127410" w14:paraId="7ADB9E71" w14:textId="77777777">
        <w:trPr>
          <w:jc w:val="center"/>
        </w:trPr>
        <w:tc>
          <w:tcPr>
            <w:tcW w:w="1728" w:type="dxa"/>
            <w:shd w:val="clear" w:color="auto" w:fill="2E4057"/>
          </w:tcPr>
          <w:p w14:paraId="055BA0FA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Risk</w:t>
            </w:r>
          </w:p>
        </w:tc>
        <w:tc>
          <w:tcPr>
            <w:tcW w:w="1728" w:type="dxa"/>
            <w:shd w:val="clear" w:color="auto" w:fill="2E4057"/>
          </w:tcPr>
          <w:p w14:paraId="273B3E76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Current ALE (90th %ile)</w:t>
            </w:r>
          </w:p>
        </w:tc>
        <w:tc>
          <w:tcPr>
            <w:tcW w:w="1728" w:type="dxa"/>
            <w:shd w:val="clear" w:color="auto" w:fill="2E4057"/>
          </w:tcPr>
          <w:p w14:paraId="26D7EBB7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Target ALE (90th %ile)</w:t>
            </w:r>
          </w:p>
        </w:tc>
        <w:tc>
          <w:tcPr>
            <w:tcW w:w="1728" w:type="dxa"/>
            <w:shd w:val="clear" w:color="auto" w:fill="2E4057"/>
          </w:tcPr>
          <w:p w14:paraId="447AA3D2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Reduction</w:t>
            </w:r>
          </w:p>
        </w:tc>
        <w:tc>
          <w:tcPr>
            <w:tcW w:w="1728" w:type="dxa"/>
            <w:shd w:val="clear" w:color="auto" w:fill="2E4057"/>
          </w:tcPr>
          <w:p w14:paraId="2FEB8F0C" w14:textId="77777777" w:rsidR="00127410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Deployment Phase</w:t>
            </w:r>
          </w:p>
        </w:tc>
      </w:tr>
      <w:tr w:rsidR="00127410" w14:paraId="7AE9F909" w14:textId="77777777">
        <w:trPr>
          <w:jc w:val="center"/>
        </w:trPr>
        <w:tc>
          <w:tcPr>
            <w:tcW w:w="1728" w:type="dxa"/>
            <w:shd w:val="clear" w:color="auto" w:fill="F0F4F8"/>
          </w:tcPr>
          <w:p w14:paraId="565A4225" w14:textId="77777777" w:rsidR="00127410" w:rsidRDefault="00000000">
            <w:r>
              <w:rPr>
                <w:sz w:val="18"/>
              </w:rPr>
              <w:t>RISK-001: Cloud Misconfiguration</w:t>
            </w:r>
          </w:p>
        </w:tc>
        <w:tc>
          <w:tcPr>
            <w:tcW w:w="1728" w:type="dxa"/>
            <w:shd w:val="clear" w:color="auto" w:fill="F0F4F8"/>
          </w:tcPr>
          <w:p w14:paraId="5FA87143" w14:textId="77777777" w:rsidR="00127410" w:rsidRDefault="00000000">
            <w:r>
              <w:rPr>
                <w:sz w:val="18"/>
              </w:rPr>
              <w:t>£12.4M</w:t>
            </w:r>
          </w:p>
        </w:tc>
        <w:tc>
          <w:tcPr>
            <w:tcW w:w="1728" w:type="dxa"/>
            <w:shd w:val="clear" w:color="auto" w:fill="F0F4F8"/>
          </w:tcPr>
          <w:p w14:paraId="5C0DFFCA" w14:textId="77777777" w:rsidR="00127410" w:rsidRDefault="00000000">
            <w:r>
              <w:rPr>
                <w:sz w:val="18"/>
              </w:rPr>
              <w:t>£620K</w:t>
            </w:r>
          </w:p>
        </w:tc>
        <w:tc>
          <w:tcPr>
            <w:tcW w:w="1728" w:type="dxa"/>
            <w:shd w:val="clear" w:color="auto" w:fill="F0F4F8"/>
          </w:tcPr>
          <w:p w14:paraId="201ACA2B" w14:textId="77777777" w:rsidR="00127410" w:rsidRDefault="00000000">
            <w:r>
              <w:rPr>
                <w:sz w:val="18"/>
              </w:rPr>
              <w:t>95%</w:t>
            </w:r>
          </w:p>
        </w:tc>
        <w:tc>
          <w:tcPr>
            <w:tcW w:w="1728" w:type="dxa"/>
            <w:shd w:val="clear" w:color="auto" w:fill="F0F4F8"/>
          </w:tcPr>
          <w:p w14:paraId="3ECA88AC" w14:textId="77777777" w:rsidR="00127410" w:rsidRDefault="00000000">
            <w:r>
              <w:rPr>
                <w:sz w:val="18"/>
              </w:rPr>
              <w:t>Phase 1–2</w:t>
            </w:r>
          </w:p>
        </w:tc>
      </w:tr>
      <w:tr w:rsidR="00127410" w14:paraId="3953790C" w14:textId="77777777">
        <w:trPr>
          <w:jc w:val="center"/>
        </w:trPr>
        <w:tc>
          <w:tcPr>
            <w:tcW w:w="1728" w:type="dxa"/>
          </w:tcPr>
          <w:p w14:paraId="7D03C434" w14:textId="77777777" w:rsidR="00127410" w:rsidRDefault="00000000">
            <w:r>
              <w:rPr>
                <w:sz w:val="18"/>
              </w:rPr>
              <w:t>RISK-002: Insider Exfiltration</w:t>
            </w:r>
          </w:p>
        </w:tc>
        <w:tc>
          <w:tcPr>
            <w:tcW w:w="1728" w:type="dxa"/>
          </w:tcPr>
          <w:p w14:paraId="148AFB59" w14:textId="77777777" w:rsidR="00127410" w:rsidRDefault="00000000">
            <w:r>
              <w:rPr>
                <w:sz w:val="18"/>
              </w:rPr>
              <w:t>£9.6M</w:t>
            </w:r>
          </w:p>
        </w:tc>
        <w:tc>
          <w:tcPr>
            <w:tcW w:w="1728" w:type="dxa"/>
          </w:tcPr>
          <w:p w14:paraId="32D953EF" w14:textId="77777777" w:rsidR="00127410" w:rsidRDefault="00000000">
            <w:r>
              <w:rPr>
                <w:sz w:val="18"/>
              </w:rPr>
              <w:t>£1.1M</w:t>
            </w:r>
          </w:p>
        </w:tc>
        <w:tc>
          <w:tcPr>
            <w:tcW w:w="1728" w:type="dxa"/>
          </w:tcPr>
          <w:p w14:paraId="5675C00E" w14:textId="77777777" w:rsidR="00127410" w:rsidRDefault="00000000">
            <w:r>
              <w:rPr>
                <w:sz w:val="18"/>
              </w:rPr>
              <w:t>88%</w:t>
            </w:r>
          </w:p>
        </w:tc>
        <w:tc>
          <w:tcPr>
            <w:tcW w:w="1728" w:type="dxa"/>
          </w:tcPr>
          <w:p w14:paraId="7E55B6D1" w14:textId="77777777" w:rsidR="00127410" w:rsidRDefault="00000000">
            <w:r>
              <w:rPr>
                <w:sz w:val="18"/>
              </w:rPr>
              <w:t>Phase 2–3</w:t>
            </w:r>
          </w:p>
        </w:tc>
      </w:tr>
      <w:tr w:rsidR="00127410" w14:paraId="57509625" w14:textId="77777777">
        <w:trPr>
          <w:jc w:val="center"/>
        </w:trPr>
        <w:tc>
          <w:tcPr>
            <w:tcW w:w="1728" w:type="dxa"/>
            <w:shd w:val="clear" w:color="auto" w:fill="F0F4F8"/>
          </w:tcPr>
          <w:p w14:paraId="52578445" w14:textId="77777777" w:rsidR="00127410" w:rsidRDefault="00000000">
            <w:r>
              <w:rPr>
                <w:sz w:val="18"/>
              </w:rPr>
              <w:t>RISK-003: Ransomware</w:t>
            </w:r>
          </w:p>
        </w:tc>
        <w:tc>
          <w:tcPr>
            <w:tcW w:w="1728" w:type="dxa"/>
            <w:shd w:val="clear" w:color="auto" w:fill="F0F4F8"/>
          </w:tcPr>
          <w:p w14:paraId="027A2CC7" w14:textId="77777777" w:rsidR="00127410" w:rsidRDefault="00000000">
            <w:r>
              <w:rPr>
                <w:sz w:val="18"/>
              </w:rPr>
              <w:t>£14.7M</w:t>
            </w:r>
          </w:p>
        </w:tc>
        <w:tc>
          <w:tcPr>
            <w:tcW w:w="1728" w:type="dxa"/>
            <w:shd w:val="clear" w:color="auto" w:fill="F0F4F8"/>
          </w:tcPr>
          <w:p w14:paraId="24147C60" w14:textId="77777777" w:rsidR="00127410" w:rsidRDefault="00000000">
            <w:r>
              <w:rPr>
                <w:sz w:val="18"/>
              </w:rPr>
              <w:t>£2.1M</w:t>
            </w:r>
          </w:p>
        </w:tc>
        <w:tc>
          <w:tcPr>
            <w:tcW w:w="1728" w:type="dxa"/>
            <w:shd w:val="clear" w:color="auto" w:fill="F0F4F8"/>
          </w:tcPr>
          <w:p w14:paraId="40F43D8D" w14:textId="77777777" w:rsidR="00127410" w:rsidRDefault="00000000">
            <w:r>
              <w:rPr>
                <w:sz w:val="18"/>
              </w:rPr>
              <w:t>86%</w:t>
            </w:r>
          </w:p>
        </w:tc>
        <w:tc>
          <w:tcPr>
            <w:tcW w:w="1728" w:type="dxa"/>
            <w:shd w:val="clear" w:color="auto" w:fill="F0F4F8"/>
          </w:tcPr>
          <w:p w14:paraId="74EA306C" w14:textId="77777777" w:rsidR="00127410" w:rsidRDefault="00000000">
            <w:r>
              <w:rPr>
                <w:sz w:val="18"/>
              </w:rPr>
              <w:t>Phase 2–4</w:t>
            </w:r>
          </w:p>
        </w:tc>
      </w:tr>
      <w:tr w:rsidR="00127410" w14:paraId="73C6C9EF" w14:textId="77777777">
        <w:trPr>
          <w:jc w:val="center"/>
        </w:trPr>
        <w:tc>
          <w:tcPr>
            <w:tcW w:w="1728" w:type="dxa"/>
          </w:tcPr>
          <w:p w14:paraId="499CED78" w14:textId="77777777" w:rsidR="00127410" w:rsidRDefault="00000000">
            <w:r>
              <w:rPr>
                <w:sz w:val="18"/>
              </w:rPr>
              <w:t>RISK-004: BYOD Leakage</w:t>
            </w:r>
          </w:p>
        </w:tc>
        <w:tc>
          <w:tcPr>
            <w:tcW w:w="1728" w:type="dxa"/>
          </w:tcPr>
          <w:p w14:paraId="244F013E" w14:textId="77777777" w:rsidR="00127410" w:rsidRDefault="00000000">
            <w:r>
              <w:rPr>
                <w:sz w:val="18"/>
              </w:rPr>
              <w:t>£2.9M</w:t>
            </w:r>
          </w:p>
        </w:tc>
        <w:tc>
          <w:tcPr>
            <w:tcW w:w="1728" w:type="dxa"/>
          </w:tcPr>
          <w:p w14:paraId="05EF698A" w14:textId="77777777" w:rsidR="00127410" w:rsidRDefault="00000000">
            <w:r>
              <w:rPr>
                <w:sz w:val="18"/>
              </w:rPr>
              <w:t>£210K</w:t>
            </w:r>
          </w:p>
        </w:tc>
        <w:tc>
          <w:tcPr>
            <w:tcW w:w="1728" w:type="dxa"/>
          </w:tcPr>
          <w:p w14:paraId="4CB08795" w14:textId="77777777" w:rsidR="00127410" w:rsidRDefault="00000000">
            <w:r>
              <w:rPr>
                <w:sz w:val="18"/>
              </w:rPr>
              <w:t>93%</w:t>
            </w:r>
          </w:p>
        </w:tc>
        <w:tc>
          <w:tcPr>
            <w:tcW w:w="1728" w:type="dxa"/>
          </w:tcPr>
          <w:p w14:paraId="2B4E3EAA" w14:textId="77777777" w:rsidR="00127410" w:rsidRDefault="00000000">
            <w:r>
              <w:rPr>
                <w:sz w:val="18"/>
              </w:rPr>
              <w:t>Phase 1–2</w:t>
            </w:r>
          </w:p>
        </w:tc>
      </w:tr>
      <w:tr w:rsidR="00127410" w14:paraId="0E378F47" w14:textId="77777777">
        <w:trPr>
          <w:jc w:val="center"/>
        </w:trPr>
        <w:tc>
          <w:tcPr>
            <w:tcW w:w="1728" w:type="dxa"/>
            <w:shd w:val="clear" w:color="auto" w:fill="F0F4F8"/>
          </w:tcPr>
          <w:p w14:paraId="2C3DCF49" w14:textId="77777777" w:rsidR="00127410" w:rsidRDefault="00000000">
            <w:r>
              <w:rPr>
                <w:sz w:val="18"/>
              </w:rPr>
              <w:t>RISK-005: Supply Chain</w:t>
            </w:r>
          </w:p>
        </w:tc>
        <w:tc>
          <w:tcPr>
            <w:tcW w:w="1728" w:type="dxa"/>
            <w:shd w:val="clear" w:color="auto" w:fill="F0F4F8"/>
          </w:tcPr>
          <w:p w14:paraId="5A45E7EE" w14:textId="77777777" w:rsidR="00127410" w:rsidRDefault="00000000">
            <w:r>
              <w:rPr>
                <w:sz w:val="18"/>
              </w:rPr>
              <w:t>£4.8M</w:t>
            </w:r>
          </w:p>
        </w:tc>
        <w:tc>
          <w:tcPr>
            <w:tcW w:w="1728" w:type="dxa"/>
            <w:shd w:val="clear" w:color="auto" w:fill="F0F4F8"/>
          </w:tcPr>
          <w:p w14:paraId="46DF6915" w14:textId="77777777" w:rsidR="00127410" w:rsidRDefault="00000000">
            <w:r>
              <w:rPr>
                <w:sz w:val="18"/>
              </w:rPr>
              <w:t>£940K</w:t>
            </w:r>
          </w:p>
        </w:tc>
        <w:tc>
          <w:tcPr>
            <w:tcW w:w="1728" w:type="dxa"/>
            <w:shd w:val="clear" w:color="auto" w:fill="F0F4F8"/>
          </w:tcPr>
          <w:p w14:paraId="03CF1962" w14:textId="77777777" w:rsidR="00127410" w:rsidRDefault="00000000">
            <w:r>
              <w:rPr>
                <w:sz w:val="18"/>
              </w:rPr>
              <w:t>80%</w:t>
            </w:r>
          </w:p>
        </w:tc>
        <w:tc>
          <w:tcPr>
            <w:tcW w:w="1728" w:type="dxa"/>
            <w:shd w:val="clear" w:color="auto" w:fill="F0F4F8"/>
          </w:tcPr>
          <w:p w14:paraId="3B0D7468" w14:textId="77777777" w:rsidR="00127410" w:rsidRDefault="00000000">
            <w:r>
              <w:rPr>
                <w:sz w:val="18"/>
              </w:rPr>
              <w:t>Phase 1–2</w:t>
            </w:r>
          </w:p>
        </w:tc>
      </w:tr>
      <w:tr w:rsidR="00127410" w14:paraId="3A1919D1" w14:textId="77777777">
        <w:trPr>
          <w:jc w:val="center"/>
        </w:trPr>
        <w:tc>
          <w:tcPr>
            <w:tcW w:w="1728" w:type="dxa"/>
          </w:tcPr>
          <w:p w14:paraId="048053F0" w14:textId="77777777" w:rsidR="00127410" w:rsidRDefault="00000000">
            <w:r>
              <w:rPr>
                <w:sz w:val="18"/>
              </w:rPr>
              <w:t>TOTAL (90th Percentile)</w:t>
            </w:r>
          </w:p>
        </w:tc>
        <w:tc>
          <w:tcPr>
            <w:tcW w:w="1728" w:type="dxa"/>
          </w:tcPr>
          <w:p w14:paraId="4A20DA0E" w14:textId="77777777" w:rsidR="00127410" w:rsidRDefault="00000000">
            <w:r>
              <w:rPr>
                <w:sz w:val="18"/>
              </w:rPr>
              <w:t>£44.4M</w:t>
            </w:r>
          </w:p>
        </w:tc>
        <w:tc>
          <w:tcPr>
            <w:tcW w:w="1728" w:type="dxa"/>
          </w:tcPr>
          <w:p w14:paraId="695A29F1" w14:textId="77777777" w:rsidR="00127410" w:rsidRDefault="00000000">
            <w:r>
              <w:rPr>
                <w:sz w:val="18"/>
              </w:rPr>
              <w:t>£4.97M</w:t>
            </w:r>
          </w:p>
        </w:tc>
        <w:tc>
          <w:tcPr>
            <w:tcW w:w="1728" w:type="dxa"/>
          </w:tcPr>
          <w:p w14:paraId="4308011B" w14:textId="77777777" w:rsidR="00127410" w:rsidRDefault="00000000">
            <w:r>
              <w:rPr>
                <w:sz w:val="18"/>
              </w:rPr>
              <w:t>89%</w:t>
            </w:r>
          </w:p>
        </w:tc>
        <w:tc>
          <w:tcPr>
            <w:tcW w:w="1728" w:type="dxa"/>
          </w:tcPr>
          <w:p w14:paraId="251F3AA2" w14:textId="77777777" w:rsidR="00127410" w:rsidRDefault="00000000">
            <w:r>
              <w:rPr>
                <w:sz w:val="18"/>
              </w:rPr>
              <w:t>—</w:t>
            </w:r>
          </w:p>
        </w:tc>
      </w:tr>
    </w:tbl>
    <w:p w14:paraId="70002CE8" w14:textId="77777777" w:rsidR="00127410" w:rsidRDefault="00127410"/>
    <w:p w14:paraId="51C7B325" w14:textId="77777777" w:rsidR="00127410" w:rsidRDefault="00000000">
      <w:r>
        <w:t>The aggregated analysis demonstrates that the proposed architecture reduces FSB’s annualised loss expectancy from approximately £44.4M to £4.97M at the 90th percentile — an 89% risk reduction. Given FSB’s estimated security budget of approximately £3–5M annually (assuming a total IT budget of £25M–£38M, of which 13.2% is allocated to security [2]), the investment delivers a compelling return by reducing potential losses by approximately £39.4M per year.</w:t>
      </w:r>
    </w:p>
    <w:sectPr w:rsidR="00127410" w:rsidSect="00034616">
      <w:headerReference w:type="default" r:id="rId8"/>
      <w:footerReference w:type="default" r:id="rId9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D83465" w14:textId="77777777" w:rsidR="000E7FD5" w:rsidRDefault="000E7FD5" w:rsidP="00F64373">
      <w:pPr>
        <w:spacing w:before="0" w:after="0" w:line="240" w:lineRule="auto"/>
      </w:pPr>
      <w:r>
        <w:separator/>
      </w:r>
    </w:p>
  </w:endnote>
  <w:endnote w:type="continuationSeparator" w:id="0">
    <w:p w14:paraId="34EF3B19" w14:textId="77777777" w:rsidR="000E7FD5" w:rsidRDefault="000E7FD5" w:rsidP="00F64373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351"/>
      <w:gridCol w:w="4289"/>
    </w:tblGrid>
    <w:tr w:rsidR="00F64373" w14:paraId="24385D6B" w14:textId="77777777">
      <w:trPr>
        <w:trHeight w:hRule="exact" w:val="115"/>
        <w:jc w:val="center"/>
      </w:trPr>
      <w:tc>
        <w:tcPr>
          <w:tcW w:w="4686" w:type="dxa"/>
          <w:shd w:val="clear" w:color="auto" w:fill="156082" w:themeFill="accent1"/>
          <w:tcMar>
            <w:top w:w="0" w:type="dxa"/>
            <w:bottom w:w="0" w:type="dxa"/>
          </w:tcMar>
        </w:tcPr>
        <w:p w14:paraId="49E20A83" w14:textId="77777777" w:rsidR="00F64373" w:rsidRDefault="00F64373">
          <w:pPr>
            <w:pStyle w:val="Header"/>
            <w:tabs>
              <w:tab w:val="clear" w:pos="4680"/>
              <w:tab w:val="clear" w:pos="9360"/>
            </w:tabs>
            <w:rPr>
              <w:caps/>
              <w:sz w:val="18"/>
            </w:rPr>
          </w:pPr>
        </w:p>
      </w:tc>
      <w:tc>
        <w:tcPr>
          <w:tcW w:w="4674" w:type="dxa"/>
          <w:shd w:val="clear" w:color="auto" w:fill="156082" w:themeFill="accent1"/>
          <w:tcMar>
            <w:top w:w="0" w:type="dxa"/>
            <w:bottom w:w="0" w:type="dxa"/>
          </w:tcMar>
        </w:tcPr>
        <w:p w14:paraId="7FBA2C09" w14:textId="77777777" w:rsidR="00F64373" w:rsidRDefault="00F64373">
          <w:pPr>
            <w:pStyle w:val="Header"/>
            <w:tabs>
              <w:tab w:val="clear" w:pos="4680"/>
              <w:tab w:val="clear" w:pos="9360"/>
            </w:tabs>
            <w:jc w:val="right"/>
            <w:rPr>
              <w:caps/>
              <w:sz w:val="18"/>
            </w:rPr>
          </w:pPr>
        </w:p>
      </w:tc>
    </w:tr>
    <w:tr w:rsidR="00F64373" w14:paraId="78A80E58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8AD54A103094B04D896BA70AC752230A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tc>
            <w:tcPr>
              <w:tcW w:w="4686" w:type="dxa"/>
              <w:vAlign w:val="center"/>
            </w:tcPr>
            <w:p w14:paraId="216486FF" w14:textId="4F4082D9" w:rsidR="00F64373" w:rsidRDefault="00F64373">
              <w:pPr>
                <w:pStyle w:val="Footer"/>
                <w:tabs>
                  <w:tab w:val="clear" w:pos="4680"/>
                  <w:tab w:val="clear" w:pos="9360"/>
                </w:tabs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Daniel Hriscu 2127929</w:t>
              </w:r>
            </w:p>
          </w:tc>
        </w:sdtContent>
      </w:sdt>
      <w:tc>
        <w:tcPr>
          <w:tcW w:w="4674" w:type="dxa"/>
          <w:vAlign w:val="center"/>
        </w:tcPr>
        <w:p w14:paraId="289BB629" w14:textId="77777777" w:rsidR="00F64373" w:rsidRDefault="00F64373">
          <w:pPr>
            <w:pStyle w:val="Footer"/>
            <w:tabs>
              <w:tab w:val="clear" w:pos="4680"/>
              <w:tab w:val="clear" w:pos="9360"/>
            </w:tabs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221D804F" w14:textId="77777777" w:rsidR="00F64373" w:rsidRDefault="00F643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3E3067" w14:textId="77777777" w:rsidR="000E7FD5" w:rsidRDefault="000E7FD5" w:rsidP="00F64373">
      <w:pPr>
        <w:spacing w:before="0" w:after="0" w:line="240" w:lineRule="auto"/>
      </w:pPr>
      <w:r>
        <w:separator/>
      </w:r>
    </w:p>
  </w:footnote>
  <w:footnote w:type="continuationSeparator" w:id="0">
    <w:p w14:paraId="2946385C" w14:textId="77777777" w:rsidR="000E7FD5" w:rsidRDefault="000E7FD5" w:rsidP="00F64373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748B6B" w14:textId="65DB84E4" w:rsidR="00E61FBE" w:rsidRDefault="00E61FBE" w:rsidP="00E61FBE">
    <w:pPr>
      <w:jc w:val="right"/>
    </w:pPr>
    <w:r w:rsidRPr="00E61FBE">
      <w:rPr>
        <w:i/>
        <w:iCs/>
        <w:color w:val="888888"/>
        <w:sz w:val="18"/>
        <w:szCs w:val="18"/>
      </w:rPr>
      <w:t>Risk Register &amp; Fair Quantitative Analysis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00579041">
    <w:abstractNumId w:val="8"/>
  </w:num>
  <w:num w:numId="2" w16cid:durableId="471409635">
    <w:abstractNumId w:val="6"/>
  </w:num>
  <w:num w:numId="3" w16cid:durableId="1210457733">
    <w:abstractNumId w:val="5"/>
  </w:num>
  <w:num w:numId="4" w16cid:durableId="1610041644">
    <w:abstractNumId w:val="4"/>
  </w:num>
  <w:num w:numId="5" w16cid:durableId="862210846">
    <w:abstractNumId w:val="7"/>
  </w:num>
  <w:num w:numId="6" w16cid:durableId="1236160100">
    <w:abstractNumId w:val="3"/>
  </w:num>
  <w:num w:numId="7" w16cid:durableId="50077162">
    <w:abstractNumId w:val="2"/>
  </w:num>
  <w:num w:numId="8" w16cid:durableId="1585651400">
    <w:abstractNumId w:val="1"/>
  </w:num>
  <w:num w:numId="9" w16cid:durableId="1929195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E7FD5"/>
    <w:rsid w:val="00127410"/>
    <w:rsid w:val="0015074B"/>
    <w:rsid w:val="001A367E"/>
    <w:rsid w:val="0029639D"/>
    <w:rsid w:val="00326F90"/>
    <w:rsid w:val="003339E7"/>
    <w:rsid w:val="00692BF0"/>
    <w:rsid w:val="009530FD"/>
    <w:rsid w:val="00AA1D8D"/>
    <w:rsid w:val="00B47730"/>
    <w:rsid w:val="00CB0664"/>
    <w:rsid w:val="00E359BB"/>
    <w:rsid w:val="00E61FBE"/>
    <w:rsid w:val="00EC25F1"/>
    <w:rsid w:val="00F6437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D0E875"/>
  <w14:defaultImageDpi w14:val="300"/>
  <w15:docId w15:val="{EE8A8E9B-B53F-0148-B236-CC291F67B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2BF0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2BF0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2BF0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2BF0"/>
    <w:pPr>
      <w:pBdr>
        <w:top w:val="single" w:sz="6" w:space="2" w:color="156082" w:themeColor="accent1"/>
        <w:left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2BF0"/>
    <w:pPr>
      <w:pBdr>
        <w:top w:val="dotted" w:sz="6" w:space="2" w:color="156082" w:themeColor="accent1"/>
        <w:left w:val="dotted" w:sz="6" w:space="2" w:color="156082" w:themeColor="accent1"/>
      </w:pBdr>
      <w:spacing w:before="300" w:after="0"/>
      <w:outlineLvl w:val="3"/>
    </w:pPr>
    <w:rPr>
      <w:caps/>
      <w:color w:val="0F476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2BF0"/>
    <w:pPr>
      <w:pBdr>
        <w:bottom w:val="single" w:sz="6" w:space="1" w:color="156082" w:themeColor="accent1"/>
      </w:pBdr>
      <w:spacing w:before="300" w:after="0"/>
      <w:outlineLvl w:val="4"/>
    </w:pPr>
    <w:rPr>
      <w:caps/>
      <w:color w:val="0F476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2BF0"/>
    <w:pPr>
      <w:pBdr>
        <w:bottom w:val="dotted" w:sz="6" w:space="1" w:color="156082" w:themeColor="accent1"/>
      </w:pBdr>
      <w:spacing w:before="300" w:after="0"/>
      <w:outlineLvl w:val="5"/>
    </w:pPr>
    <w:rPr>
      <w:caps/>
      <w:color w:val="0F476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2BF0"/>
    <w:pPr>
      <w:spacing w:before="300" w:after="0"/>
      <w:outlineLvl w:val="6"/>
    </w:pPr>
    <w:rPr>
      <w:caps/>
      <w:color w:val="0F476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2BF0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2BF0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basedOn w:val="Normal"/>
    <w:link w:val="NoSpacingChar"/>
    <w:uiPriority w:val="1"/>
    <w:qFormat/>
    <w:rsid w:val="00692BF0"/>
    <w:pPr>
      <w:spacing w:before="0"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692BF0"/>
    <w:rPr>
      <w:b/>
      <w:bCs/>
      <w:caps/>
      <w:color w:val="FFFFFF" w:themeColor="background1"/>
      <w:spacing w:val="15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692BF0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692BF0"/>
    <w:rPr>
      <w:caps/>
      <w:color w:val="0A2F40" w:themeColor="accent1" w:themeShade="7F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692BF0"/>
    <w:pPr>
      <w:spacing w:before="720"/>
    </w:pPr>
    <w:rPr>
      <w:caps/>
      <w:color w:val="156082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692BF0"/>
    <w:rPr>
      <w:caps/>
      <w:color w:val="156082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2BF0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92BF0"/>
    <w:rPr>
      <w:caps/>
      <w:color w:val="595959" w:themeColor="text1" w:themeTint="A6"/>
      <w:spacing w:val="10"/>
      <w:sz w:val="24"/>
      <w:szCs w:val="24"/>
    </w:rPr>
  </w:style>
  <w:style w:type="paragraph" w:styleId="ListParagraph">
    <w:name w:val="List Paragraph"/>
    <w:basedOn w:val="Normal"/>
    <w:uiPriority w:val="34"/>
    <w:qFormat/>
    <w:rsid w:val="00692BF0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692BF0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692BF0"/>
    <w:rPr>
      <w:i/>
      <w:iCs/>
      <w:sz w:val="20"/>
      <w:szCs w:val="2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2BF0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2BF0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2BF0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2BF0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2BF0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2BF0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92BF0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692BF0"/>
    <w:rPr>
      <w:b/>
      <w:bCs/>
    </w:rPr>
  </w:style>
  <w:style w:type="character" w:styleId="Emphasis">
    <w:name w:val="Emphasis"/>
    <w:uiPriority w:val="20"/>
    <w:qFormat/>
    <w:rsid w:val="00692BF0"/>
    <w:rPr>
      <w:caps/>
      <w:color w:val="0A2F40" w:themeColor="accent1" w:themeShade="7F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2BF0"/>
    <w:pPr>
      <w:pBdr>
        <w:top w:val="single" w:sz="4" w:space="10" w:color="156082" w:themeColor="accent1"/>
        <w:left w:val="single" w:sz="4" w:space="10" w:color="156082" w:themeColor="accent1"/>
      </w:pBdr>
      <w:spacing w:after="0"/>
      <w:ind w:left="1296" w:right="1152"/>
      <w:jc w:val="both"/>
    </w:pPr>
    <w:rPr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2BF0"/>
    <w:rPr>
      <w:i/>
      <w:iCs/>
      <w:color w:val="156082" w:themeColor="accent1"/>
      <w:sz w:val="20"/>
      <w:szCs w:val="20"/>
    </w:rPr>
  </w:style>
  <w:style w:type="character" w:styleId="SubtleEmphasis">
    <w:name w:val="Subtle Emphasis"/>
    <w:uiPriority w:val="19"/>
    <w:qFormat/>
    <w:rsid w:val="00692BF0"/>
    <w:rPr>
      <w:i/>
      <w:iCs/>
      <w:color w:val="0A2F40" w:themeColor="accent1" w:themeShade="7F"/>
    </w:rPr>
  </w:style>
  <w:style w:type="character" w:styleId="IntenseEmphasis">
    <w:name w:val="Intense Emphasis"/>
    <w:uiPriority w:val="21"/>
    <w:qFormat/>
    <w:rsid w:val="00692BF0"/>
    <w:rPr>
      <w:b/>
      <w:bCs/>
      <w:caps/>
      <w:color w:val="0A2F40" w:themeColor="accent1" w:themeShade="7F"/>
      <w:spacing w:val="10"/>
    </w:rPr>
  </w:style>
  <w:style w:type="character" w:styleId="SubtleReference">
    <w:name w:val="Subtle Reference"/>
    <w:uiPriority w:val="31"/>
    <w:qFormat/>
    <w:rsid w:val="00692BF0"/>
    <w:rPr>
      <w:b/>
      <w:bCs/>
      <w:color w:val="156082" w:themeColor="accent1"/>
    </w:rPr>
  </w:style>
  <w:style w:type="character" w:styleId="IntenseReference">
    <w:name w:val="Intense Reference"/>
    <w:uiPriority w:val="32"/>
    <w:qFormat/>
    <w:rsid w:val="00692BF0"/>
    <w:rPr>
      <w:b/>
      <w:bCs/>
      <w:i/>
      <w:iCs/>
      <w:caps/>
      <w:color w:val="156082" w:themeColor="accent1"/>
    </w:rPr>
  </w:style>
  <w:style w:type="character" w:styleId="BookTitle">
    <w:name w:val="Book Title"/>
    <w:uiPriority w:val="33"/>
    <w:qFormat/>
    <w:rsid w:val="00692BF0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92BF0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692BF0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AD54A103094B04D896BA70AC752230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98D773-ED96-5A48-80C4-7DFD0A97F433}"/>
      </w:docPartPr>
      <w:docPartBody>
        <w:p w:rsidR="007F0D7F" w:rsidRDefault="008A1B26" w:rsidP="008A1B26">
          <w:pPr>
            <w:pStyle w:val="8AD54A103094B04D896BA70AC752230A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B26"/>
    <w:rsid w:val="000F6368"/>
    <w:rsid w:val="003339E7"/>
    <w:rsid w:val="007367A6"/>
    <w:rsid w:val="007F0D7F"/>
    <w:rsid w:val="008A1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A1B26"/>
    <w:rPr>
      <w:color w:val="808080"/>
    </w:rPr>
  </w:style>
  <w:style w:type="paragraph" w:customStyle="1" w:styleId="8AD54A103094B04D896BA70AC752230A">
    <w:name w:val="8AD54A103094B04D896BA70AC752230A"/>
    <w:rsid w:val="008A1B2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1225</Words>
  <Characters>7440</Characters>
  <Application>Microsoft Office Word</Application>
  <DocSecurity>0</DocSecurity>
  <Lines>307</Lines>
  <Paragraphs>212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RISK REGISTER &amp; FAIR QUANTITATIVE ANALYSIS</vt:lpstr>
    </vt:vector>
  </TitlesOfParts>
  <Manager/>
  <Company/>
  <LinksUpToDate>false</LinksUpToDate>
  <CharactersWithSpaces>8452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RISK REGISTER &amp; FAIR QUANTITATIVE ANALYSIS</dc:title>
  <dc:subject/>
  <dc:creator>Daniel Hriscu 2127929</dc:creator>
  <cp:keywords/>
  <dc:description/>
  <cp:lastModifiedBy>Daniel Hriscu</cp:lastModifiedBy>
  <cp:revision>4</cp:revision>
  <dcterms:created xsi:type="dcterms:W3CDTF">2026-03-31T12:26:00Z</dcterms:created>
  <dcterms:modified xsi:type="dcterms:W3CDTF">2026-03-31T12:39:00Z</dcterms:modified>
  <cp:category/>
</cp:coreProperties>
</file>