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179900"/>
        <w:docPartObj>
          <w:docPartGallery w:val="Cover Pages"/>
          <w:docPartUnique/>
        </w:docPartObj>
      </w:sdtPr>
      <w:sdtContent>
        <w:p w14:paraId="1C836F7C" w14:textId="53C3FD8B" w:rsidR="005E410B" w:rsidRDefault="005E410B">
          <w:r>
            <w:rPr>
              <w:noProof/>
            </w:rPr>
            <mc:AlternateContent>
              <mc:Choice Requires="wpg">
                <w:drawing>
                  <wp:anchor distT="0" distB="0" distL="114300" distR="114300" simplePos="0" relativeHeight="251661312" behindDoc="0" locked="0" layoutInCell="1" allowOverlap="1" wp14:anchorId="7958A94E" wp14:editId="59641D8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DA4FA68" w14:textId="57006046" w:rsidR="005E410B" w:rsidRDefault="005E410B">
                                      <w:pPr>
                                        <w:pStyle w:val="NoSpacing"/>
                                        <w:spacing w:after="240"/>
                                        <w:jc w:val="right"/>
                                        <w:rPr>
                                          <w:color w:val="44546A" w:themeColor="text2"/>
                                          <w:spacing w:val="10"/>
                                          <w:sz w:val="36"/>
                                          <w:szCs w:val="36"/>
                                        </w:rPr>
                                      </w:pPr>
                                      <w:r>
                                        <w:rPr>
                                          <w:color w:val="44546A" w:themeColor="text2"/>
                                          <w:spacing w:val="10"/>
                                          <w:sz w:val="36"/>
                                          <w:szCs w:val="36"/>
                                        </w:rPr>
                                        <w:t>Chloe Clark (2207404)</w:t>
                                      </w:r>
                                    </w:p>
                                  </w:sdtContent>
                                </w:sdt>
                                <w:p w14:paraId="7D273A59" w14:textId="083E42A4" w:rsidR="005E410B"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5E410B">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58A94E"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DA4FA68" w14:textId="57006046" w:rsidR="005E410B" w:rsidRDefault="005E410B">
                                <w:pPr>
                                  <w:pStyle w:val="NoSpacing"/>
                                  <w:spacing w:after="240"/>
                                  <w:jc w:val="right"/>
                                  <w:rPr>
                                    <w:color w:val="44546A" w:themeColor="text2"/>
                                    <w:spacing w:val="10"/>
                                    <w:sz w:val="36"/>
                                    <w:szCs w:val="36"/>
                                  </w:rPr>
                                </w:pPr>
                                <w:r>
                                  <w:rPr>
                                    <w:color w:val="44546A" w:themeColor="text2"/>
                                    <w:spacing w:val="10"/>
                                    <w:sz w:val="36"/>
                                    <w:szCs w:val="36"/>
                                  </w:rPr>
                                  <w:t>Chloe Clark (2207404)</w:t>
                                </w:r>
                              </w:p>
                            </w:sdtContent>
                          </w:sdt>
                          <w:p w14:paraId="7D273A59" w14:textId="083E42A4" w:rsidR="005E410B"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5E410B">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70CEB31D" wp14:editId="44BA5A45">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D0C5665" w14:textId="6CE215B7" w:rsidR="005E410B" w:rsidRDefault="005E410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BMPL4009/BMLW4005</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D5B37E9" w14:textId="2BCBC4DA" w:rsidR="005E410B" w:rsidRDefault="005E410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deminished responsibility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CEB31D"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D0C5665" w14:textId="6CE215B7" w:rsidR="005E410B" w:rsidRDefault="005E410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BMPL4009/BMLW4005</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D5B37E9" w14:textId="2BCBC4DA" w:rsidR="005E410B" w:rsidRDefault="005E410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deminished responsibility</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C25D0EC" wp14:editId="11CCCEFF">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47A5200"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CD335F8" w14:textId="792DB745" w:rsidR="005E410B" w:rsidRDefault="005E410B">
          <w:r>
            <w:br w:type="page"/>
          </w:r>
        </w:p>
      </w:sdtContent>
    </w:sdt>
    <w:p w14:paraId="45CFB901" w14:textId="67A2CE15" w:rsidR="005E410B" w:rsidRDefault="005E410B" w:rsidP="004433FF">
      <w:pPr>
        <w:spacing w:after="0"/>
      </w:pPr>
      <w:r>
        <w:lastRenderedPageBreak/>
        <w:t>An introduction to the defence of diminished responsibility. According to (</w:t>
      </w:r>
      <w:r w:rsidR="00AC79D0">
        <w:t xml:space="preserve">Herring, 2014; Pg 255), diminished responsibility is a defence that only applies in the case of murder and, if </w:t>
      </w:r>
      <w:r w:rsidR="0093300C">
        <w:t>fortunate it then reduces the charge to manslaughter. Herring states that a defendant must show that they have suffered from an irregularity in their mental functioning which arises from an acknowledged medical condition. It must also show that the defendant’s ability to understand the nature of their conduct</w:t>
      </w:r>
      <w:r w:rsidR="00265FEB">
        <w:t>, form a reasonable judgement and exert self-control.</w:t>
      </w:r>
    </w:p>
    <w:p w14:paraId="13D3BE88" w14:textId="761C232C" w:rsidR="001432B9" w:rsidRDefault="00265FEB" w:rsidP="004433FF">
      <w:pPr>
        <w:spacing w:after="0"/>
      </w:pPr>
      <w:r>
        <w:t>As stated in (</w:t>
      </w:r>
      <w:r w:rsidR="00AC75CE">
        <w:t xml:space="preserve">Smith, </w:t>
      </w:r>
      <w:r>
        <w:t xml:space="preserve">2002), manslaughter </w:t>
      </w:r>
      <w:r w:rsidR="00896518">
        <w:t>is</w:t>
      </w:r>
      <w:r>
        <w:t xml:space="preserve"> </w:t>
      </w:r>
      <w:r w:rsidR="00896518">
        <w:t xml:space="preserve">in itself </w:t>
      </w:r>
      <w:r>
        <w:t xml:space="preserve">an extremely complex </w:t>
      </w:r>
      <w:r w:rsidR="00896518">
        <w:t>crime,</w:t>
      </w:r>
      <w:r>
        <w:t xml:space="preserve"> and it is at a minimum no less than five variations. </w:t>
      </w:r>
      <w:r w:rsidR="00896518">
        <w:t xml:space="preserve">It covers three different cases where the defendant kills with the guilt and accountability that is required for murder but, </w:t>
      </w:r>
      <w:r w:rsidR="000C5DB2">
        <w:t>since</w:t>
      </w:r>
      <w:r w:rsidR="00896518">
        <w:t xml:space="preserve"> in the presence of specific justifications that are recognised by the law, the offence can be reduced to manslaughter.</w:t>
      </w:r>
      <w:r w:rsidR="005A46D3">
        <w:t xml:space="preserve"> </w:t>
      </w:r>
    </w:p>
    <w:p w14:paraId="610CFB51" w14:textId="11C37E5F" w:rsidR="007810B2" w:rsidRDefault="005A46D3" w:rsidP="004433FF">
      <w:pPr>
        <w:spacing w:after="0"/>
      </w:pPr>
      <w:r>
        <w:t>In accord</w:t>
      </w:r>
      <w:r w:rsidR="003853BD">
        <w:t xml:space="preserve">ance </w:t>
      </w:r>
      <w:r w:rsidR="005354A4">
        <w:t>with</w:t>
      </w:r>
      <w:r w:rsidR="003853BD">
        <w:t xml:space="preserve"> </w:t>
      </w:r>
      <w:r w:rsidR="00B27A4F">
        <w:t xml:space="preserve">(Homicide Act 1957, s.2), a </w:t>
      </w:r>
      <w:r w:rsidR="00C6517E">
        <w:t>sentence</w:t>
      </w:r>
      <w:r w:rsidR="009A612F">
        <w:t xml:space="preserve"> for manslaughter that is by reason of</w:t>
      </w:r>
      <w:r w:rsidR="00C6517E">
        <w:t xml:space="preserve"> d</w:t>
      </w:r>
      <w:r w:rsidR="00E83751">
        <w:t xml:space="preserve">iminished </w:t>
      </w:r>
      <w:r w:rsidR="005354A4">
        <w:t>responsibility</w:t>
      </w:r>
      <w:r w:rsidR="00BC56C8">
        <w:t xml:space="preserve"> automatically </w:t>
      </w:r>
      <w:r w:rsidR="00D27FA7">
        <w:t xml:space="preserve">means that the </w:t>
      </w:r>
      <w:r w:rsidR="005A3E25">
        <w:t>defendant’s</w:t>
      </w:r>
      <w:r w:rsidR="00D27FA7">
        <w:t xml:space="preserve"> capability to understand </w:t>
      </w:r>
      <w:r w:rsidR="002E4C00">
        <w:t xml:space="preserve">the </w:t>
      </w:r>
      <w:r w:rsidR="009E1630">
        <w:t xml:space="preserve">nature of the </w:t>
      </w:r>
      <w:r w:rsidR="00794EFB">
        <w:t>act,</w:t>
      </w:r>
      <w:r w:rsidR="00223ABB">
        <w:t xml:space="preserve"> </w:t>
      </w:r>
      <w:r w:rsidR="005A3E25">
        <w:t>t</w:t>
      </w:r>
      <w:r w:rsidR="00223ABB">
        <w:t>hat rational judgement could not be formed</w:t>
      </w:r>
      <w:r w:rsidR="005A3E25">
        <w:t xml:space="preserve">, and that </w:t>
      </w:r>
      <w:r w:rsidR="00B249F2">
        <w:t xml:space="preserve">there has to be proof that their level of self-control had been greatly impaired enough to </w:t>
      </w:r>
      <w:r w:rsidR="00D80760">
        <w:t>facilitate diminished responsibility.</w:t>
      </w:r>
      <w:r w:rsidR="009932EC">
        <w:t xml:space="preserve"> </w:t>
      </w:r>
    </w:p>
    <w:p w14:paraId="3DEA93FF" w14:textId="170ECF6F" w:rsidR="0093300C" w:rsidRDefault="00642533" w:rsidP="004433FF">
      <w:pPr>
        <w:spacing w:after="0"/>
      </w:pPr>
      <w:r>
        <w:t>According to (Mind</w:t>
      </w:r>
      <w:r w:rsidR="002678FE">
        <w:t>.org.uk), if you are charged with m</w:t>
      </w:r>
      <w:r w:rsidR="00432D91">
        <w:t>urder,</w:t>
      </w:r>
      <w:r w:rsidR="002678FE">
        <w:t xml:space="preserve"> and are able to </w:t>
      </w:r>
      <w:r w:rsidR="009E3FEC">
        <w:t xml:space="preserve">exhibit that you </w:t>
      </w:r>
      <w:r w:rsidR="00B25344">
        <w:t xml:space="preserve">are suffering with an </w:t>
      </w:r>
      <w:r w:rsidR="00111762">
        <w:t>irregularity of the mind</w:t>
      </w:r>
      <w:r w:rsidR="00CC7195">
        <w:t xml:space="preserve"> at the time the crime was </w:t>
      </w:r>
      <w:r w:rsidR="00432D91">
        <w:t xml:space="preserve">committed, the court are then able to </w:t>
      </w:r>
      <w:r w:rsidR="0000368A">
        <w:t xml:space="preserve">convict you of manslaughter </w:t>
      </w:r>
      <w:r w:rsidR="007810B2">
        <w:t>rather than murder.</w:t>
      </w:r>
    </w:p>
    <w:p w14:paraId="5EC57A20" w14:textId="77777777" w:rsidR="002B2DFC" w:rsidRDefault="002B2DFC" w:rsidP="004433FF">
      <w:pPr>
        <w:spacing w:after="0"/>
      </w:pPr>
    </w:p>
    <w:p w14:paraId="4A03E05F" w14:textId="4B7B43A8" w:rsidR="001432B9" w:rsidRDefault="001510DA" w:rsidP="004433FF">
      <w:pPr>
        <w:spacing w:after="0"/>
      </w:pPr>
      <w:r>
        <w:t xml:space="preserve">As written in (ministry of Justice) </w:t>
      </w:r>
      <w:r w:rsidR="009245B3">
        <w:t xml:space="preserve">it is </w:t>
      </w:r>
      <w:r w:rsidR="00204776">
        <w:t>stated in section 52 of the coroners and justice act 2009</w:t>
      </w:r>
      <w:r w:rsidR="005501A6">
        <w:t xml:space="preserve"> it deals with </w:t>
      </w:r>
      <w:r w:rsidR="008B4DCD">
        <w:t xml:space="preserve">the limited defence to murder of diminished </w:t>
      </w:r>
      <w:r w:rsidR="009245B3">
        <w:t>responsibility.</w:t>
      </w:r>
      <w:r w:rsidR="008B4DCD">
        <w:t xml:space="preserve"> </w:t>
      </w:r>
      <w:r w:rsidR="00BB0A61">
        <w:t>Sections 52,54 to 57</w:t>
      </w:r>
      <w:r w:rsidR="00FA596D">
        <w:t xml:space="preserve"> of the CJA 2009 </w:t>
      </w:r>
      <w:r w:rsidR="009D75C5">
        <w:t>made changes to the current law</w:t>
      </w:r>
      <w:r w:rsidR="008155BD">
        <w:t xml:space="preserve"> on homicide. As stated in section 52</w:t>
      </w:r>
      <w:r w:rsidR="008B26AF">
        <w:t xml:space="preserve"> it changes the defence for murder </w:t>
      </w:r>
      <w:r w:rsidR="00AD2CF2">
        <w:t xml:space="preserve">concerning </w:t>
      </w:r>
      <w:r w:rsidR="008B26AF">
        <w:t>diminished responsibility</w:t>
      </w:r>
      <w:r w:rsidR="00823115">
        <w:t>.</w:t>
      </w:r>
      <w:r w:rsidR="00AA26C2">
        <w:t xml:space="preserve"> Sections 54 and 55 help introduce a </w:t>
      </w:r>
      <w:r w:rsidR="00D465B4">
        <w:t>new limited</w:t>
      </w:r>
      <w:r w:rsidR="00DA11E2">
        <w:t xml:space="preserve"> defence </w:t>
      </w:r>
      <w:r w:rsidR="009B3BBA">
        <w:t xml:space="preserve">to murder concerning loss of control, this is to replace </w:t>
      </w:r>
      <w:r w:rsidR="000809B8">
        <w:t xml:space="preserve">the live </w:t>
      </w:r>
      <w:r w:rsidR="00524BE0">
        <w:t xml:space="preserve">incomplete </w:t>
      </w:r>
      <w:r w:rsidR="000809B8">
        <w:t>defence of</w:t>
      </w:r>
      <w:r w:rsidR="00D465B4">
        <w:t xml:space="preserve"> provocation. </w:t>
      </w:r>
    </w:p>
    <w:p w14:paraId="58A411FC" w14:textId="419C8160" w:rsidR="00797976" w:rsidRDefault="00E92CC8" w:rsidP="004433FF">
      <w:pPr>
        <w:spacing w:after="0"/>
      </w:pPr>
      <w:r>
        <w:t xml:space="preserve">The changes written in section 52 </w:t>
      </w:r>
      <w:r w:rsidR="00797976">
        <w:t xml:space="preserve">replaces the </w:t>
      </w:r>
      <w:r w:rsidR="00B00CA1">
        <w:t xml:space="preserve">existing </w:t>
      </w:r>
      <w:r w:rsidR="00797976">
        <w:t xml:space="preserve">definition of the </w:t>
      </w:r>
      <w:r w:rsidR="007832C4">
        <w:t>limited defence and replaces it with a</w:t>
      </w:r>
      <w:r w:rsidR="00B00CA1">
        <w:t>,</w:t>
      </w:r>
      <w:r w:rsidR="007832C4">
        <w:t xml:space="preserve"> more </w:t>
      </w:r>
      <w:r w:rsidR="00B00CA1">
        <w:t xml:space="preserve">up to date </w:t>
      </w:r>
      <w:r w:rsidR="00EC4B7F">
        <w:t xml:space="preserve">definition. By that means </w:t>
      </w:r>
      <w:r w:rsidR="005D412B">
        <w:t>it replaces section 2(1) of the Homicide Act 1957</w:t>
      </w:r>
      <w:r w:rsidR="006F3FAE">
        <w:t xml:space="preserve"> with newer subsections </w:t>
      </w:r>
      <w:r w:rsidR="002C28FD">
        <w:t>(1) to (1B)</w:t>
      </w:r>
      <w:r w:rsidR="00C14B87">
        <w:t xml:space="preserve">. meaning it will continue to </w:t>
      </w:r>
      <w:r w:rsidR="008E7BF1">
        <w:t>out-turn a verdict of manslaughter in place of murder.</w:t>
      </w:r>
    </w:p>
    <w:p w14:paraId="553A1E34" w14:textId="0694BBCA" w:rsidR="00E068D7" w:rsidRDefault="00AF3F9B" w:rsidP="004433FF">
      <w:pPr>
        <w:spacing w:after="0"/>
      </w:pPr>
      <w:r>
        <w:lastRenderedPageBreak/>
        <w:t>In the revised subsection (1)</w:t>
      </w:r>
      <w:r w:rsidR="0065411F">
        <w:t xml:space="preserve"> providing that the person who kills or is a </w:t>
      </w:r>
      <w:r w:rsidR="00A936CF">
        <w:t xml:space="preserve">in a party to the </w:t>
      </w:r>
      <w:r w:rsidR="00CD4899">
        <w:t>assassination of another</w:t>
      </w:r>
      <w:r w:rsidR="00A353BE">
        <w:t xml:space="preserve"> being are not to be convicted of murder in the defence that they were suffering </w:t>
      </w:r>
      <w:r w:rsidR="008C75B0">
        <w:t>from abnormality of the mind. This must come from a</w:t>
      </w:r>
      <w:r w:rsidR="00744B96">
        <w:t>n</w:t>
      </w:r>
      <w:r w:rsidR="008C75B0">
        <w:t xml:space="preserve"> </w:t>
      </w:r>
      <w:r w:rsidR="00744B96">
        <w:t>acknowledged</w:t>
      </w:r>
      <w:r w:rsidR="00304E70">
        <w:t xml:space="preserve"> </w:t>
      </w:r>
      <w:r w:rsidR="008C75B0">
        <w:t>medical condition</w:t>
      </w:r>
      <w:r w:rsidR="00B5680B">
        <w:t xml:space="preserve">, in which requires that the individuals mental functioning was impaired at the time of the </w:t>
      </w:r>
      <w:r w:rsidR="005D2736">
        <w:t>act.</w:t>
      </w:r>
    </w:p>
    <w:p w14:paraId="68C80E18" w14:textId="77777777" w:rsidR="000B77BB" w:rsidRDefault="000A3F95" w:rsidP="004433FF">
      <w:pPr>
        <w:spacing w:after="0"/>
      </w:pPr>
      <w:r>
        <w:t xml:space="preserve">The case of </w:t>
      </w:r>
      <w:r w:rsidR="00441279">
        <w:t>Regina v. Deitshmann 2003 as stated in (</w:t>
      </w:r>
      <w:r w:rsidR="004D4110">
        <w:t>Parliament.uk)</w:t>
      </w:r>
      <w:r w:rsidR="00C066EE">
        <w:t xml:space="preserve">, the </w:t>
      </w:r>
      <w:r w:rsidR="000627D5">
        <w:t>defendant</w:t>
      </w:r>
      <w:r w:rsidR="009373F4">
        <w:t xml:space="preserve"> </w:t>
      </w:r>
      <w:r w:rsidR="00DC5222">
        <w:t>killed the victim by punching and kicking him in the head.</w:t>
      </w:r>
      <w:r w:rsidR="00C424B1">
        <w:t xml:space="preserve"> During the time of the </w:t>
      </w:r>
      <w:r w:rsidR="0083604F">
        <w:t xml:space="preserve">attack the defendant was heavily under the </w:t>
      </w:r>
      <w:r w:rsidR="004A5784">
        <w:t>influence but</w:t>
      </w:r>
      <w:r w:rsidR="00060DEE">
        <w:t xml:space="preserve"> was also suffering from mental </w:t>
      </w:r>
      <w:r w:rsidR="001465CE">
        <w:t xml:space="preserve">irregularity </w:t>
      </w:r>
      <w:r w:rsidR="00C92BEF">
        <w:t xml:space="preserve">in which the medical </w:t>
      </w:r>
      <w:r w:rsidR="00F0191F">
        <w:t xml:space="preserve">eyewitnesses </w:t>
      </w:r>
      <w:r w:rsidR="00720F58">
        <w:t xml:space="preserve">for the crown and the defence </w:t>
      </w:r>
      <w:r w:rsidR="00114BA1">
        <w:t>reported as a</w:t>
      </w:r>
      <w:r w:rsidR="009C621C">
        <w:t>n ad</w:t>
      </w:r>
      <w:r w:rsidR="000818C8">
        <w:t>justment</w:t>
      </w:r>
      <w:r w:rsidR="004A5784">
        <w:t xml:space="preserve">. This was due to the recent passing of his aunt </w:t>
      </w:r>
      <w:r w:rsidR="00907771">
        <w:t>who he had</w:t>
      </w:r>
      <w:r w:rsidR="003004F3">
        <w:t xml:space="preserve"> not just</w:t>
      </w:r>
      <w:r w:rsidR="00864E84">
        <w:t xml:space="preserve"> </w:t>
      </w:r>
      <w:r w:rsidR="00777512">
        <w:t xml:space="preserve">an extremely close </w:t>
      </w:r>
      <w:r w:rsidR="003004F3">
        <w:t>emotional relationship with but also</w:t>
      </w:r>
      <w:r w:rsidR="00B14F36">
        <w:t xml:space="preserve"> a physical one too.</w:t>
      </w:r>
    </w:p>
    <w:p w14:paraId="12F4DC53" w14:textId="2E746B50" w:rsidR="000A3F95" w:rsidRDefault="000B77BB" w:rsidP="004433FF">
      <w:pPr>
        <w:spacing w:after="0"/>
      </w:pPr>
      <w:r>
        <w:t xml:space="preserve">His defence was rejected by the </w:t>
      </w:r>
      <w:r w:rsidR="00F44866">
        <w:t>jury,</w:t>
      </w:r>
      <w:r>
        <w:t xml:space="preserve"> and he was convicted of mu</w:t>
      </w:r>
      <w:r w:rsidR="00F93AFD">
        <w:t>r</w:t>
      </w:r>
      <w:r>
        <w:t xml:space="preserve">der in </w:t>
      </w:r>
      <w:r w:rsidR="00F93AFD">
        <w:t>April of 2000</w:t>
      </w:r>
      <w:r w:rsidR="003004F3">
        <w:t xml:space="preserve"> </w:t>
      </w:r>
      <w:r w:rsidR="001C6E3A">
        <w:t>and was sentenced to life in prison.</w:t>
      </w:r>
      <w:r w:rsidR="00363988">
        <w:t xml:space="preserve"> In October of 2001 </w:t>
      </w:r>
      <w:r w:rsidR="00323216">
        <w:t xml:space="preserve">his appeal against his </w:t>
      </w:r>
      <w:r w:rsidR="00882506">
        <w:t>conviction</w:t>
      </w:r>
      <w:r w:rsidR="00323216">
        <w:t xml:space="preserve"> was dismissed </w:t>
      </w:r>
      <w:r w:rsidR="00555449">
        <w:t xml:space="preserve">and he appealed to the House of Lords </w:t>
      </w:r>
      <w:r w:rsidR="008A3613">
        <w:t>against the decision of the court</w:t>
      </w:r>
      <w:r w:rsidR="00F63FAE">
        <w:t>.</w:t>
      </w:r>
      <w:r w:rsidR="00421A40">
        <w:t xml:space="preserve"> The evidence gathered from three </w:t>
      </w:r>
      <w:r w:rsidR="00982078">
        <w:t xml:space="preserve">medical practitioners included in this trial were as follows, </w:t>
      </w:r>
      <w:r w:rsidR="00CA2B26">
        <w:t xml:space="preserve">due to the research and evidence provided in court his murder conviction was </w:t>
      </w:r>
      <w:r w:rsidR="00BA2E0E">
        <w:t>sub</w:t>
      </w:r>
      <w:r w:rsidR="004D5508">
        <w:t>stituted for a manslaughter conviction.</w:t>
      </w:r>
    </w:p>
    <w:p w14:paraId="72644DF7" w14:textId="1A726BA2" w:rsidR="004F2B47" w:rsidRDefault="00CF4644" w:rsidP="004433FF">
      <w:pPr>
        <w:spacing w:after="0"/>
      </w:pPr>
      <w:r>
        <w:t>As writ</w:t>
      </w:r>
      <w:r w:rsidR="00F55F5C">
        <w:t>ten by (</w:t>
      </w:r>
      <w:r w:rsidR="00E218F0">
        <w:t>McDonald, 2018),</w:t>
      </w:r>
      <w:r w:rsidR="00784A11">
        <w:t xml:space="preserve"> even though R v Deit</w:t>
      </w:r>
      <w:r w:rsidR="00DE2D1C">
        <w:t xml:space="preserve">schmann was decided through old law, the approach is still the same </w:t>
      </w:r>
      <w:r w:rsidR="005E4B61">
        <w:t xml:space="preserve">and still applies today. When you consider </w:t>
      </w:r>
      <w:r w:rsidR="00B22D8D">
        <w:t xml:space="preserve">the possibility of the defence of diminished responsibility </w:t>
      </w:r>
      <w:r w:rsidR="00BF2324">
        <w:t>within a case such as this</w:t>
      </w:r>
      <w:r w:rsidR="003F2BC2">
        <w:t xml:space="preserve"> you should ensure that you </w:t>
      </w:r>
      <w:r w:rsidR="00D20286">
        <w:t>follow all the steps when trying to prove diminished responsibility</w:t>
      </w:r>
      <w:r w:rsidR="00436E91">
        <w:t>.</w:t>
      </w:r>
    </w:p>
    <w:p w14:paraId="3B07449E" w14:textId="0FE291B5" w:rsidR="004F2B47" w:rsidRDefault="00516A38" w:rsidP="004433FF">
      <w:pPr>
        <w:spacing w:after="0"/>
      </w:pPr>
      <w:r>
        <w:t>According to (justice.gov)</w:t>
      </w:r>
      <w:r w:rsidR="00F037D0">
        <w:t xml:space="preserve">, the aim of the coroners and justice act 2009 were to ensure that the needs of </w:t>
      </w:r>
      <w:r w:rsidR="00AE783C">
        <w:t>bereaved people were put at the cen</w:t>
      </w:r>
      <w:r w:rsidR="00B73EB2">
        <w:t xml:space="preserve">tre </w:t>
      </w:r>
      <w:r w:rsidR="000476B6">
        <w:t xml:space="preserve">of the </w:t>
      </w:r>
      <w:r w:rsidR="001E24A1">
        <w:t>coroner’s</w:t>
      </w:r>
      <w:r w:rsidR="000476B6">
        <w:t xml:space="preserve"> services.</w:t>
      </w:r>
    </w:p>
    <w:p w14:paraId="6ADB09A7" w14:textId="267ED025" w:rsidR="004F2B47" w:rsidRDefault="009F1C39" w:rsidP="004433FF">
      <w:pPr>
        <w:spacing w:after="0"/>
      </w:pPr>
      <w:r>
        <w:t>According to (Kennefick, 2011)</w:t>
      </w:r>
      <w:r w:rsidR="00503063">
        <w:t xml:space="preserve">, the definition of diminished responsibility </w:t>
      </w:r>
      <w:r w:rsidR="005F170B">
        <w:t xml:space="preserve">was reformed in England and </w:t>
      </w:r>
      <w:r w:rsidR="0073359B">
        <w:t>Wales</w:t>
      </w:r>
      <w:r w:rsidR="005F170B">
        <w:t xml:space="preserve"> under the </w:t>
      </w:r>
      <w:r w:rsidR="00B57DFD">
        <w:t xml:space="preserve">unexpected </w:t>
      </w:r>
      <w:r w:rsidR="0016630B">
        <w:t>framework of the Coroners and Justice Act 2009</w:t>
      </w:r>
      <w:r w:rsidR="008C73B3">
        <w:t xml:space="preserve">. </w:t>
      </w:r>
      <w:r w:rsidR="00B66186">
        <w:t xml:space="preserve">Despite the fact that there was large concern over the reform of </w:t>
      </w:r>
      <w:r w:rsidR="00BA48E5">
        <w:t>coroner’s</w:t>
      </w:r>
      <w:r w:rsidR="004A63C3">
        <w:t xml:space="preserve"> law </w:t>
      </w:r>
      <w:r w:rsidR="00BA48E5">
        <w:t>itself</w:t>
      </w:r>
      <w:r w:rsidR="004A63C3">
        <w:t xml:space="preserve">, in section 52 of said </w:t>
      </w:r>
      <w:r w:rsidR="00913A2F">
        <w:t xml:space="preserve">act it introduces new and up to date wording for diminished </w:t>
      </w:r>
      <w:r w:rsidR="006E7DE5">
        <w:t>responsibility, which differs significantly from the older law.</w:t>
      </w:r>
      <w:r w:rsidR="004A63C3">
        <w:t xml:space="preserve"> </w:t>
      </w:r>
    </w:p>
    <w:p w14:paraId="6A03D56F" w14:textId="5A9881D4" w:rsidR="002F6321" w:rsidRDefault="00393851" w:rsidP="004433FF">
      <w:pPr>
        <w:spacing w:after="0"/>
      </w:pPr>
      <w:r>
        <w:t xml:space="preserve">The purpose of this act </w:t>
      </w:r>
      <w:r w:rsidR="000407FF">
        <w:t xml:space="preserve">in this specific </w:t>
      </w:r>
      <w:r w:rsidR="0079212D">
        <w:t xml:space="preserve">circumstance </w:t>
      </w:r>
      <w:r w:rsidR="00844844">
        <w:t xml:space="preserve">of the application to criminal law, is to ensure that </w:t>
      </w:r>
      <w:r w:rsidR="00014004">
        <w:t>the latter is updated</w:t>
      </w:r>
      <w:r w:rsidR="00927C6E">
        <w:t xml:space="preserve"> to improve</w:t>
      </w:r>
      <w:r w:rsidR="00014004">
        <w:t xml:space="preserve"> </w:t>
      </w:r>
      <w:r w:rsidR="00AB4AEE">
        <w:t>the clarity</w:t>
      </w:r>
      <w:r w:rsidR="008659E4">
        <w:t xml:space="preserve">, fairness and </w:t>
      </w:r>
      <w:r w:rsidR="005A59F2">
        <w:t>effectiveness.</w:t>
      </w:r>
      <w:r w:rsidR="008659E4">
        <w:t xml:space="preserve"> </w:t>
      </w:r>
    </w:p>
    <w:p w14:paraId="27B9788F" w14:textId="306E1F16" w:rsidR="007865DB" w:rsidRDefault="007865DB" w:rsidP="004433FF">
      <w:pPr>
        <w:spacing w:after="0"/>
      </w:pPr>
      <w:r>
        <w:lastRenderedPageBreak/>
        <w:t>That being said</w:t>
      </w:r>
      <w:r w:rsidR="004E720B">
        <w:t xml:space="preserve">, it has been taken into consideration on whether the government has </w:t>
      </w:r>
      <w:r w:rsidR="00431576">
        <w:t xml:space="preserve">sufficiently applied </w:t>
      </w:r>
      <w:r w:rsidR="00B06FF0">
        <w:t xml:space="preserve">such merits into its </w:t>
      </w:r>
      <w:r w:rsidR="004B4864">
        <w:t>amendments of the law</w:t>
      </w:r>
      <w:r w:rsidR="00522568">
        <w:t xml:space="preserve">, as it to also plays a part in the </w:t>
      </w:r>
      <w:r w:rsidR="007B06BC">
        <w:t xml:space="preserve">scrutiny of the newer definition of diminished responsibility. </w:t>
      </w:r>
    </w:p>
    <w:p w14:paraId="0BAB5C8C" w14:textId="0567F238" w:rsidR="004A2A3A" w:rsidRDefault="004A2A3A" w:rsidP="004433FF">
      <w:pPr>
        <w:spacing w:after="0"/>
      </w:pPr>
      <w:r>
        <w:t>Written in (legislation.gov), they state that</w:t>
      </w:r>
      <w:r w:rsidR="00C8682E">
        <w:t xml:space="preserve"> the coroners and justice act was </w:t>
      </w:r>
      <w:r w:rsidR="00086656">
        <w:t>introduced</w:t>
      </w:r>
      <w:r w:rsidR="00C8682E">
        <w:t xml:space="preserve"> with the purpose of establishing </w:t>
      </w:r>
      <w:r w:rsidR="008E3305">
        <w:t>a more effective and transparent but also responsive</w:t>
      </w:r>
      <w:r w:rsidR="003310E1">
        <w:t xml:space="preserve"> coroners and justice service for </w:t>
      </w:r>
      <w:r w:rsidR="003D2731">
        <w:t xml:space="preserve">the victims, </w:t>
      </w:r>
      <w:r w:rsidR="00014E2F">
        <w:t xml:space="preserve">bereaved families the wider public and </w:t>
      </w:r>
      <w:r w:rsidR="002A3A81">
        <w:t>witnesses</w:t>
      </w:r>
      <w:r w:rsidR="00014E2F">
        <w:t>.</w:t>
      </w:r>
    </w:p>
    <w:p w14:paraId="6B8AC97C" w14:textId="07EA8453" w:rsidR="004F2B47" w:rsidRDefault="0097095F" w:rsidP="004433FF">
      <w:pPr>
        <w:spacing w:after="0"/>
      </w:pPr>
      <w:r>
        <w:t>Written in</w:t>
      </w:r>
      <w:r w:rsidR="00E9388A">
        <w:t xml:space="preserve"> smith and hogan criminal law (</w:t>
      </w:r>
      <w:r w:rsidR="007B68ED">
        <w:t>Ormerod, 2008) states that up until the Homicide Act</w:t>
      </w:r>
      <w:r w:rsidR="004A4005">
        <w:t xml:space="preserve"> 1957</w:t>
      </w:r>
      <w:r w:rsidR="00596463">
        <w:t xml:space="preserve"> that all persons who are convicted of murder</w:t>
      </w:r>
      <w:r w:rsidR="004C64F4">
        <w:t xml:space="preserve"> got automatically sentenced to death</w:t>
      </w:r>
      <w:r w:rsidR="004D1749">
        <w:t xml:space="preserve">, but by section five of the HCA 1957 specific types of murder were </w:t>
      </w:r>
      <w:r w:rsidR="007C5651">
        <w:t xml:space="preserve">picked out </w:t>
      </w:r>
      <w:r w:rsidR="00053E5A">
        <w:t xml:space="preserve">and placed under a section for capital murder, meaning these were still punishable by </w:t>
      </w:r>
      <w:r w:rsidR="005B2CEA">
        <w:t>death.</w:t>
      </w:r>
    </w:p>
    <w:p w14:paraId="4A1B084D" w14:textId="77777777" w:rsidR="00072F04" w:rsidRDefault="00A75B36" w:rsidP="004433FF">
      <w:pPr>
        <w:spacing w:after="0"/>
      </w:pPr>
      <w:r>
        <w:t>According to (herring,</w:t>
      </w:r>
      <w:r w:rsidR="00587CFF">
        <w:t xml:space="preserve"> 2019</w:t>
      </w:r>
      <w:r>
        <w:t>)</w:t>
      </w:r>
      <w:r w:rsidR="004F1665">
        <w:t xml:space="preserve">, the arguments for </w:t>
      </w:r>
      <w:r w:rsidR="009646E8">
        <w:t xml:space="preserve">the </w:t>
      </w:r>
      <w:r w:rsidR="00B55B54">
        <w:t>defence</w:t>
      </w:r>
      <w:r w:rsidR="009646E8">
        <w:t xml:space="preserve"> of diminished responsibility have been </w:t>
      </w:r>
      <w:r w:rsidR="00A278EB">
        <w:t xml:space="preserve">questioned, this is because there are two main grounds for </w:t>
      </w:r>
      <w:r w:rsidR="00B55B54">
        <w:t>objection.</w:t>
      </w:r>
      <w:r w:rsidR="008E4ABC">
        <w:t xml:space="preserve"> One being that the defence only exists simply because of the </w:t>
      </w:r>
      <w:r w:rsidR="00075E01">
        <w:t xml:space="preserve">life </w:t>
      </w:r>
      <w:r w:rsidR="008E4ABC">
        <w:t xml:space="preserve">sentence that is mandatory </w:t>
      </w:r>
      <w:r w:rsidR="00075E01">
        <w:t>for murder</w:t>
      </w:r>
      <w:r w:rsidR="00072F04">
        <w:t xml:space="preserve">. </w:t>
      </w:r>
    </w:p>
    <w:p w14:paraId="5E62F887" w14:textId="2D287A8A" w:rsidR="00C3032F" w:rsidRDefault="00072F04" w:rsidP="004433FF">
      <w:pPr>
        <w:spacing w:after="0"/>
      </w:pPr>
      <w:r>
        <w:t>To some extent this is true but</w:t>
      </w:r>
      <w:r w:rsidR="006E16CD">
        <w:t xml:space="preserve">, given </w:t>
      </w:r>
      <w:r w:rsidR="0017000B">
        <w:t>the existence of this sentence</w:t>
      </w:r>
      <w:r w:rsidR="00056A3A">
        <w:t xml:space="preserve">, it </w:t>
      </w:r>
      <w:r w:rsidR="0074796C">
        <w:t xml:space="preserve">makes it clear why </w:t>
      </w:r>
      <w:r w:rsidR="00D013F6">
        <w:t xml:space="preserve">we need to have this defence, this is in order to help avoid </w:t>
      </w:r>
      <w:r w:rsidR="008C0684">
        <w:t xml:space="preserve">what could be </w:t>
      </w:r>
      <w:r w:rsidR="00A30BB7">
        <w:t xml:space="preserve">an unsuitable </w:t>
      </w:r>
      <w:r w:rsidR="00E02233">
        <w:t xml:space="preserve">sentence. The more </w:t>
      </w:r>
      <w:r w:rsidR="00DA1F64">
        <w:t xml:space="preserve">significant </w:t>
      </w:r>
      <w:r w:rsidR="00F754F7">
        <w:t xml:space="preserve">criticism is whether or not the defendant in fact </w:t>
      </w:r>
      <w:r w:rsidR="008E704A">
        <w:t>acted the way they did because they are ill of mind</w:t>
      </w:r>
      <w:r w:rsidR="00924C7F">
        <w:t xml:space="preserve">. It has to take into account whether or not the defendant would </w:t>
      </w:r>
      <w:r w:rsidR="0043706E">
        <w:t>have</w:t>
      </w:r>
      <w:r w:rsidR="00924C7F">
        <w:t xml:space="preserve"> committed such an act if </w:t>
      </w:r>
      <w:r w:rsidR="0016667A">
        <w:t>they had in fact not suffered from an abnormality of the mind, this could then lead to the defendant being seen as unblameworthy</w:t>
      </w:r>
      <w:r w:rsidR="0043706E">
        <w:t xml:space="preserve">. </w:t>
      </w:r>
      <w:r w:rsidR="003A50EA">
        <w:t xml:space="preserve">the argument is that the </w:t>
      </w:r>
      <w:r w:rsidR="001E3B2D">
        <w:t>defence</w:t>
      </w:r>
      <w:r w:rsidR="00DE4B02">
        <w:t xml:space="preserve"> should either just be complete or be available for offences or even not at all.</w:t>
      </w:r>
      <w:r w:rsidR="008F6EEA">
        <w:t xml:space="preserve"> It is argued that this defence is illogical for diminished responsibility.</w:t>
      </w:r>
    </w:p>
    <w:p w14:paraId="0F9A1253" w14:textId="0121483B" w:rsidR="00175BC9" w:rsidRDefault="006C60C6" w:rsidP="004433FF">
      <w:pPr>
        <w:spacing w:after="0"/>
      </w:pPr>
      <w:r>
        <w:t>As written by (</w:t>
      </w:r>
      <w:r w:rsidR="00EA261C">
        <w:t>Gotter, 2021</w:t>
      </w:r>
      <w:r>
        <w:t>)</w:t>
      </w:r>
      <w:r w:rsidR="004763BF">
        <w:t xml:space="preserve"> battered women syndrome is another example of how you can plead diminished </w:t>
      </w:r>
      <w:r w:rsidR="00BA1B0F">
        <w:t>responsibility</w:t>
      </w:r>
      <w:r w:rsidR="004E4B0D">
        <w:t xml:space="preserve">, </w:t>
      </w:r>
      <w:r w:rsidR="00EA261C">
        <w:t>it is better known as post traumatic stress disorder</w:t>
      </w:r>
      <w:r w:rsidR="008D7716">
        <w:t>, PTSD for short</w:t>
      </w:r>
      <w:r w:rsidR="0033504A">
        <w:t xml:space="preserve"> this is </w:t>
      </w:r>
      <w:r w:rsidR="00602FF3">
        <w:t>just one part to the subcategory.</w:t>
      </w:r>
      <w:r w:rsidR="004E7929">
        <w:t xml:space="preserve"> </w:t>
      </w:r>
    </w:p>
    <w:p w14:paraId="74DCBED2" w14:textId="4203E74F" w:rsidR="00175BC9" w:rsidRDefault="00A55B26" w:rsidP="004433FF">
      <w:pPr>
        <w:spacing w:after="0"/>
      </w:pPr>
      <w:r>
        <w:t>As stated by (Ellison</w:t>
      </w:r>
      <w:r w:rsidR="009D3B4A">
        <w:t>, 2019</w:t>
      </w:r>
      <w:r>
        <w:t xml:space="preserve">), </w:t>
      </w:r>
      <w:r w:rsidR="00BA0BE4">
        <w:t xml:space="preserve">battered </w:t>
      </w:r>
      <w:r w:rsidR="0020078A">
        <w:t>women’s</w:t>
      </w:r>
      <w:r w:rsidR="00BA0BE4">
        <w:t xml:space="preserve"> syndrome is a temporary loss of control </w:t>
      </w:r>
      <w:r w:rsidR="0020078A">
        <w:t xml:space="preserve">it is sudden, a successful plea for this case must </w:t>
      </w:r>
      <w:r w:rsidR="00853B07">
        <w:t xml:space="preserve">require a trigger for the defendant which could be the fear that the victim will inflict serious </w:t>
      </w:r>
      <w:r w:rsidR="0046510E">
        <w:t>harm and be violent toward them</w:t>
      </w:r>
      <w:r w:rsidR="00DD5C92">
        <w:t xml:space="preserve">. </w:t>
      </w:r>
    </w:p>
    <w:p w14:paraId="2A38897D" w14:textId="3593B54A" w:rsidR="00DD5C92" w:rsidRDefault="00DD5C92" w:rsidP="004433FF">
      <w:pPr>
        <w:spacing w:after="0"/>
      </w:pPr>
      <w:r>
        <w:t xml:space="preserve">The difficulty is, is that there is no </w:t>
      </w:r>
      <w:r w:rsidR="00503F28">
        <w:t>scientific research or data that</w:t>
      </w:r>
      <w:r w:rsidR="00630403">
        <w:t xml:space="preserve"> proves the </w:t>
      </w:r>
      <w:r w:rsidR="00C66DE8">
        <w:t>consistency levels that come with self-control</w:t>
      </w:r>
      <w:r w:rsidR="000341A2">
        <w:t xml:space="preserve">. Whatever trigger is </w:t>
      </w:r>
      <w:r w:rsidR="00453FE1">
        <w:t xml:space="preserve">mentioned the defendant is then </w:t>
      </w:r>
      <w:r w:rsidR="00464C5B">
        <w:t xml:space="preserve">judged by the </w:t>
      </w:r>
      <w:r w:rsidR="002472F7">
        <w:t>objective standards</w:t>
      </w:r>
      <w:r w:rsidR="0078384C">
        <w:t xml:space="preserve">, this test </w:t>
      </w:r>
      <w:r w:rsidR="00AA5714">
        <w:t xml:space="preserve">is used to show whether the </w:t>
      </w:r>
      <w:r w:rsidR="0097755C">
        <w:t>defendant’s</w:t>
      </w:r>
      <w:r w:rsidR="00AA5714">
        <w:t xml:space="preserve"> age </w:t>
      </w:r>
      <w:r w:rsidR="00AA5714">
        <w:lastRenderedPageBreak/>
        <w:t xml:space="preserve">and sex </w:t>
      </w:r>
      <w:r w:rsidR="0097755C">
        <w:t>matched with someone with a normal degree of tolerance</w:t>
      </w:r>
      <w:r w:rsidR="00212162">
        <w:t xml:space="preserve"> would </w:t>
      </w:r>
      <w:r w:rsidR="00A862A0">
        <w:t>have</w:t>
      </w:r>
      <w:r w:rsidR="00212162">
        <w:t xml:space="preserve"> acted out in the same</w:t>
      </w:r>
      <w:r w:rsidR="002A2156">
        <w:t xml:space="preserve"> or </w:t>
      </w:r>
      <w:r w:rsidR="005D2EB6">
        <w:t>similar way</w:t>
      </w:r>
      <w:r w:rsidR="00212162">
        <w:t xml:space="preserve"> in which the defendant did</w:t>
      </w:r>
      <w:r w:rsidR="005D2EB6">
        <w:t>.</w:t>
      </w:r>
    </w:p>
    <w:p w14:paraId="0AB50D8F" w14:textId="77777777" w:rsidR="00F3774C" w:rsidRDefault="00F3774C" w:rsidP="004433FF">
      <w:pPr>
        <w:spacing w:after="0"/>
      </w:pPr>
    </w:p>
    <w:p w14:paraId="1992F995" w14:textId="16B1DAE3" w:rsidR="00F435FC" w:rsidRDefault="00F3774C" w:rsidP="004433FF">
      <w:pPr>
        <w:spacing w:after="0"/>
      </w:pPr>
      <w:r>
        <w:t>In conclusion diminished responsibility has its pros and cons</w:t>
      </w:r>
      <w:r w:rsidR="003879FD">
        <w:t xml:space="preserve">, some people consider this defence to be unfair as if allows </w:t>
      </w:r>
      <w:r w:rsidR="00F435FC">
        <w:t xml:space="preserve">a defendant to lessen their conviction and people can see this as the victim’s family not getting the justice they deserve. </w:t>
      </w:r>
    </w:p>
    <w:p w14:paraId="40705655" w14:textId="5EC3D36E" w:rsidR="00A61EDF" w:rsidRDefault="00F435FC" w:rsidP="004433FF">
      <w:pPr>
        <w:spacing w:after="0"/>
      </w:pPr>
      <w:r>
        <w:t>T</w:t>
      </w:r>
      <w:r w:rsidR="00B00D14">
        <w:t>t is a good thing it was updated</w:t>
      </w:r>
      <w:r w:rsidR="00C3571A">
        <w:t xml:space="preserve"> but understandably it is hard to update such things when the world around us changes so much</w:t>
      </w:r>
      <w:r w:rsidR="00664AC8">
        <w:t xml:space="preserve">. As written </w:t>
      </w:r>
      <w:r w:rsidR="0033053D">
        <w:t>by (Watson</w:t>
      </w:r>
      <w:r w:rsidR="00EF112B">
        <w:t xml:space="preserve">, 2017), the law is not </w:t>
      </w:r>
      <w:r w:rsidR="00A065F8">
        <w:t xml:space="preserve">stationary meaning it is important that we try to keep up to date with </w:t>
      </w:r>
      <w:r w:rsidR="00AC4EAD">
        <w:t xml:space="preserve">legislation and that it should be </w:t>
      </w:r>
      <w:r w:rsidR="00A862A0">
        <w:t>managed in an orderly way</w:t>
      </w:r>
      <w:r w:rsidR="00BF792C">
        <w:t xml:space="preserve">. The law </w:t>
      </w:r>
      <w:r w:rsidR="00DF3B76">
        <w:t xml:space="preserve">is active and is ever changing. </w:t>
      </w:r>
    </w:p>
    <w:p w14:paraId="77D125D7" w14:textId="11B60068" w:rsidR="00DF3B76" w:rsidRDefault="00DF3B76" w:rsidP="004433FF">
      <w:pPr>
        <w:spacing w:after="0"/>
      </w:pPr>
      <w:r>
        <w:t>When the law gets</w:t>
      </w:r>
      <w:r w:rsidR="0099736E">
        <w:t xml:space="preserve"> changed this means that</w:t>
      </w:r>
      <w:r w:rsidR="00B13616">
        <w:t>, any existing regulations in the area that is being changed are amended, or that there are new regulations in place</w:t>
      </w:r>
      <w:r w:rsidR="007B10D2">
        <w:t>.</w:t>
      </w:r>
    </w:p>
    <w:p w14:paraId="6D67CF0A" w14:textId="01626721" w:rsidR="00EC1086" w:rsidRDefault="00402DE2" w:rsidP="004433FF">
      <w:pPr>
        <w:spacing w:after="0"/>
      </w:pPr>
      <w:r>
        <w:t xml:space="preserve">Before laws can be changed it has to go through various stages </w:t>
      </w:r>
      <w:r w:rsidR="00312047">
        <w:t xml:space="preserve">in parliament, as written in (parliament.uk) before new laws are </w:t>
      </w:r>
      <w:r w:rsidR="00582D95">
        <w:t xml:space="preserve">proposed, they are introduced into parliament which then leads to </w:t>
      </w:r>
      <w:r w:rsidR="00131B71">
        <w:t>deliberations with different interested parties</w:t>
      </w:r>
      <w:r w:rsidR="00DC0951">
        <w:t xml:space="preserve"> this could be different types of professional bodies, </w:t>
      </w:r>
      <w:r w:rsidR="00A900E5">
        <w:t xml:space="preserve">voluntary </w:t>
      </w:r>
      <w:r w:rsidR="00483EC5">
        <w:t xml:space="preserve">groups. </w:t>
      </w:r>
    </w:p>
    <w:p w14:paraId="371B04B3" w14:textId="11586580" w:rsidR="00483EC5" w:rsidRDefault="00483EC5" w:rsidP="004433FF">
      <w:pPr>
        <w:spacing w:after="0"/>
      </w:pPr>
      <w:r>
        <w:t xml:space="preserve">These plans for newer up to date laws are </w:t>
      </w:r>
      <w:r w:rsidR="00DB0232">
        <w:t xml:space="preserve">included in the </w:t>
      </w:r>
      <w:r w:rsidR="00A73FDC">
        <w:t>king’s</w:t>
      </w:r>
      <w:r w:rsidR="00DB0232">
        <w:t xml:space="preserve"> speech which is at the opening of each session of parliament</w:t>
      </w:r>
      <w:r w:rsidR="00DE2620">
        <w:t xml:space="preserve">, and changes to the already existing laws. Newer </w:t>
      </w:r>
      <w:r w:rsidR="001D4B2E">
        <w:t>laws can however</w:t>
      </w:r>
      <w:r w:rsidR="00BD4CA7">
        <w:t xml:space="preserve">, </w:t>
      </w:r>
      <w:r w:rsidR="001D4B2E">
        <w:t>come from a lord or even an MP</w:t>
      </w:r>
      <w:r w:rsidR="00BD4CA7">
        <w:t>.</w:t>
      </w:r>
    </w:p>
    <w:p w14:paraId="01984A2D" w14:textId="4A62443D" w:rsidR="002F6321" w:rsidRDefault="002F6321"/>
    <w:p w14:paraId="36E0B23A" w14:textId="652226BF" w:rsidR="002F6321" w:rsidRDefault="002F6321"/>
    <w:p w14:paraId="6A3558C2" w14:textId="1B9AEF7C" w:rsidR="002F6321" w:rsidRDefault="002F6321"/>
    <w:p w14:paraId="21E215D5" w14:textId="796C3F2D" w:rsidR="002F6321" w:rsidRDefault="002F6321"/>
    <w:p w14:paraId="48C0A765" w14:textId="21E2A5E2" w:rsidR="002F6321" w:rsidRDefault="002F6321"/>
    <w:p w14:paraId="0F02A0ED" w14:textId="72E4650F" w:rsidR="002F6321" w:rsidRDefault="002F6321"/>
    <w:p w14:paraId="3F05DCCC" w14:textId="5EF44AC2" w:rsidR="002F6321" w:rsidRDefault="002F6321"/>
    <w:p w14:paraId="5CE4EDB6" w14:textId="558034E9" w:rsidR="002F6321" w:rsidRDefault="002F6321"/>
    <w:p w14:paraId="327AA7A9" w14:textId="77777777" w:rsidR="002F6321" w:rsidRDefault="002F6321"/>
    <w:p w14:paraId="5A377701" w14:textId="77777777" w:rsidR="0010584B" w:rsidRDefault="0010584B"/>
    <w:p w14:paraId="083B37F9" w14:textId="6AE4E5B8" w:rsidR="00D64620" w:rsidRPr="00997B32" w:rsidRDefault="00997B32">
      <w:pPr>
        <w:rPr>
          <w:u w:val="single"/>
        </w:rPr>
      </w:pPr>
      <w:r w:rsidRPr="00997B32">
        <w:rPr>
          <w:u w:val="single"/>
        </w:rPr>
        <w:lastRenderedPageBreak/>
        <w:t>Reference List</w:t>
      </w:r>
    </w:p>
    <w:p w14:paraId="652E7EDA" w14:textId="19631171" w:rsidR="00DF76CD" w:rsidRPr="00DF76CD" w:rsidRDefault="00997B32" w:rsidP="00866ABF">
      <w:pPr>
        <w:rPr>
          <w:color w:val="0563C1" w:themeColor="hyperlink"/>
          <w:u w:val="single"/>
        </w:rPr>
      </w:pPr>
      <w:hyperlink r:id="rId5" w:history="1">
        <w:r w:rsidRPr="00335727">
          <w:rPr>
            <w:rStyle w:val="Hyperlink"/>
          </w:rPr>
          <w:t>https://plus-lexis-com.ezproxy.uwtsd.ac.uk/uk/document/documentlink/?pdmfid=1001073&amp;crid=d79bda84-d85a-4e92-b40b-e05c06d4cc2c&amp;pddocfullpath=%2Fshared%2Fdocument%2Fanalytical-materials-uk%2Furn%3AcontentItem%3A5G8T-7VD1-F0CS-G0V2-00000-00&amp;pdcontentcomponentid=275417&amp;pdproductcontenttypeid=undefined&amp;pdiskwicview=false&amp;pdpinpoint=&amp;isviewwholeof=true&amp;tocid=urn%3AcontentItem%3A5PVF-2791-FKHM-D000-00000-00&amp;tocnodeid=AANAACAABAAE&amp;doccollection=analytical-materials-uk&amp;hlct=urn%3Ahlct%3A50&amp;pct=urn%3Apct%3A241&amp;docproviderid=-k4k&amp;fonttype=verdana&amp;fontsize=Small&amp;ecomp=-k4k&amp;prid=73b1f06f-0e42-4ed8-ba84-37564d0a3f26</w:t>
        </w:r>
      </w:hyperlink>
    </w:p>
    <w:p w14:paraId="5A47E17D" w14:textId="2C433463" w:rsidR="00885151" w:rsidRDefault="00601192">
      <w:r>
        <w:t>D</w:t>
      </w:r>
      <w:r w:rsidR="00B63281">
        <w:t>ate accessed 5</w:t>
      </w:r>
      <w:r w:rsidR="00B63281" w:rsidRPr="00B63281">
        <w:rPr>
          <w:vertAlign w:val="superscript"/>
        </w:rPr>
        <w:t>th</w:t>
      </w:r>
      <w:r w:rsidR="00B63281">
        <w:t xml:space="preserve"> </w:t>
      </w:r>
      <w:r>
        <w:t>March 2023</w:t>
      </w:r>
    </w:p>
    <w:p w14:paraId="6C4F6B49" w14:textId="77777777" w:rsidR="00601192" w:rsidRDefault="00601192"/>
    <w:p w14:paraId="709FCE46" w14:textId="4A5BFC67" w:rsidR="00B2574B" w:rsidRDefault="00B2574B" w:rsidP="00B2574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Ministry of Justice (2022). </w:t>
      </w:r>
      <w:r>
        <w:rPr>
          <w:rFonts w:ascii="Calibri" w:hAnsi="Calibri" w:cs="Calibri"/>
          <w:i/>
          <w:iCs/>
          <w:color w:val="000000"/>
          <w:sz w:val="27"/>
          <w:szCs w:val="27"/>
        </w:rPr>
        <w:t>Coroners and Justice Act 2009 - Explanatory Notes</w:t>
      </w:r>
      <w:r>
        <w:rPr>
          <w:rFonts w:ascii="Calibri" w:hAnsi="Calibri" w:cs="Calibri"/>
          <w:color w:val="000000"/>
          <w:sz w:val="27"/>
          <w:szCs w:val="27"/>
        </w:rPr>
        <w:t xml:space="preserve">. [online] Legislation.gov.uk. Available at: </w:t>
      </w:r>
      <w:hyperlink r:id="rId6" w:history="1">
        <w:r w:rsidRPr="00335727">
          <w:rPr>
            <w:rStyle w:val="Hyperlink"/>
            <w:rFonts w:ascii="Calibri" w:hAnsi="Calibri" w:cs="Calibri"/>
            <w:sz w:val="27"/>
            <w:szCs w:val="27"/>
          </w:rPr>
          <w:t>https://www.legislation.gov.uk/ukpga/2009/25/notes#:~:text=The%20purpose%20of%20the%20Act</w:t>
        </w:r>
      </w:hyperlink>
      <w:r>
        <w:rPr>
          <w:rFonts w:ascii="Calibri" w:hAnsi="Calibri" w:cs="Calibri"/>
          <w:color w:val="000000"/>
          <w:sz w:val="27"/>
          <w:szCs w:val="27"/>
        </w:rPr>
        <w:t>.</w:t>
      </w:r>
    </w:p>
    <w:p w14:paraId="566DAB29" w14:textId="77777777" w:rsidR="00B2574B" w:rsidRDefault="00B2574B" w:rsidP="00B2574B">
      <w:pPr>
        <w:pStyle w:val="NormalWeb"/>
        <w:spacing w:before="0" w:beforeAutospacing="0" w:after="0" w:afterAutospacing="0" w:line="360" w:lineRule="atLeast"/>
        <w:rPr>
          <w:rFonts w:ascii="Calibri" w:hAnsi="Calibri" w:cs="Calibri"/>
          <w:color w:val="000000"/>
          <w:sz w:val="27"/>
          <w:szCs w:val="27"/>
        </w:rPr>
      </w:pPr>
    </w:p>
    <w:p w14:paraId="000E9264" w14:textId="3AFA2696" w:rsidR="00601192" w:rsidRPr="00B2574B" w:rsidRDefault="00B2574B" w:rsidP="00B2574B">
      <w:pPr>
        <w:pStyle w:val="NormalWeb"/>
        <w:rPr>
          <w:rFonts w:ascii="Calibri" w:hAnsi="Calibri" w:cs="Calibri"/>
          <w:color w:val="000000"/>
          <w:sz w:val="27"/>
          <w:szCs w:val="27"/>
        </w:rPr>
      </w:pPr>
      <w:r>
        <w:rPr>
          <w:rFonts w:ascii="Calibri" w:hAnsi="Calibri" w:cs="Calibri"/>
          <w:color w:val="000000"/>
          <w:sz w:val="27"/>
          <w:szCs w:val="27"/>
        </w:rPr>
        <w:t>‌</w:t>
      </w:r>
      <w:r w:rsidR="00601192">
        <w:t>Date accessed 5</w:t>
      </w:r>
      <w:r w:rsidR="00601192" w:rsidRPr="00601192">
        <w:rPr>
          <w:vertAlign w:val="superscript"/>
        </w:rPr>
        <w:t>th</w:t>
      </w:r>
      <w:r w:rsidR="00601192">
        <w:t xml:space="preserve"> March 2023</w:t>
      </w:r>
    </w:p>
    <w:p w14:paraId="2D0BB747" w14:textId="3C216AA5" w:rsidR="00385008" w:rsidRDefault="00385008" w:rsidP="0038500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TITLE Partial defences to murder: loss of control and diminished responsibility; and infanticide: Implementation of Sections 52, and 54 to 57 of the Coroners and Justice Act 2009 From: Criminal Law Policy Unit Ministry of Justice. (2010). Available at: </w:t>
      </w:r>
      <w:hyperlink r:id="rId7" w:history="1">
        <w:r w:rsidRPr="00335727">
          <w:rPr>
            <w:rStyle w:val="Hyperlink"/>
            <w:rFonts w:ascii="Calibri" w:hAnsi="Calibri" w:cs="Calibri"/>
            <w:sz w:val="27"/>
            <w:szCs w:val="27"/>
          </w:rPr>
          <w:t>https://www.justice.gov.uk/downloads/legislation/bills-acts/circulars/moj/2010/circular-12-2010-coroners-justice-act-homicide-provisions.pdf</w:t>
        </w:r>
      </w:hyperlink>
      <w:r>
        <w:rPr>
          <w:rFonts w:ascii="Calibri" w:hAnsi="Calibri" w:cs="Calibri"/>
          <w:color w:val="000000"/>
          <w:sz w:val="27"/>
          <w:szCs w:val="27"/>
        </w:rPr>
        <w:t>.</w:t>
      </w:r>
    </w:p>
    <w:p w14:paraId="442D2EEF" w14:textId="77777777" w:rsidR="00385008" w:rsidRDefault="00385008" w:rsidP="00385008">
      <w:pPr>
        <w:pStyle w:val="NormalWeb"/>
        <w:spacing w:before="0" w:beforeAutospacing="0" w:after="0" w:afterAutospacing="0" w:line="360" w:lineRule="atLeast"/>
        <w:rPr>
          <w:rFonts w:ascii="Calibri" w:hAnsi="Calibri" w:cs="Calibri"/>
          <w:color w:val="000000"/>
          <w:sz w:val="27"/>
          <w:szCs w:val="27"/>
        </w:rPr>
      </w:pPr>
    </w:p>
    <w:p w14:paraId="2DE3F897" w14:textId="07F751B5" w:rsidR="00060C63" w:rsidRPr="00385008" w:rsidRDefault="00601192" w:rsidP="00385008">
      <w:pPr>
        <w:pStyle w:val="NormalWeb"/>
        <w:rPr>
          <w:rFonts w:ascii="Calibri" w:hAnsi="Calibri" w:cs="Calibri"/>
          <w:color w:val="000000"/>
          <w:sz w:val="27"/>
          <w:szCs w:val="27"/>
        </w:rPr>
      </w:pPr>
      <w:r>
        <w:t>Date accessed 5</w:t>
      </w:r>
      <w:r w:rsidRPr="00601192">
        <w:rPr>
          <w:vertAlign w:val="superscript"/>
        </w:rPr>
        <w:t>th</w:t>
      </w:r>
      <w:r>
        <w:t xml:space="preserve"> March 2023</w:t>
      </w:r>
    </w:p>
    <w:p w14:paraId="31CBC730" w14:textId="339BF4C0" w:rsidR="00656C96" w:rsidRDefault="00656C96" w:rsidP="00656C9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The Law Commission A NEW HOMICIDE ACT FOR ENGLAND AND WALES? A Consultation Paper. (n.d.). Available at: </w:t>
      </w:r>
      <w:hyperlink r:id="rId8" w:history="1">
        <w:r w:rsidRPr="00335727">
          <w:rPr>
            <w:rStyle w:val="Hyperlink"/>
            <w:rFonts w:ascii="Calibri" w:hAnsi="Calibri" w:cs="Calibri"/>
            <w:sz w:val="27"/>
            <w:szCs w:val="27"/>
          </w:rPr>
          <w:t>https://www.lawcom.gov.uk/app/uploads/2015/03/cp177_Murder_Manslaughter_and_Infanticide_consultation_.pdf</w:t>
        </w:r>
      </w:hyperlink>
      <w:r>
        <w:rPr>
          <w:rFonts w:ascii="Calibri" w:hAnsi="Calibri" w:cs="Calibri"/>
          <w:color w:val="000000"/>
          <w:sz w:val="27"/>
          <w:szCs w:val="27"/>
        </w:rPr>
        <w:t xml:space="preserve"> </w:t>
      </w:r>
      <w:r>
        <w:rPr>
          <w:rFonts w:ascii="Calibri" w:hAnsi="Calibri" w:cs="Calibri"/>
          <w:color w:val="000000"/>
          <w:sz w:val="27"/>
          <w:szCs w:val="27"/>
        </w:rPr>
        <w:t xml:space="preserve"> </w:t>
      </w:r>
    </w:p>
    <w:p w14:paraId="4CB3237E" w14:textId="3ABED8DA" w:rsidR="00B9231D" w:rsidRPr="00AF43F4" w:rsidRDefault="00656C96" w:rsidP="00AF43F4">
      <w:pPr>
        <w:pStyle w:val="NormalWeb"/>
        <w:rPr>
          <w:rFonts w:ascii="Calibri" w:hAnsi="Calibri" w:cs="Calibri"/>
          <w:color w:val="000000"/>
          <w:sz w:val="27"/>
          <w:szCs w:val="27"/>
        </w:rPr>
      </w:pPr>
      <w:r>
        <w:rPr>
          <w:rFonts w:ascii="Calibri" w:hAnsi="Calibri" w:cs="Calibri"/>
          <w:color w:val="000000"/>
          <w:sz w:val="27"/>
          <w:szCs w:val="27"/>
        </w:rPr>
        <w:lastRenderedPageBreak/>
        <w:t>‌</w:t>
      </w:r>
      <w:r w:rsidR="00B9231D">
        <w:t>Date accessed 5</w:t>
      </w:r>
      <w:r w:rsidR="00B9231D" w:rsidRPr="00B9231D">
        <w:rPr>
          <w:vertAlign w:val="superscript"/>
        </w:rPr>
        <w:t>th</w:t>
      </w:r>
      <w:r w:rsidR="00B9231D">
        <w:t xml:space="preserve"> March 2023</w:t>
      </w:r>
    </w:p>
    <w:p w14:paraId="401F612E" w14:textId="63F00B56" w:rsidR="00AF43F4" w:rsidRDefault="00AF43F4" w:rsidP="00AF43F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publications.parliament.uk. (n.d.). </w:t>
      </w:r>
      <w:r>
        <w:rPr>
          <w:rFonts w:ascii="Calibri" w:hAnsi="Calibri" w:cs="Calibri"/>
          <w:i/>
          <w:iCs/>
          <w:color w:val="000000"/>
          <w:sz w:val="27"/>
          <w:szCs w:val="27"/>
        </w:rPr>
        <w:t>House of Lords - Regina v Dietschmann (Appellant) (on appeal from the Court of Appeal (Criminal Division))</w:t>
      </w:r>
      <w:r>
        <w:rPr>
          <w:rFonts w:ascii="Calibri" w:hAnsi="Calibri" w:cs="Calibri"/>
          <w:color w:val="000000"/>
          <w:sz w:val="27"/>
          <w:szCs w:val="27"/>
        </w:rPr>
        <w:t xml:space="preserve">. [online] Available at: </w:t>
      </w:r>
      <w:hyperlink r:id="rId9" w:history="1">
        <w:r w:rsidRPr="00335727">
          <w:rPr>
            <w:rStyle w:val="Hyperlink"/>
            <w:rFonts w:ascii="Calibri" w:hAnsi="Calibri" w:cs="Calibri"/>
            <w:sz w:val="27"/>
            <w:szCs w:val="27"/>
          </w:rPr>
          <w:t>https://publications.parliament.uk/pa/ld200203/ldjudgmt/jd030227/diets-1.htm</w:t>
        </w:r>
      </w:hyperlink>
      <w:r>
        <w:rPr>
          <w:rFonts w:ascii="Calibri" w:hAnsi="Calibri" w:cs="Calibri"/>
          <w:color w:val="000000"/>
          <w:sz w:val="27"/>
          <w:szCs w:val="27"/>
        </w:rPr>
        <w:t>.</w:t>
      </w:r>
    </w:p>
    <w:p w14:paraId="26BFBCD1" w14:textId="77777777" w:rsidR="00AF43F4" w:rsidRDefault="00AF43F4" w:rsidP="00AF43F4">
      <w:pPr>
        <w:pStyle w:val="NormalWeb"/>
        <w:spacing w:before="0" w:beforeAutospacing="0" w:after="0" w:afterAutospacing="0" w:line="360" w:lineRule="atLeast"/>
        <w:rPr>
          <w:rFonts w:ascii="Calibri" w:hAnsi="Calibri" w:cs="Calibri"/>
          <w:color w:val="000000"/>
          <w:sz w:val="27"/>
          <w:szCs w:val="27"/>
        </w:rPr>
      </w:pPr>
    </w:p>
    <w:p w14:paraId="0F8E5BF7" w14:textId="3097542E" w:rsidR="009D0455" w:rsidRPr="00AF43F4" w:rsidRDefault="003627BD" w:rsidP="00AF43F4">
      <w:pPr>
        <w:pStyle w:val="NormalWeb"/>
        <w:rPr>
          <w:rFonts w:ascii="Calibri" w:hAnsi="Calibri" w:cs="Calibri"/>
          <w:color w:val="000000"/>
          <w:sz w:val="27"/>
          <w:szCs w:val="27"/>
        </w:rPr>
      </w:pPr>
      <w:r>
        <w:t>Date accessed 6</w:t>
      </w:r>
      <w:r w:rsidRPr="003627BD">
        <w:rPr>
          <w:vertAlign w:val="superscript"/>
        </w:rPr>
        <w:t>th</w:t>
      </w:r>
      <w:r>
        <w:t xml:space="preserve"> March 2023</w:t>
      </w:r>
    </w:p>
    <w:p w14:paraId="3173DA61" w14:textId="77777777" w:rsidR="003627BD" w:rsidRDefault="003627BD"/>
    <w:p w14:paraId="385F46ED" w14:textId="4DDF1E27" w:rsidR="007E64E6" w:rsidRDefault="00000000">
      <w:pPr>
        <w:rPr>
          <w:rStyle w:val="Hyperlink"/>
        </w:rPr>
      </w:pPr>
      <w:hyperlink r:id="rId10" w:history="1">
        <w:r w:rsidR="007E64E6" w:rsidRPr="00335727">
          <w:rPr>
            <w:rStyle w:val="Hyperlink"/>
          </w:rPr>
          <w:t>http://eprints.gla.ac.uk/180117/7/180117.pdf</w:t>
        </w:r>
      </w:hyperlink>
      <w:r w:rsidR="007E64E6">
        <w:rPr>
          <w:rStyle w:val="Hyperlink"/>
        </w:rPr>
        <w:t xml:space="preserve"> </w:t>
      </w:r>
    </w:p>
    <w:p w14:paraId="03949490" w14:textId="5DE7DA46" w:rsidR="007E64E6" w:rsidRDefault="007E64E6">
      <w:pPr>
        <w:rPr>
          <w:rStyle w:val="Hyperlink"/>
          <w:color w:val="000000" w:themeColor="text1"/>
          <w:u w:val="none"/>
        </w:rPr>
      </w:pPr>
      <w:r w:rsidRPr="007E64E6">
        <w:rPr>
          <w:rStyle w:val="Hyperlink"/>
          <w:color w:val="000000" w:themeColor="text1"/>
          <w:u w:val="none"/>
        </w:rPr>
        <w:t>date accessed 6</w:t>
      </w:r>
      <w:r w:rsidRPr="007E64E6">
        <w:rPr>
          <w:rStyle w:val="Hyperlink"/>
          <w:color w:val="000000" w:themeColor="text1"/>
          <w:u w:val="none"/>
          <w:vertAlign w:val="superscript"/>
        </w:rPr>
        <w:t>th</w:t>
      </w:r>
      <w:r w:rsidRPr="007E64E6">
        <w:rPr>
          <w:rStyle w:val="Hyperlink"/>
          <w:color w:val="000000" w:themeColor="text1"/>
          <w:u w:val="none"/>
        </w:rPr>
        <w:t xml:space="preserve"> March 2023</w:t>
      </w:r>
    </w:p>
    <w:p w14:paraId="6B185822" w14:textId="7493CE31" w:rsidR="002A64A9" w:rsidRDefault="002A64A9" w:rsidP="002A64A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UK Parliament. (2022). </w:t>
      </w:r>
      <w:r>
        <w:rPr>
          <w:rFonts w:ascii="Calibri" w:hAnsi="Calibri" w:cs="Calibri"/>
          <w:i/>
          <w:iCs/>
          <w:color w:val="000000"/>
          <w:sz w:val="27"/>
          <w:szCs w:val="27"/>
        </w:rPr>
        <w:t>Why are new laws needed?</w:t>
      </w:r>
      <w:r>
        <w:rPr>
          <w:rFonts w:ascii="Calibri" w:hAnsi="Calibri" w:cs="Calibri"/>
          <w:color w:val="000000"/>
          <w:sz w:val="27"/>
          <w:szCs w:val="27"/>
        </w:rPr>
        <w:t xml:space="preserve"> [online] Available at: </w:t>
      </w:r>
      <w:hyperlink r:id="rId11" w:history="1">
        <w:r w:rsidRPr="00335727">
          <w:rPr>
            <w:rStyle w:val="Hyperlink"/>
            <w:rFonts w:ascii="Calibri" w:hAnsi="Calibri" w:cs="Calibri"/>
            <w:sz w:val="27"/>
            <w:szCs w:val="27"/>
          </w:rPr>
          <w:t>https://www.parliament.uk/about/how/laws/new-laws/</w:t>
        </w:r>
      </w:hyperlink>
      <w:r>
        <w:rPr>
          <w:rFonts w:ascii="Calibri" w:hAnsi="Calibri" w:cs="Calibri"/>
          <w:color w:val="000000"/>
          <w:sz w:val="27"/>
          <w:szCs w:val="27"/>
        </w:rPr>
        <w:t>.</w:t>
      </w:r>
    </w:p>
    <w:p w14:paraId="109F7519" w14:textId="77777777" w:rsidR="002A64A9" w:rsidRDefault="002A64A9" w:rsidP="002A64A9">
      <w:pPr>
        <w:pStyle w:val="NormalWeb"/>
        <w:spacing w:before="0" w:beforeAutospacing="0" w:after="0" w:afterAutospacing="0" w:line="360" w:lineRule="atLeast"/>
        <w:rPr>
          <w:rFonts w:ascii="Calibri" w:hAnsi="Calibri" w:cs="Calibri"/>
          <w:color w:val="000000"/>
          <w:sz w:val="27"/>
          <w:szCs w:val="27"/>
        </w:rPr>
      </w:pPr>
    </w:p>
    <w:p w14:paraId="2FD21859" w14:textId="523D2944" w:rsidR="003D4BA0" w:rsidRDefault="002A64A9">
      <w:r>
        <w:t>D</w:t>
      </w:r>
      <w:r w:rsidR="003627BD">
        <w:t>ate accessed 6</w:t>
      </w:r>
      <w:r w:rsidR="003627BD" w:rsidRPr="003627BD">
        <w:rPr>
          <w:vertAlign w:val="superscript"/>
        </w:rPr>
        <w:t>th</w:t>
      </w:r>
      <w:r w:rsidR="003627BD">
        <w:t xml:space="preserve"> March 2023</w:t>
      </w:r>
    </w:p>
    <w:p w14:paraId="77B94795" w14:textId="519EE650" w:rsidR="00993231" w:rsidRDefault="00993231" w:rsidP="0099323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Watson, G. (n.d.). </w:t>
      </w:r>
      <w:r>
        <w:rPr>
          <w:rFonts w:ascii="Calibri" w:hAnsi="Calibri" w:cs="Calibri"/>
          <w:i/>
          <w:iCs/>
          <w:color w:val="000000"/>
          <w:sz w:val="27"/>
          <w:szCs w:val="27"/>
        </w:rPr>
        <w:t>Why regulation monitoring and having accurately updated legislation is important</w:t>
      </w:r>
      <w:r>
        <w:rPr>
          <w:rFonts w:ascii="Calibri" w:hAnsi="Calibri" w:cs="Calibri"/>
          <w:color w:val="000000"/>
          <w:sz w:val="27"/>
          <w:szCs w:val="27"/>
        </w:rPr>
        <w:t xml:space="preserve">. [online] blog.libryo.com. Available at: </w:t>
      </w:r>
      <w:hyperlink r:id="rId12" w:history="1">
        <w:r w:rsidRPr="00335727">
          <w:rPr>
            <w:rStyle w:val="Hyperlink"/>
            <w:rFonts w:ascii="Calibri" w:hAnsi="Calibri" w:cs="Calibri"/>
            <w:sz w:val="27"/>
            <w:szCs w:val="27"/>
          </w:rPr>
          <w:t>https://blog.libryo.com/legal-registers-series-part-2-how-to-spot-the-difference-between-up-to-date-and-accurately-up-to-date#:~:text=Keeping%20up%20to%20date%20with%20legislation%20should%20be%20systematically%20managed</w:t>
        </w:r>
      </w:hyperlink>
    </w:p>
    <w:p w14:paraId="1141C063" w14:textId="77777777" w:rsidR="00993231" w:rsidRDefault="00993231" w:rsidP="00993231">
      <w:pPr>
        <w:pStyle w:val="NormalWeb"/>
        <w:spacing w:before="0" w:beforeAutospacing="0" w:after="0" w:afterAutospacing="0" w:line="360" w:lineRule="atLeast"/>
        <w:rPr>
          <w:rFonts w:ascii="Calibri" w:hAnsi="Calibri" w:cs="Calibri"/>
          <w:color w:val="000000"/>
          <w:sz w:val="27"/>
          <w:szCs w:val="27"/>
        </w:rPr>
      </w:pPr>
    </w:p>
    <w:p w14:paraId="0D454DE6" w14:textId="0FDB6D9A" w:rsidR="00615AF6" w:rsidRDefault="00993231" w:rsidP="00993231">
      <w:pPr>
        <w:pStyle w:val="NormalWeb"/>
        <w:rPr>
          <w:rFonts w:ascii="Calibri" w:hAnsi="Calibri" w:cs="Calibri"/>
          <w:color w:val="000000"/>
          <w:sz w:val="27"/>
          <w:szCs w:val="27"/>
        </w:rPr>
      </w:pPr>
      <w:r>
        <w:rPr>
          <w:rFonts w:ascii="Calibri" w:hAnsi="Calibri" w:cs="Calibri"/>
          <w:color w:val="000000"/>
          <w:sz w:val="27"/>
          <w:szCs w:val="27"/>
        </w:rPr>
        <w:t xml:space="preserve">Date accessed </w:t>
      </w:r>
      <w:r w:rsidR="0008132F">
        <w:rPr>
          <w:rFonts w:ascii="Calibri" w:hAnsi="Calibri" w:cs="Calibri"/>
          <w:color w:val="000000"/>
          <w:sz w:val="27"/>
          <w:szCs w:val="27"/>
        </w:rPr>
        <w:t>6</w:t>
      </w:r>
      <w:r w:rsidR="0008132F" w:rsidRPr="0008132F">
        <w:rPr>
          <w:rFonts w:ascii="Calibri" w:hAnsi="Calibri" w:cs="Calibri"/>
          <w:color w:val="000000"/>
          <w:sz w:val="27"/>
          <w:szCs w:val="27"/>
          <w:vertAlign w:val="superscript"/>
        </w:rPr>
        <w:t>th</w:t>
      </w:r>
      <w:r w:rsidR="0008132F">
        <w:rPr>
          <w:rFonts w:ascii="Calibri" w:hAnsi="Calibri" w:cs="Calibri"/>
          <w:color w:val="000000"/>
          <w:sz w:val="27"/>
          <w:szCs w:val="27"/>
        </w:rPr>
        <w:t xml:space="preserve"> March 2023</w:t>
      </w:r>
    </w:p>
    <w:p w14:paraId="4C29D3DA" w14:textId="2D5E224D" w:rsidR="0014799B" w:rsidRDefault="0014799B" w:rsidP="001479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Ellison, L. (2019). </w:t>
      </w:r>
      <w:r>
        <w:rPr>
          <w:rFonts w:ascii="Calibri" w:hAnsi="Calibri" w:cs="Calibri"/>
          <w:i/>
          <w:iCs/>
          <w:color w:val="000000"/>
          <w:sz w:val="27"/>
          <w:szCs w:val="27"/>
        </w:rPr>
        <w:t>Coercive and Controlling Men and the Women Who Kill Them</w:t>
      </w:r>
      <w:r>
        <w:rPr>
          <w:rFonts w:ascii="Calibri" w:hAnsi="Calibri" w:cs="Calibri"/>
          <w:color w:val="000000"/>
          <w:sz w:val="27"/>
          <w:szCs w:val="27"/>
        </w:rPr>
        <w:t xml:space="preserve">. [online] Available at: </w:t>
      </w:r>
      <w:hyperlink r:id="rId13" w:history="1">
        <w:r w:rsidRPr="00335727">
          <w:rPr>
            <w:rStyle w:val="Hyperlink"/>
            <w:rFonts w:ascii="Calibri" w:hAnsi="Calibri" w:cs="Calibri"/>
            <w:sz w:val="27"/>
            <w:szCs w:val="27"/>
          </w:rPr>
          <w:t>https://www.wlv.ac.uk/media/departments/faculty-of-social-sciences/documents/wolverhampton-law-journal/edition-3/(2019)-3-WLJ-21.pdf</w:t>
        </w:r>
      </w:hyperlink>
      <w:r>
        <w:rPr>
          <w:rFonts w:ascii="Calibri" w:hAnsi="Calibri" w:cs="Calibri"/>
          <w:color w:val="000000"/>
          <w:sz w:val="27"/>
          <w:szCs w:val="27"/>
        </w:rPr>
        <w:t>.</w:t>
      </w:r>
    </w:p>
    <w:p w14:paraId="64648FB1" w14:textId="77777777" w:rsidR="0014799B" w:rsidRDefault="0014799B" w:rsidP="0014799B">
      <w:pPr>
        <w:pStyle w:val="NormalWeb"/>
        <w:spacing w:before="0" w:beforeAutospacing="0" w:after="0" w:afterAutospacing="0" w:line="360" w:lineRule="atLeast"/>
        <w:rPr>
          <w:rFonts w:ascii="Calibri" w:hAnsi="Calibri" w:cs="Calibri"/>
          <w:color w:val="000000"/>
          <w:sz w:val="27"/>
          <w:szCs w:val="27"/>
        </w:rPr>
      </w:pPr>
    </w:p>
    <w:p w14:paraId="16B13B68" w14:textId="24CEB801" w:rsidR="00985F0E" w:rsidRDefault="0014799B" w:rsidP="0014799B">
      <w:pPr>
        <w:pStyle w:val="NormalWeb"/>
        <w:rPr>
          <w:rFonts w:ascii="Calibri" w:hAnsi="Calibri" w:cs="Calibri"/>
          <w:color w:val="000000"/>
          <w:sz w:val="27"/>
          <w:szCs w:val="27"/>
        </w:rPr>
      </w:pPr>
      <w:r>
        <w:rPr>
          <w:rFonts w:ascii="Calibri" w:hAnsi="Calibri" w:cs="Calibri"/>
          <w:color w:val="000000"/>
          <w:sz w:val="27"/>
          <w:szCs w:val="27"/>
        </w:rPr>
        <w:t xml:space="preserve">Date accessed </w:t>
      </w:r>
      <w:r w:rsidR="00985F0E">
        <w:rPr>
          <w:rFonts w:ascii="Calibri" w:hAnsi="Calibri" w:cs="Calibri"/>
          <w:color w:val="000000"/>
          <w:sz w:val="27"/>
          <w:szCs w:val="27"/>
        </w:rPr>
        <w:t>6</w:t>
      </w:r>
      <w:r w:rsidR="00985F0E" w:rsidRPr="00985F0E">
        <w:rPr>
          <w:rFonts w:ascii="Calibri" w:hAnsi="Calibri" w:cs="Calibri"/>
          <w:color w:val="000000"/>
          <w:sz w:val="27"/>
          <w:szCs w:val="27"/>
          <w:vertAlign w:val="superscript"/>
        </w:rPr>
        <w:t>th</w:t>
      </w:r>
      <w:r w:rsidR="00985F0E">
        <w:rPr>
          <w:rFonts w:ascii="Calibri" w:hAnsi="Calibri" w:cs="Calibri"/>
          <w:color w:val="000000"/>
          <w:sz w:val="27"/>
          <w:szCs w:val="27"/>
        </w:rPr>
        <w:t xml:space="preserve"> March 2023</w:t>
      </w:r>
    </w:p>
    <w:p w14:paraId="47BE867D" w14:textId="08925550" w:rsidR="0071584C" w:rsidRDefault="0071584C" w:rsidP="0071584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Gotter, A. (2017). </w:t>
      </w:r>
      <w:r>
        <w:rPr>
          <w:rFonts w:ascii="Calibri" w:hAnsi="Calibri" w:cs="Calibri"/>
          <w:i/>
          <w:iCs/>
          <w:color w:val="000000"/>
          <w:sz w:val="27"/>
          <w:szCs w:val="27"/>
        </w:rPr>
        <w:t>Battered Woman Syndrome</w:t>
      </w:r>
      <w:r>
        <w:rPr>
          <w:rFonts w:ascii="Calibri" w:hAnsi="Calibri" w:cs="Calibri"/>
          <w:color w:val="000000"/>
          <w:sz w:val="27"/>
          <w:szCs w:val="27"/>
        </w:rPr>
        <w:t xml:space="preserve">. [online] Healthline. Available at: </w:t>
      </w:r>
      <w:hyperlink r:id="rId14" w:history="1">
        <w:r w:rsidRPr="00335727">
          <w:rPr>
            <w:rStyle w:val="Hyperlink"/>
            <w:rFonts w:ascii="Calibri" w:hAnsi="Calibri" w:cs="Calibri"/>
            <w:sz w:val="27"/>
            <w:szCs w:val="27"/>
          </w:rPr>
          <w:t>https://www.healthline.com/health/battered-woman-syndrome</w:t>
        </w:r>
      </w:hyperlink>
      <w:r>
        <w:rPr>
          <w:rFonts w:ascii="Calibri" w:hAnsi="Calibri" w:cs="Calibri"/>
          <w:color w:val="000000"/>
          <w:sz w:val="27"/>
          <w:szCs w:val="27"/>
        </w:rPr>
        <w:t>.</w:t>
      </w:r>
    </w:p>
    <w:p w14:paraId="6E3C5FA3" w14:textId="77777777" w:rsidR="0071584C" w:rsidRDefault="0071584C" w:rsidP="0071584C">
      <w:pPr>
        <w:pStyle w:val="NormalWeb"/>
        <w:spacing w:before="0" w:beforeAutospacing="0" w:after="0" w:afterAutospacing="0" w:line="360" w:lineRule="atLeast"/>
        <w:rPr>
          <w:rFonts w:ascii="Calibri" w:hAnsi="Calibri" w:cs="Calibri"/>
          <w:color w:val="000000"/>
          <w:sz w:val="27"/>
          <w:szCs w:val="27"/>
        </w:rPr>
      </w:pPr>
    </w:p>
    <w:p w14:paraId="359C3B37" w14:textId="0F6C3587" w:rsidR="00E541D2" w:rsidRPr="0071584C" w:rsidRDefault="0071584C" w:rsidP="0071584C">
      <w:pPr>
        <w:pStyle w:val="NormalWeb"/>
        <w:rPr>
          <w:rFonts w:ascii="Calibri" w:hAnsi="Calibri" w:cs="Calibri"/>
          <w:color w:val="000000"/>
          <w:sz w:val="27"/>
          <w:szCs w:val="27"/>
        </w:rPr>
      </w:pPr>
      <w:r>
        <w:rPr>
          <w:rFonts w:ascii="Calibri" w:hAnsi="Calibri" w:cs="Calibri"/>
          <w:color w:val="000000"/>
          <w:sz w:val="27"/>
          <w:szCs w:val="27"/>
        </w:rPr>
        <w:lastRenderedPageBreak/>
        <w:t>‌</w:t>
      </w:r>
      <w:r>
        <w:t>D</w:t>
      </w:r>
      <w:r w:rsidR="00E541D2">
        <w:t xml:space="preserve">ate </w:t>
      </w:r>
      <w:proofErr w:type="gramStart"/>
      <w:r w:rsidR="00E541D2">
        <w:t xml:space="preserve">accessed </w:t>
      </w:r>
      <w:r w:rsidR="00B54B69">
        <w:t xml:space="preserve"> 7</w:t>
      </w:r>
      <w:proofErr w:type="gramEnd"/>
      <w:r w:rsidR="00B54B69" w:rsidRPr="00B54B69">
        <w:rPr>
          <w:vertAlign w:val="superscript"/>
        </w:rPr>
        <w:t>th</w:t>
      </w:r>
      <w:r w:rsidR="00B54B69">
        <w:t xml:space="preserve"> March 2023</w:t>
      </w:r>
    </w:p>
    <w:p w14:paraId="1994393D" w14:textId="176360EC" w:rsidR="008174A1" w:rsidRDefault="008174A1"/>
    <w:p w14:paraId="5565CD6F" w14:textId="288BDF66" w:rsidR="00204C11" w:rsidRDefault="00204C11">
      <w:r>
        <w:t>Ormerod</w:t>
      </w:r>
      <w:r w:rsidR="00333673">
        <w:t>, D.</w:t>
      </w:r>
      <w:r w:rsidR="006227C9">
        <w:t xml:space="preserve"> (2008) Smith and Hogan Criminal Law</w:t>
      </w:r>
      <w:r w:rsidR="009B3A50">
        <w:t>.</w:t>
      </w:r>
      <w:r w:rsidR="00772A31">
        <w:t xml:space="preserve"> Page</w:t>
      </w:r>
      <w:r w:rsidR="00166C21">
        <w:t xml:space="preserve"> 484</w:t>
      </w:r>
      <w:r w:rsidR="009B3A50">
        <w:t xml:space="preserve"> Oxford U</w:t>
      </w:r>
      <w:r w:rsidR="002B4470">
        <w:t>niversity Press 2008.</w:t>
      </w:r>
    </w:p>
    <w:p w14:paraId="2FA527D0" w14:textId="2998CD1B" w:rsidR="002B4470" w:rsidRDefault="00A6101C">
      <w:r>
        <w:t>12</w:t>
      </w:r>
      <w:r w:rsidRPr="00A6101C">
        <w:rPr>
          <w:vertAlign w:val="superscript"/>
        </w:rPr>
        <w:t>th</w:t>
      </w:r>
      <w:r>
        <w:t xml:space="preserve"> Edition. </w:t>
      </w:r>
    </w:p>
    <w:p w14:paraId="66015A60" w14:textId="00647443" w:rsidR="00A6101C" w:rsidRDefault="00F42DB2">
      <w:r>
        <w:t>Herring, J. (</w:t>
      </w:r>
      <w:r w:rsidR="002F29EB">
        <w:t>2019)</w:t>
      </w:r>
      <w:r w:rsidR="0068188A">
        <w:t xml:space="preserve"> Criminal Law</w:t>
      </w:r>
      <w:r w:rsidR="00CA42F2">
        <w:t xml:space="preserve">. Page </w:t>
      </w:r>
      <w:r w:rsidR="004E2093">
        <w:t>176. Red Globe Press</w:t>
      </w:r>
      <w:r w:rsidR="003A4590">
        <w:t xml:space="preserve"> 2019. 11</w:t>
      </w:r>
      <w:r w:rsidR="003A4590" w:rsidRPr="003A4590">
        <w:rPr>
          <w:vertAlign w:val="superscript"/>
        </w:rPr>
        <w:t>th</w:t>
      </w:r>
      <w:r w:rsidR="003A4590">
        <w:t xml:space="preserve"> edition.</w:t>
      </w:r>
    </w:p>
    <w:p w14:paraId="28CCF141" w14:textId="595005F5" w:rsidR="003A4590" w:rsidRDefault="003A4590"/>
    <w:p w14:paraId="6E016AD5" w14:textId="572FC35B" w:rsidR="003A4590" w:rsidRDefault="003A4590">
      <w:r>
        <w:t xml:space="preserve">Macdonald, S. </w:t>
      </w:r>
      <w:r w:rsidR="003B758A">
        <w:t>text cases and materials on Criminal Law.</w:t>
      </w:r>
      <w:r w:rsidR="00D77BDF">
        <w:t xml:space="preserve"> Page </w:t>
      </w:r>
      <w:r w:rsidR="00274B40">
        <w:t>406.</w:t>
      </w:r>
      <w:r w:rsidR="008F5969">
        <w:t xml:space="preserve"> </w:t>
      </w:r>
      <w:r w:rsidR="00C8281F">
        <w:t>Pearson 2018. 2</w:t>
      </w:r>
      <w:r w:rsidR="00C8281F" w:rsidRPr="00C8281F">
        <w:rPr>
          <w:vertAlign w:val="superscript"/>
        </w:rPr>
        <w:t>nd</w:t>
      </w:r>
      <w:r w:rsidR="00C8281F">
        <w:t xml:space="preserve"> addition.</w:t>
      </w:r>
    </w:p>
    <w:p w14:paraId="545A1C3C" w14:textId="5E6653F9" w:rsidR="00C8281F" w:rsidRDefault="00C8281F"/>
    <w:p w14:paraId="16B0501A" w14:textId="2AE4CB56" w:rsidR="00274B40" w:rsidRDefault="006E618E">
      <w:r>
        <w:t>Smith, JC. Smith&amp; Hogan</w:t>
      </w:r>
      <w:r w:rsidR="00A869CD">
        <w:t xml:space="preserve"> Criminal Law, cases and materials. </w:t>
      </w:r>
      <w:r w:rsidR="00AB7577">
        <w:t xml:space="preserve">Page 458. </w:t>
      </w:r>
      <w:r w:rsidR="00274ACB">
        <w:t xml:space="preserve">Butterworths </w:t>
      </w:r>
      <w:r w:rsidR="00712927">
        <w:t>LexisNexis 2002.</w:t>
      </w:r>
    </w:p>
    <w:p w14:paraId="26596B86" w14:textId="4F7EBFE2" w:rsidR="00712927" w:rsidRDefault="00712927"/>
    <w:p w14:paraId="4C941086" w14:textId="7EB89312" w:rsidR="00712927" w:rsidRDefault="00712927">
      <w:r>
        <w:t xml:space="preserve">Herring, J. criminal law </w:t>
      </w:r>
      <w:r w:rsidR="00CC24EB">
        <w:t>text, cases and materials. Page 255. Oxford University Press</w:t>
      </w:r>
      <w:r w:rsidR="00980E18">
        <w:t xml:space="preserve"> 2014. </w:t>
      </w:r>
      <w:r w:rsidR="00417822">
        <w:t>6</w:t>
      </w:r>
      <w:r w:rsidR="00417822" w:rsidRPr="00417822">
        <w:rPr>
          <w:vertAlign w:val="superscript"/>
        </w:rPr>
        <w:t>th</w:t>
      </w:r>
      <w:r w:rsidR="00417822">
        <w:t xml:space="preserve"> Edition.</w:t>
      </w:r>
    </w:p>
    <w:p w14:paraId="09EF0943" w14:textId="574F9516" w:rsidR="00417822" w:rsidRDefault="00417822"/>
    <w:p w14:paraId="23175A8A" w14:textId="1821BDAE" w:rsidR="006C5FD2" w:rsidRPr="00934C8A" w:rsidRDefault="00310CC1">
      <w:pPr>
        <w:rPr>
          <w:u w:val="single"/>
        </w:rPr>
      </w:pPr>
      <w:r w:rsidRPr="00934C8A">
        <w:rPr>
          <w:u w:val="single"/>
        </w:rPr>
        <w:t>Cases study reference list</w:t>
      </w:r>
    </w:p>
    <w:p w14:paraId="617687E3" w14:textId="0830DD4C" w:rsidR="001A3FC1" w:rsidRDefault="00E50929">
      <w:r>
        <w:t>R V Dietschmann [2003] 1 ALL ER 89</w:t>
      </w:r>
    </w:p>
    <w:p w14:paraId="34D92774" w14:textId="7FC9A6A2" w:rsidR="00493023" w:rsidRDefault="00493023" w:rsidP="004930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publications.parliament.uk. (n.d.). </w:t>
      </w:r>
      <w:r>
        <w:rPr>
          <w:rFonts w:ascii="Calibri" w:hAnsi="Calibri" w:cs="Calibri"/>
          <w:i/>
          <w:iCs/>
          <w:color w:val="000000"/>
          <w:sz w:val="27"/>
          <w:szCs w:val="27"/>
        </w:rPr>
        <w:t>House of Lords - Regina v Dietschmann (Appellant) (on appeal from the Court of Appeal (Criminal Division))</w:t>
      </w:r>
      <w:r>
        <w:rPr>
          <w:rFonts w:ascii="Calibri" w:hAnsi="Calibri" w:cs="Calibri"/>
          <w:color w:val="000000"/>
          <w:sz w:val="27"/>
          <w:szCs w:val="27"/>
        </w:rPr>
        <w:t xml:space="preserve">. [online] Available at: </w:t>
      </w:r>
      <w:hyperlink r:id="rId15" w:history="1">
        <w:r w:rsidRPr="00335727">
          <w:rPr>
            <w:rStyle w:val="Hyperlink"/>
            <w:rFonts w:ascii="Calibri" w:hAnsi="Calibri" w:cs="Calibri"/>
            <w:sz w:val="27"/>
            <w:szCs w:val="27"/>
          </w:rPr>
          <w:t>https://publications.parliament.uk/pa/ld200203/ldjudgmt/jd030227/diets-1.htm</w:t>
        </w:r>
      </w:hyperlink>
      <w:r>
        <w:rPr>
          <w:rFonts w:ascii="Calibri" w:hAnsi="Calibri" w:cs="Calibri"/>
          <w:color w:val="000000"/>
          <w:sz w:val="27"/>
          <w:szCs w:val="27"/>
        </w:rPr>
        <w:t>.</w:t>
      </w:r>
    </w:p>
    <w:p w14:paraId="025375D0" w14:textId="77777777" w:rsidR="00493023" w:rsidRDefault="00493023" w:rsidP="00493023">
      <w:pPr>
        <w:pStyle w:val="NormalWeb"/>
        <w:spacing w:before="0" w:beforeAutospacing="0" w:after="0" w:afterAutospacing="0" w:line="360" w:lineRule="atLeast"/>
        <w:rPr>
          <w:rFonts w:ascii="Calibri" w:hAnsi="Calibri" w:cs="Calibri"/>
          <w:color w:val="000000"/>
          <w:sz w:val="27"/>
          <w:szCs w:val="27"/>
        </w:rPr>
      </w:pPr>
    </w:p>
    <w:p w14:paraId="5823A269" w14:textId="23E9C739" w:rsidR="00867D53" w:rsidRDefault="00493023" w:rsidP="00867D5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867D53">
        <w:rPr>
          <w:rFonts w:ascii="Calibri" w:hAnsi="Calibri" w:cs="Calibri"/>
          <w:color w:val="000000"/>
          <w:sz w:val="27"/>
          <w:szCs w:val="27"/>
        </w:rPr>
        <w:t>digestiblenotes.com. (n.d.). </w:t>
      </w:r>
      <w:r w:rsidR="00867D53">
        <w:rPr>
          <w:rFonts w:ascii="Calibri" w:hAnsi="Calibri" w:cs="Calibri"/>
          <w:i/>
          <w:iCs/>
          <w:color w:val="000000"/>
          <w:sz w:val="27"/>
          <w:szCs w:val="27"/>
        </w:rPr>
        <w:t>Manslaughter: Diminished Responsibility Cases | Digestible Notes</w:t>
      </w:r>
      <w:r w:rsidR="00867D53">
        <w:rPr>
          <w:rFonts w:ascii="Calibri" w:hAnsi="Calibri" w:cs="Calibri"/>
          <w:color w:val="000000"/>
          <w:sz w:val="27"/>
          <w:szCs w:val="27"/>
        </w:rPr>
        <w:t xml:space="preserve">. [online] Available at: </w:t>
      </w:r>
      <w:hyperlink r:id="rId16" w:history="1">
        <w:r w:rsidR="00867D53" w:rsidRPr="00335727">
          <w:rPr>
            <w:rStyle w:val="Hyperlink"/>
            <w:rFonts w:ascii="Calibri" w:hAnsi="Calibri" w:cs="Calibri"/>
            <w:sz w:val="27"/>
            <w:szCs w:val="27"/>
          </w:rPr>
          <w:t>https://digestiblenotes.com/law/criminal_cases/diminished_responsibility.php</w:t>
        </w:r>
      </w:hyperlink>
      <w:r w:rsidR="00867D53">
        <w:rPr>
          <w:rFonts w:ascii="Calibri" w:hAnsi="Calibri" w:cs="Calibri"/>
          <w:color w:val="000000"/>
          <w:sz w:val="27"/>
          <w:szCs w:val="27"/>
        </w:rPr>
        <w:t>.</w:t>
      </w:r>
    </w:p>
    <w:p w14:paraId="50DC2B06" w14:textId="77777777" w:rsidR="00867D53" w:rsidRDefault="00867D53" w:rsidP="00867D53">
      <w:pPr>
        <w:pStyle w:val="NormalWeb"/>
        <w:spacing w:before="0" w:beforeAutospacing="0" w:after="0" w:afterAutospacing="0" w:line="360" w:lineRule="atLeast"/>
        <w:rPr>
          <w:rFonts w:ascii="Calibri" w:hAnsi="Calibri" w:cs="Calibri"/>
          <w:color w:val="000000"/>
          <w:sz w:val="27"/>
          <w:szCs w:val="27"/>
        </w:rPr>
      </w:pPr>
    </w:p>
    <w:p w14:paraId="6A1A7D05" w14:textId="77777777" w:rsidR="00867D53" w:rsidRDefault="00867D53" w:rsidP="00867D53">
      <w:pPr>
        <w:pStyle w:val="NormalWeb"/>
        <w:rPr>
          <w:rFonts w:ascii="Calibri" w:hAnsi="Calibri" w:cs="Calibri"/>
          <w:color w:val="000000"/>
          <w:sz w:val="27"/>
          <w:szCs w:val="27"/>
        </w:rPr>
      </w:pPr>
      <w:r>
        <w:rPr>
          <w:rFonts w:ascii="Calibri" w:hAnsi="Calibri" w:cs="Calibri"/>
          <w:color w:val="000000"/>
          <w:sz w:val="27"/>
          <w:szCs w:val="27"/>
        </w:rPr>
        <w:t>‌</w:t>
      </w:r>
    </w:p>
    <w:p w14:paraId="15DEBCE4" w14:textId="53ED3968" w:rsidR="00A55C02" w:rsidRDefault="00A55C02"/>
    <w:sectPr w:rsidR="00A55C02" w:rsidSect="005E41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10B"/>
    <w:rsid w:val="0000368A"/>
    <w:rsid w:val="00014004"/>
    <w:rsid w:val="00014E2F"/>
    <w:rsid w:val="00016720"/>
    <w:rsid w:val="000341A2"/>
    <w:rsid w:val="000407FF"/>
    <w:rsid w:val="000476B6"/>
    <w:rsid w:val="00053E5A"/>
    <w:rsid w:val="00056A3A"/>
    <w:rsid w:val="00060C63"/>
    <w:rsid w:val="00060DEE"/>
    <w:rsid w:val="000627D5"/>
    <w:rsid w:val="000722AB"/>
    <w:rsid w:val="00072F04"/>
    <w:rsid w:val="00075E01"/>
    <w:rsid w:val="000809B8"/>
    <w:rsid w:val="0008132F"/>
    <w:rsid w:val="000818C8"/>
    <w:rsid w:val="00086656"/>
    <w:rsid w:val="000A3F95"/>
    <w:rsid w:val="000B77BB"/>
    <w:rsid w:val="000C196A"/>
    <w:rsid w:val="000C5DB2"/>
    <w:rsid w:val="0010584B"/>
    <w:rsid w:val="00111762"/>
    <w:rsid w:val="00114BA1"/>
    <w:rsid w:val="00131B71"/>
    <w:rsid w:val="001432B9"/>
    <w:rsid w:val="001465CE"/>
    <w:rsid w:val="0014799B"/>
    <w:rsid w:val="001510DA"/>
    <w:rsid w:val="001556C1"/>
    <w:rsid w:val="00157E1E"/>
    <w:rsid w:val="0016630B"/>
    <w:rsid w:val="0016667A"/>
    <w:rsid w:val="00166C21"/>
    <w:rsid w:val="0017000B"/>
    <w:rsid w:val="00175BC9"/>
    <w:rsid w:val="00185D7F"/>
    <w:rsid w:val="001A3FC1"/>
    <w:rsid w:val="001C6E3A"/>
    <w:rsid w:val="001D4B2E"/>
    <w:rsid w:val="001E24A1"/>
    <w:rsid w:val="001E3B2D"/>
    <w:rsid w:val="0020078A"/>
    <w:rsid w:val="00201112"/>
    <w:rsid w:val="00204776"/>
    <w:rsid w:val="00204C11"/>
    <w:rsid w:val="00212162"/>
    <w:rsid w:val="002215BA"/>
    <w:rsid w:val="00223ABB"/>
    <w:rsid w:val="00235E80"/>
    <w:rsid w:val="002472F7"/>
    <w:rsid w:val="00265FEB"/>
    <w:rsid w:val="002678FE"/>
    <w:rsid w:val="00274ACB"/>
    <w:rsid w:val="00274B40"/>
    <w:rsid w:val="002A2156"/>
    <w:rsid w:val="002A37ED"/>
    <w:rsid w:val="002A3A81"/>
    <w:rsid w:val="002A64A9"/>
    <w:rsid w:val="002B2DFC"/>
    <w:rsid w:val="002B4470"/>
    <w:rsid w:val="002C1A36"/>
    <w:rsid w:val="002C28FD"/>
    <w:rsid w:val="002E4C00"/>
    <w:rsid w:val="002F29EB"/>
    <w:rsid w:val="002F6321"/>
    <w:rsid w:val="003004F3"/>
    <w:rsid w:val="00304E70"/>
    <w:rsid w:val="00310CC1"/>
    <w:rsid w:val="00312047"/>
    <w:rsid w:val="00323216"/>
    <w:rsid w:val="003275D3"/>
    <w:rsid w:val="0033053D"/>
    <w:rsid w:val="003310E1"/>
    <w:rsid w:val="00333673"/>
    <w:rsid w:val="0033504A"/>
    <w:rsid w:val="003455EE"/>
    <w:rsid w:val="003627BD"/>
    <w:rsid w:val="00363988"/>
    <w:rsid w:val="00380722"/>
    <w:rsid w:val="00385008"/>
    <w:rsid w:val="003853BD"/>
    <w:rsid w:val="003879FD"/>
    <w:rsid w:val="00393851"/>
    <w:rsid w:val="003969F9"/>
    <w:rsid w:val="003A4590"/>
    <w:rsid w:val="003A50EA"/>
    <w:rsid w:val="003B233C"/>
    <w:rsid w:val="003B758A"/>
    <w:rsid w:val="003D0174"/>
    <w:rsid w:val="003D2731"/>
    <w:rsid w:val="003D4BA0"/>
    <w:rsid w:val="003D607E"/>
    <w:rsid w:val="003E7BB1"/>
    <w:rsid w:val="003F2BC2"/>
    <w:rsid w:val="00402DE2"/>
    <w:rsid w:val="00413850"/>
    <w:rsid w:val="00414D71"/>
    <w:rsid w:val="00416336"/>
    <w:rsid w:val="00417822"/>
    <w:rsid w:val="00421A40"/>
    <w:rsid w:val="00431576"/>
    <w:rsid w:val="00432D91"/>
    <w:rsid w:val="00436E91"/>
    <w:rsid w:val="0043706E"/>
    <w:rsid w:val="00441279"/>
    <w:rsid w:val="004433FF"/>
    <w:rsid w:val="00453FE1"/>
    <w:rsid w:val="00464C5B"/>
    <w:rsid w:val="0046510E"/>
    <w:rsid w:val="004763BF"/>
    <w:rsid w:val="00477FD3"/>
    <w:rsid w:val="00483EC5"/>
    <w:rsid w:val="00493023"/>
    <w:rsid w:val="004972E8"/>
    <w:rsid w:val="0049730F"/>
    <w:rsid w:val="004A2A3A"/>
    <w:rsid w:val="004A4005"/>
    <w:rsid w:val="004A5784"/>
    <w:rsid w:val="004A63C3"/>
    <w:rsid w:val="004B4864"/>
    <w:rsid w:val="004C40B9"/>
    <w:rsid w:val="004C64F4"/>
    <w:rsid w:val="004D1749"/>
    <w:rsid w:val="004D4110"/>
    <w:rsid w:val="004D5508"/>
    <w:rsid w:val="004E2093"/>
    <w:rsid w:val="004E4201"/>
    <w:rsid w:val="004E4B0D"/>
    <w:rsid w:val="004E720B"/>
    <w:rsid w:val="004E7929"/>
    <w:rsid w:val="004F1665"/>
    <w:rsid w:val="004F2B47"/>
    <w:rsid w:val="00503063"/>
    <w:rsid w:val="00503F28"/>
    <w:rsid w:val="00516A38"/>
    <w:rsid w:val="00522568"/>
    <w:rsid w:val="00524BE0"/>
    <w:rsid w:val="005354A4"/>
    <w:rsid w:val="00547CB6"/>
    <w:rsid w:val="005501A6"/>
    <w:rsid w:val="00555449"/>
    <w:rsid w:val="00582D95"/>
    <w:rsid w:val="00587CFF"/>
    <w:rsid w:val="00596463"/>
    <w:rsid w:val="005A1B31"/>
    <w:rsid w:val="005A3E25"/>
    <w:rsid w:val="005A46D3"/>
    <w:rsid w:val="005A59F2"/>
    <w:rsid w:val="005B2CEA"/>
    <w:rsid w:val="005D2736"/>
    <w:rsid w:val="005D2EB6"/>
    <w:rsid w:val="005D412B"/>
    <w:rsid w:val="005E2F99"/>
    <w:rsid w:val="005E410B"/>
    <w:rsid w:val="005E4B61"/>
    <w:rsid w:val="005F04FD"/>
    <w:rsid w:val="005F170B"/>
    <w:rsid w:val="005F7516"/>
    <w:rsid w:val="00601192"/>
    <w:rsid w:val="00602FF3"/>
    <w:rsid w:val="00615AF6"/>
    <w:rsid w:val="006227C9"/>
    <w:rsid w:val="00630403"/>
    <w:rsid w:val="00632A31"/>
    <w:rsid w:val="00642533"/>
    <w:rsid w:val="0065411F"/>
    <w:rsid w:val="00656C96"/>
    <w:rsid w:val="00664AC8"/>
    <w:rsid w:val="0068188A"/>
    <w:rsid w:val="00696123"/>
    <w:rsid w:val="006B7AC4"/>
    <w:rsid w:val="006C5FD2"/>
    <w:rsid w:val="006C60C6"/>
    <w:rsid w:val="006D019D"/>
    <w:rsid w:val="006E16CD"/>
    <w:rsid w:val="006E618E"/>
    <w:rsid w:val="006E7DE5"/>
    <w:rsid w:val="006F3FAE"/>
    <w:rsid w:val="00712927"/>
    <w:rsid w:val="00715479"/>
    <w:rsid w:val="0071584C"/>
    <w:rsid w:val="00720F58"/>
    <w:rsid w:val="0073359B"/>
    <w:rsid w:val="00744B96"/>
    <w:rsid w:val="0074796C"/>
    <w:rsid w:val="00772A31"/>
    <w:rsid w:val="00777512"/>
    <w:rsid w:val="007810B2"/>
    <w:rsid w:val="007832C4"/>
    <w:rsid w:val="0078384C"/>
    <w:rsid w:val="00784489"/>
    <w:rsid w:val="00784A11"/>
    <w:rsid w:val="00784C12"/>
    <w:rsid w:val="007865DB"/>
    <w:rsid w:val="0079212D"/>
    <w:rsid w:val="00794EFB"/>
    <w:rsid w:val="00797976"/>
    <w:rsid w:val="007B06BC"/>
    <w:rsid w:val="007B10D2"/>
    <w:rsid w:val="007B68ED"/>
    <w:rsid w:val="007C0247"/>
    <w:rsid w:val="007C12D1"/>
    <w:rsid w:val="007C5651"/>
    <w:rsid w:val="007D7AFD"/>
    <w:rsid w:val="007E64E6"/>
    <w:rsid w:val="00802F2F"/>
    <w:rsid w:val="008064C3"/>
    <w:rsid w:val="008155BD"/>
    <w:rsid w:val="008174A1"/>
    <w:rsid w:val="00823115"/>
    <w:rsid w:val="00832D44"/>
    <w:rsid w:val="0083604F"/>
    <w:rsid w:val="008413D1"/>
    <w:rsid w:val="00844844"/>
    <w:rsid w:val="00844C35"/>
    <w:rsid w:val="00853B07"/>
    <w:rsid w:val="00855072"/>
    <w:rsid w:val="00864E84"/>
    <w:rsid w:val="008659E4"/>
    <w:rsid w:val="00866ABF"/>
    <w:rsid w:val="00867D53"/>
    <w:rsid w:val="0088054E"/>
    <w:rsid w:val="00882506"/>
    <w:rsid w:val="00885151"/>
    <w:rsid w:val="00896518"/>
    <w:rsid w:val="008A3613"/>
    <w:rsid w:val="008B26AF"/>
    <w:rsid w:val="008B4DCD"/>
    <w:rsid w:val="008C0684"/>
    <w:rsid w:val="008C36E1"/>
    <w:rsid w:val="008C73B3"/>
    <w:rsid w:val="008C75B0"/>
    <w:rsid w:val="008D7716"/>
    <w:rsid w:val="008E3305"/>
    <w:rsid w:val="008E4ABC"/>
    <w:rsid w:val="008E704A"/>
    <w:rsid w:val="008E7BF1"/>
    <w:rsid w:val="008F5969"/>
    <w:rsid w:val="008F6EEA"/>
    <w:rsid w:val="00907771"/>
    <w:rsid w:val="009101BA"/>
    <w:rsid w:val="00913A2F"/>
    <w:rsid w:val="009245B3"/>
    <w:rsid w:val="00924C7F"/>
    <w:rsid w:val="00927C6E"/>
    <w:rsid w:val="0093300C"/>
    <w:rsid w:val="00934765"/>
    <w:rsid w:val="00934C8A"/>
    <w:rsid w:val="009373F4"/>
    <w:rsid w:val="009646E8"/>
    <w:rsid w:val="0097095F"/>
    <w:rsid w:val="0097755C"/>
    <w:rsid w:val="00980E18"/>
    <w:rsid w:val="00982078"/>
    <w:rsid w:val="00985F0E"/>
    <w:rsid w:val="00993231"/>
    <w:rsid w:val="009932EC"/>
    <w:rsid w:val="0099736E"/>
    <w:rsid w:val="00997B32"/>
    <w:rsid w:val="009A612F"/>
    <w:rsid w:val="009B3A50"/>
    <w:rsid w:val="009B3BBA"/>
    <w:rsid w:val="009C621C"/>
    <w:rsid w:val="009D0455"/>
    <w:rsid w:val="009D3B4A"/>
    <w:rsid w:val="009D75C5"/>
    <w:rsid w:val="009E1630"/>
    <w:rsid w:val="009E3FEC"/>
    <w:rsid w:val="009F1C39"/>
    <w:rsid w:val="00A065F8"/>
    <w:rsid w:val="00A278EB"/>
    <w:rsid w:val="00A30BB7"/>
    <w:rsid w:val="00A353BE"/>
    <w:rsid w:val="00A55B26"/>
    <w:rsid w:val="00A55C02"/>
    <w:rsid w:val="00A57FD7"/>
    <w:rsid w:val="00A6101C"/>
    <w:rsid w:val="00A61EDF"/>
    <w:rsid w:val="00A73FDC"/>
    <w:rsid w:val="00A75B36"/>
    <w:rsid w:val="00A84416"/>
    <w:rsid w:val="00A862A0"/>
    <w:rsid w:val="00A869CD"/>
    <w:rsid w:val="00A900E5"/>
    <w:rsid w:val="00A936CF"/>
    <w:rsid w:val="00AA23E3"/>
    <w:rsid w:val="00AA26C2"/>
    <w:rsid w:val="00AA5714"/>
    <w:rsid w:val="00AB4AEE"/>
    <w:rsid w:val="00AB7577"/>
    <w:rsid w:val="00AC4EAD"/>
    <w:rsid w:val="00AC75CE"/>
    <w:rsid w:val="00AC79D0"/>
    <w:rsid w:val="00AD0186"/>
    <w:rsid w:val="00AD2CF2"/>
    <w:rsid w:val="00AD6DD5"/>
    <w:rsid w:val="00AE783C"/>
    <w:rsid w:val="00AF3F9B"/>
    <w:rsid w:val="00AF43F4"/>
    <w:rsid w:val="00B00CA1"/>
    <w:rsid w:val="00B00D14"/>
    <w:rsid w:val="00B06FF0"/>
    <w:rsid w:val="00B13616"/>
    <w:rsid w:val="00B14F36"/>
    <w:rsid w:val="00B21CB3"/>
    <w:rsid w:val="00B22D8D"/>
    <w:rsid w:val="00B249F2"/>
    <w:rsid w:val="00B25344"/>
    <w:rsid w:val="00B2574B"/>
    <w:rsid w:val="00B27A4F"/>
    <w:rsid w:val="00B45479"/>
    <w:rsid w:val="00B54B69"/>
    <w:rsid w:val="00B55B54"/>
    <w:rsid w:val="00B5680B"/>
    <w:rsid w:val="00B57DFD"/>
    <w:rsid w:val="00B62398"/>
    <w:rsid w:val="00B630DB"/>
    <w:rsid w:val="00B63281"/>
    <w:rsid w:val="00B6367B"/>
    <w:rsid w:val="00B66186"/>
    <w:rsid w:val="00B73EB2"/>
    <w:rsid w:val="00B9231D"/>
    <w:rsid w:val="00BA0BE4"/>
    <w:rsid w:val="00BA1B0F"/>
    <w:rsid w:val="00BA2E0E"/>
    <w:rsid w:val="00BA48E5"/>
    <w:rsid w:val="00BB0A61"/>
    <w:rsid w:val="00BB0D04"/>
    <w:rsid w:val="00BC56C8"/>
    <w:rsid w:val="00BD3FD7"/>
    <w:rsid w:val="00BD4CA7"/>
    <w:rsid w:val="00BF2324"/>
    <w:rsid w:val="00BF792C"/>
    <w:rsid w:val="00C066EE"/>
    <w:rsid w:val="00C14B87"/>
    <w:rsid w:val="00C3032F"/>
    <w:rsid w:val="00C3571A"/>
    <w:rsid w:val="00C358EC"/>
    <w:rsid w:val="00C424B1"/>
    <w:rsid w:val="00C6517E"/>
    <w:rsid w:val="00C66DE8"/>
    <w:rsid w:val="00C8281F"/>
    <w:rsid w:val="00C8682E"/>
    <w:rsid w:val="00C92BEF"/>
    <w:rsid w:val="00CA2B26"/>
    <w:rsid w:val="00CA3E04"/>
    <w:rsid w:val="00CA42F2"/>
    <w:rsid w:val="00CC24EB"/>
    <w:rsid w:val="00CC7195"/>
    <w:rsid w:val="00CD086C"/>
    <w:rsid w:val="00CD4899"/>
    <w:rsid w:val="00CF4644"/>
    <w:rsid w:val="00D013F6"/>
    <w:rsid w:val="00D04D04"/>
    <w:rsid w:val="00D16031"/>
    <w:rsid w:val="00D20286"/>
    <w:rsid w:val="00D27FA7"/>
    <w:rsid w:val="00D453C2"/>
    <w:rsid w:val="00D465B4"/>
    <w:rsid w:val="00D50776"/>
    <w:rsid w:val="00D64620"/>
    <w:rsid w:val="00D77BDF"/>
    <w:rsid w:val="00D80760"/>
    <w:rsid w:val="00DA11E2"/>
    <w:rsid w:val="00DA1F64"/>
    <w:rsid w:val="00DB0232"/>
    <w:rsid w:val="00DC0951"/>
    <w:rsid w:val="00DC5222"/>
    <w:rsid w:val="00DD5C92"/>
    <w:rsid w:val="00DE2620"/>
    <w:rsid w:val="00DE2D1C"/>
    <w:rsid w:val="00DE4B02"/>
    <w:rsid w:val="00DF2772"/>
    <w:rsid w:val="00DF3B76"/>
    <w:rsid w:val="00DF72EB"/>
    <w:rsid w:val="00DF76CD"/>
    <w:rsid w:val="00E02233"/>
    <w:rsid w:val="00E068D7"/>
    <w:rsid w:val="00E13D4B"/>
    <w:rsid w:val="00E218F0"/>
    <w:rsid w:val="00E50929"/>
    <w:rsid w:val="00E541D2"/>
    <w:rsid w:val="00E83751"/>
    <w:rsid w:val="00E92CC8"/>
    <w:rsid w:val="00E9388A"/>
    <w:rsid w:val="00EA261C"/>
    <w:rsid w:val="00EC1086"/>
    <w:rsid w:val="00EC4B7F"/>
    <w:rsid w:val="00EC7ED2"/>
    <w:rsid w:val="00EF112B"/>
    <w:rsid w:val="00F0191F"/>
    <w:rsid w:val="00F037D0"/>
    <w:rsid w:val="00F3774C"/>
    <w:rsid w:val="00F42DB2"/>
    <w:rsid w:val="00F435FC"/>
    <w:rsid w:val="00F44866"/>
    <w:rsid w:val="00F55F5C"/>
    <w:rsid w:val="00F63FAE"/>
    <w:rsid w:val="00F64557"/>
    <w:rsid w:val="00F754F7"/>
    <w:rsid w:val="00F76351"/>
    <w:rsid w:val="00F93AFD"/>
    <w:rsid w:val="00FA596D"/>
    <w:rsid w:val="00FC6D10"/>
    <w:rsid w:val="00FD7238"/>
    <w:rsid w:val="00FF6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80286"/>
  <w15:chartTrackingRefBased/>
  <w15:docId w15:val="{4AD4D2EB-265E-0C4E-B364-3B1022950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410B"/>
    <w:rPr>
      <w:rFonts w:eastAsiaTheme="minorEastAsia"/>
      <w:sz w:val="22"/>
      <w:szCs w:val="22"/>
      <w:lang w:val="en-US" w:eastAsia="zh-CN"/>
    </w:rPr>
  </w:style>
  <w:style w:type="character" w:customStyle="1" w:styleId="NoSpacingChar">
    <w:name w:val="No Spacing Char"/>
    <w:basedOn w:val="DefaultParagraphFont"/>
    <w:link w:val="NoSpacing"/>
    <w:uiPriority w:val="1"/>
    <w:rsid w:val="005E410B"/>
    <w:rPr>
      <w:rFonts w:eastAsiaTheme="minorEastAsia"/>
      <w:sz w:val="22"/>
      <w:szCs w:val="22"/>
      <w:lang w:val="en-US" w:eastAsia="zh-CN"/>
    </w:rPr>
  </w:style>
  <w:style w:type="character" w:styleId="Hyperlink">
    <w:name w:val="Hyperlink"/>
    <w:basedOn w:val="DefaultParagraphFont"/>
    <w:uiPriority w:val="99"/>
    <w:unhideWhenUsed/>
    <w:rsid w:val="00866ABF"/>
    <w:rPr>
      <w:color w:val="0563C1" w:themeColor="hyperlink"/>
      <w:u w:val="single"/>
    </w:rPr>
  </w:style>
  <w:style w:type="character" w:styleId="FollowedHyperlink">
    <w:name w:val="FollowedHyperlink"/>
    <w:basedOn w:val="DefaultParagraphFont"/>
    <w:uiPriority w:val="99"/>
    <w:semiHidden/>
    <w:unhideWhenUsed/>
    <w:rsid w:val="00866ABF"/>
    <w:rPr>
      <w:color w:val="954F72" w:themeColor="followedHyperlink"/>
      <w:u w:val="single"/>
    </w:rPr>
  </w:style>
  <w:style w:type="character" w:styleId="UnresolvedMention">
    <w:name w:val="Unresolved Mention"/>
    <w:basedOn w:val="DefaultParagraphFont"/>
    <w:uiPriority w:val="99"/>
    <w:semiHidden/>
    <w:unhideWhenUsed/>
    <w:rsid w:val="00B62398"/>
    <w:rPr>
      <w:color w:val="605E5C"/>
      <w:shd w:val="clear" w:color="auto" w:fill="E1DFDD"/>
    </w:rPr>
  </w:style>
  <w:style w:type="paragraph" w:styleId="NormalWeb">
    <w:name w:val="Normal (Web)"/>
    <w:basedOn w:val="Normal"/>
    <w:uiPriority w:val="99"/>
    <w:unhideWhenUsed/>
    <w:rsid w:val="00B2574B"/>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373509">
      <w:bodyDiv w:val="1"/>
      <w:marLeft w:val="0"/>
      <w:marRight w:val="0"/>
      <w:marTop w:val="0"/>
      <w:marBottom w:val="0"/>
      <w:divBdr>
        <w:top w:val="none" w:sz="0" w:space="0" w:color="auto"/>
        <w:left w:val="none" w:sz="0" w:space="0" w:color="auto"/>
        <w:bottom w:val="none" w:sz="0" w:space="0" w:color="auto"/>
        <w:right w:val="none" w:sz="0" w:space="0" w:color="auto"/>
      </w:divBdr>
    </w:div>
    <w:div w:id="562252368">
      <w:bodyDiv w:val="1"/>
      <w:marLeft w:val="0"/>
      <w:marRight w:val="0"/>
      <w:marTop w:val="0"/>
      <w:marBottom w:val="0"/>
      <w:divBdr>
        <w:top w:val="none" w:sz="0" w:space="0" w:color="auto"/>
        <w:left w:val="none" w:sz="0" w:space="0" w:color="auto"/>
        <w:bottom w:val="none" w:sz="0" w:space="0" w:color="auto"/>
        <w:right w:val="none" w:sz="0" w:space="0" w:color="auto"/>
      </w:divBdr>
    </w:div>
    <w:div w:id="731974417">
      <w:bodyDiv w:val="1"/>
      <w:marLeft w:val="0"/>
      <w:marRight w:val="0"/>
      <w:marTop w:val="0"/>
      <w:marBottom w:val="0"/>
      <w:divBdr>
        <w:top w:val="none" w:sz="0" w:space="0" w:color="auto"/>
        <w:left w:val="none" w:sz="0" w:space="0" w:color="auto"/>
        <w:bottom w:val="none" w:sz="0" w:space="0" w:color="auto"/>
        <w:right w:val="none" w:sz="0" w:space="0" w:color="auto"/>
      </w:divBdr>
    </w:div>
    <w:div w:id="994727638">
      <w:bodyDiv w:val="1"/>
      <w:marLeft w:val="0"/>
      <w:marRight w:val="0"/>
      <w:marTop w:val="0"/>
      <w:marBottom w:val="0"/>
      <w:divBdr>
        <w:top w:val="none" w:sz="0" w:space="0" w:color="auto"/>
        <w:left w:val="none" w:sz="0" w:space="0" w:color="auto"/>
        <w:bottom w:val="none" w:sz="0" w:space="0" w:color="auto"/>
        <w:right w:val="none" w:sz="0" w:space="0" w:color="auto"/>
      </w:divBdr>
    </w:div>
    <w:div w:id="1044065407">
      <w:bodyDiv w:val="1"/>
      <w:marLeft w:val="0"/>
      <w:marRight w:val="0"/>
      <w:marTop w:val="0"/>
      <w:marBottom w:val="0"/>
      <w:divBdr>
        <w:top w:val="none" w:sz="0" w:space="0" w:color="auto"/>
        <w:left w:val="none" w:sz="0" w:space="0" w:color="auto"/>
        <w:bottom w:val="none" w:sz="0" w:space="0" w:color="auto"/>
        <w:right w:val="none" w:sz="0" w:space="0" w:color="auto"/>
      </w:divBdr>
    </w:div>
    <w:div w:id="1324357257">
      <w:bodyDiv w:val="1"/>
      <w:marLeft w:val="0"/>
      <w:marRight w:val="0"/>
      <w:marTop w:val="0"/>
      <w:marBottom w:val="0"/>
      <w:divBdr>
        <w:top w:val="none" w:sz="0" w:space="0" w:color="auto"/>
        <w:left w:val="none" w:sz="0" w:space="0" w:color="auto"/>
        <w:bottom w:val="none" w:sz="0" w:space="0" w:color="auto"/>
        <w:right w:val="none" w:sz="0" w:space="0" w:color="auto"/>
      </w:divBdr>
    </w:div>
    <w:div w:id="1356351068">
      <w:bodyDiv w:val="1"/>
      <w:marLeft w:val="0"/>
      <w:marRight w:val="0"/>
      <w:marTop w:val="0"/>
      <w:marBottom w:val="0"/>
      <w:divBdr>
        <w:top w:val="none" w:sz="0" w:space="0" w:color="auto"/>
        <w:left w:val="none" w:sz="0" w:space="0" w:color="auto"/>
        <w:bottom w:val="none" w:sz="0" w:space="0" w:color="auto"/>
        <w:right w:val="none" w:sz="0" w:space="0" w:color="auto"/>
      </w:divBdr>
    </w:div>
    <w:div w:id="1473912575">
      <w:bodyDiv w:val="1"/>
      <w:marLeft w:val="0"/>
      <w:marRight w:val="0"/>
      <w:marTop w:val="0"/>
      <w:marBottom w:val="0"/>
      <w:divBdr>
        <w:top w:val="none" w:sz="0" w:space="0" w:color="auto"/>
        <w:left w:val="none" w:sz="0" w:space="0" w:color="auto"/>
        <w:bottom w:val="none" w:sz="0" w:space="0" w:color="auto"/>
        <w:right w:val="none" w:sz="0" w:space="0" w:color="auto"/>
      </w:divBdr>
    </w:div>
    <w:div w:id="1532189089">
      <w:bodyDiv w:val="1"/>
      <w:marLeft w:val="0"/>
      <w:marRight w:val="0"/>
      <w:marTop w:val="0"/>
      <w:marBottom w:val="0"/>
      <w:divBdr>
        <w:top w:val="none" w:sz="0" w:space="0" w:color="auto"/>
        <w:left w:val="none" w:sz="0" w:space="0" w:color="auto"/>
        <w:bottom w:val="none" w:sz="0" w:space="0" w:color="auto"/>
        <w:right w:val="none" w:sz="0" w:space="0" w:color="auto"/>
      </w:divBdr>
    </w:div>
    <w:div w:id="1645812539">
      <w:bodyDiv w:val="1"/>
      <w:marLeft w:val="0"/>
      <w:marRight w:val="0"/>
      <w:marTop w:val="0"/>
      <w:marBottom w:val="0"/>
      <w:divBdr>
        <w:top w:val="none" w:sz="0" w:space="0" w:color="auto"/>
        <w:left w:val="none" w:sz="0" w:space="0" w:color="auto"/>
        <w:bottom w:val="none" w:sz="0" w:space="0" w:color="auto"/>
        <w:right w:val="none" w:sz="0" w:space="0" w:color="auto"/>
      </w:divBdr>
    </w:div>
    <w:div w:id="2008291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com.gov.uk/app/uploads/2015/03/cp177_Murder_Manslaughter_and_Infanticide_consultation_.pdf" TargetMode="External"/><Relationship Id="rId13" Type="http://schemas.openxmlformats.org/officeDocument/2006/relationships/hyperlink" Target="https://www.wlv.ac.uk/media/departments/faculty-of-social-sciences/documents/wolverhampton-law-journal/edition-3/(2019)-3-WLJ-21.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ustice.gov.uk/downloads/legislation/bills-acts/circulars/moj/2010/circular-12-2010-coroners-justice-act-homicide-provisions.pdf" TargetMode="External"/><Relationship Id="rId12" Type="http://schemas.openxmlformats.org/officeDocument/2006/relationships/hyperlink" Target="https://blog.libryo.com/legal-registers-series-part-2-how-to-spot-the-difference-between-up-to-date-and-accurately-up-to-date#:~:text=Keeping%20up%20to%20date%20with%20legislation%20should%20be%20systematically%20manage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igestiblenotes.com/law/criminal_cases/diminished_responsibility.php" TargetMode="External"/><Relationship Id="rId1" Type="http://schemas.openxmlformats.org/officeDocument/2006/relationships/customXml" Target="../customXml/item1.xml"/><Relationship Id="rId6" Type="http://schemas.openxmlformats.org/officeDocument/2006/relationships/hyperlink" Target="https://www.legislation.gov.uk/ukpga/2009/25/notes#:~:text=The%20purpose%20of%20the%20Act" TargetMode="External"/><Relationship Id="rId11" Type="http://schemas.openxmlformats.org/officeDocument/2006/relationships/hyperlink" Target="https://www.parliament.uk/about/how/laws/new-laws/" TargetMode="External"/><Relationship Id="rId5" Type="http://schemas.openxmlformats.org/officeDocument/2006/relationships/hyperlink" Target="https://plus-lexis-com.ezproxy.uwtsd.ac.uk/uk/document/documentlink/?pdmfid=1001073&amp;crid=d79bda84-d85a-4e92-b40b-e05c06d4cc2c&amp;pddocfullpath=%2Fshared%2Fdocument%2Fanalytical-materials-uk%2Furn%3AcontentItem%3A5G8T-7VD1-F0CS-G0V2-00000-00&amp;pdcontentcomponentid=275417&amp;pdproductcontenttypeid=undefined&amp;pdiskwicview=false&amp;pdpinpoint=&amp;isviewwholeof=true&amp;tocid=urn%3AcontentItem%3A5PVF-2791-FKHM-D000-00000-00&amp;tocnodeid=AANAACAABAAE&amp;doccollection=analytical-materials-uk&amp;hlct=urn%3Ahlct%3A50&amp;pct=urn%3Apct%3A241&amp;docproviderid=-k4k&amp;fonttype=verdana&amp;fontsize=Small&amp;ecomp=-k4k&amp;prid=73b1f06f-0e42-4ed8-ba84-37564d0a3f26" TargetMode="External"/><Relationship Id="rId15" Type="http://schemas.openxmlformats.org/officeDocument/2006/relationships/hyperlink" Target="https://publications.parliament.uk/pa/ld200203/ldjudgmt/jd030227/diets-1.htm" TargetMode="External"/><Relationship Id="rId10" Type="http://schemas.openxmlformats.org/officeDocument/2006/relationships/hyperlink" Target="http://eprints.gla.ac.uk/180117/7/180117.pdf" TargetMode="External"/><Relationship Id="rId4" Type="http://schemas.openxmlformats.org/officeDocument/2006/relationships/webSettings" Target="webSettings.xml"/><Relationship Id="rId9" Type="http://schemas.openxmlformats.org/officeDocument/2006/relationships/hyperlink" Target="https://publications.parliament.uk/pa/ld200203/ldjudgmt/jd030227/diets-1.htm" TargetMode="External"/><Relationship Id="rId14" Type="http://schemas.openxmlformats.org/officeDocument/2006/relationships/hyperlink" Target="https://www.healthline.com/health/battered-woman-syndr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b:Tag>
    <b:SourceType>Book</b:SourceType>
    <b:Guid>{5068729E-E17D-9E48-A0FB-93AE7017EC30}</b:Guid>
    <b:Author>
      <b:Author>
        <b:NameList>
          <b:Person>
            <b:Last>smith</b:Last>
            <b:First>jc</b:First>
          </b:Person>
        </b:NameList>
      </b:Author>
    </b:Author>
    <b:Title>criminal law cases and mmaterials</b:Title>
    <b:RefOrder>1</b:RefOrder>
  </b:Source>
</b:Sources>
</file>

<file path=customXml/itemProps1.xml><?xml version="1.0" encoding="utf-8"?>
<ds:datastoreItem xmlns:ds="http://schemas.openxmlformats.org/officeDocument/2006/customXml" ds:itemID="{4FD3B284-7BB6-F44E-BAD7-36F2E6688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432</TotalTime>
  <Pages>8</Pages>
  <Words>2201</Words>
  <Characters>12550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deminished responsibility</dc:title>
  <dc:subject>BMPL4009/BMLW4005</dc:subject>
  <dc:creator>Chloe Clark (2207404)</dc:creator>
  <cp:keywords/>
  <dc:description/>
  <cp:lastModifiedBy>Chloe Clark (2207404)</cp:lastModifiedBy>
  <cp:revision>404</cp:revision>
  <dcterms:created xsi:type="dcterms:W3CDTF">2023-02-16T14:06:00Z</dcterms:created>
  <dcterms:modified xsi:type="dcterms:W3CDTF">2023-03-09T13:39:00Z</dcterms:modified>
</cp:coreProperties>
</file>