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74001" w14:textId="77777777" w:rsidR="00A8077B" w:rsidRDefault="00A8077B" w:rsidP="00A8077B">
      <w:r>
        <w:rPr>
          <w:noProof/>
        </w:rPr>
        <w:drawing>
          <wp:inline distT="0" distB="0" distL="0" distR="0" wp14:anchorId="231DF794" wp14:editId="4FAFC11B">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DAF61FF" w14:textId="77777777" w:rsidR="00A8077B" w:rsidRDefault="00A8077B" w:rsidP="00A8077B">
      <w:pPr>
        <w:rPr>
          <w:rStyle w:val="Strong"/>
          <w:rFonts w:ascii="Segoe UI" w:hAnsi="Segoe UI" w:cs="Segoe UI"/>
          <w:color w:val="1D2125"/>
        </w:rPr>
      </w:pPr>
    </w:p>
    <w:p w14:paraId="0C4F4264" w14:textId="77777777" w:rsidR="00A8077B" w:rsidRDefault="00A8077B" w:rsidP="00A8077B">
      <w:pPr>
        <w:rPr>
          <w:rStyle w:val="Strong"/>
          <w:rFonts w:cs="Arial"/>
          <w:color w:val="1D2125"/>
          <w:sz w:val="36"/>
          <w:szCs w:val="36"/>
        </w:rPr>
      </w:pPr>
    </w:p>
    <w:p w14:paraId="57B2A622" w14:textId="77777777" w:rsidR="00A8077B" w:rsidRDefault="00A8077B" w:rsidP="00A8077B">
      <w:pPr>
        <w:jc w:val="center"/>
        <w:rPr>
          <w:rStyle w:val="Strong"/>
          <w:rFonts w:cs="Arial"/>
          <w:color w:val="1D2125"/>
          <w:sz w:val="36"/>
          <w:szCs w:val="36"/>
        </w:rPr>
      </w:pPr>
    </w:p>
    <w:p w14:paraId="7B9C3BD7" w14:textId="75949C3E" w:rsidR="00A8077B" w:rsidRDefault="00A8077B" w:rsidP="00A8077B">
      <w:pPr>
        <w:jc w:val="center"/>
        <w:rPr>
          <w:rStyle w:val="Strong"/>
          <w:rFonts w:cs="Arial"/>
          <w:color w:val="1D2125"/>
          <w:sz w:val="36"/>
          <w:szCs w:val="36"/>
        </w:rPr>
      </w:pPr>
      <w:r w:rsidRPr="00A8077B">
        <w:rPr>
          <w:rFonts w:cs="Arial"/>
          <w:b/>
          <w:bCs/>
          <w:color w:val="1D2125"/>
          <w:sz w:val="36"/>
          <w:szCs w:val="36"/>
        </w:rPr>
        <w:t>Health, Wellbeing and Sustainable Development</w:t>
      </w:r>
      <w:r w:rsidRPr="00A8077B">
        <w:rPr>
          <w:rFonts w:cs="Arial"/>
          <w:b/>
          <w:bCs/>
          <w:color w:val="1D2125"/>
          <w:sz w:val="36"/>
          <w:szCs w:val="36"/>
        </w:rPr>
        <w:t xml:space="preserve"> </w:t>
      </w:r>
      <w:r w:rsidRPr="008375B5">
        <w:rPr>
          <w:rStyle w:val="Strong"/>
          <w:rFonts w:cs="Arial"/>
          <w:color w:val="1D2125"/>
          <w:sz w:val="36"/>
          <w:szCs w:val="36"/>
        </w:rPr>
        <w:t>(</w:t>
      </w:r>
      <w:r w:rsidRPr="00A8077B">
        <w:rPr>
          <w:rFonts w:cs="Arial"/>
          <w:b/>
          <w:bCs/>
          <w:color w:val="1D2125"/>
          <w:sz w:val="36"/>
          <w:szCs w:val="36"/>
        </w:rPr>
        <w:t>BMHP6030</w:t>
      </w:r>
      <w:r>
        <w:rPr>
          <w:rStyle w:val="Strong"/>
          <w:rFonts w:cs="Arial"/>
          <w:color w:val="1D2125"/>
          <w:sz w:val="36"/>
          <w:szCs w:val="36"/>
        </w:rPr>
        <w:t>)</w:t>
      </w:r>
    </w:p>
    <w:p w14:paraId="33B0B0F9" w14:textId="77777777" w:rsidR="00A8077B" w:rsidRDefault="00A8077B" w:rsidP="00A8077B">
      <w:pPr>
        <w:jc w:val="center"/>
        <w:rPr>
          <w:rStyle w:val="Strong"/>
          <w:rFonts w:cs="Arial"/>
          <w:color w:val="1D2125"/>
          <w:sz w:val="36"/>
          <w:szCs w:val="36"/>
        </w:rPr>
      </w:pPr>
    </w:p>
    <w:p w14:paraId="1C8222B1" w14:textId="77777777" w:rsidR="00A8077B" w:rsidRDefault="00A8077B" w:rsidP="00A8077B">
      <w:pPr>
        <w:jc w:val="center"/>
        <w:rPr>
          <w:rStyle w:val="Strong"/>
          <w:rFonts w:cs="Arial"/>
          <w:color w:val="1D2125"/>
          <w:sz w:val="36"/>
          <w:szCs w:val="36"/>
        </w:rPr>
      </w:pPr>
    </w:p>
    <w:p w14:paraId="477998CC" w14:textId="2CADDF9D" w:rsidR="00A8077B" w:rsidRDefault="00A8077B" w:rsidP="00A8077B">
      <w:pPr>
        <w:rPr>
          <w:rStyle w:val="Strong"/>
          <w:rFonts w:cs="Arial"/>
          <w:b w:val="0"/>
          <w:bCs w:val="0"/>
          <w:color w:val="1D2125"/>
          <w:sz w:val="32"/>
          <w:szCs w:val="32"/>
        </w:rPr>
      </w:pPr>
      <w:r>
        <w:rPr>
          <w:rFonts w:cs="Arial"/>
          <w:b/>
          <w:bCs/>
          <w:color w:val="000000"/>
          <w:sz w:val="32"/>
          <w:szCs w:val="32"/>
        </w:rPr>
        <w:t xml:space="preserve">Component </w:t>
      </w:r>
      <w:r>
        <w:rPr>
          <w:rFonts w:cs="Arial"/>
          <w:b/>
          <w:bCs/>
          <w:color w:val="000000"/>
          <w:sz w:val="32"/>
          <w:szCs w:val="32"/>
        </w:rPr>
        <w:t>2</w:t>
      </w:r>
      <w:r>
        <w:rPr>
          <w:rFonts w:cs="Arial"/>
          <w:b/>
          <w:bCs/>
          <w:color w:val="000000"/>
          <w:sz w:val="32"/>
          <w:szCs w:val="32"/>
        </w:rPr>
        <w:t>: Written Report</w:t>
      </w:r>
    </w:p>
    <w:p w14:paraId="1EE7A24D" w14:textId="77777777" w:rsidR="00A8077B" w:rsidRDefault="00A8077B" w:rsidP="00A8077B">
      <w:pPr>
        <w:rPr>
          <w:rStyle w:val="Strong"/>
          <w:rFonts w:cs="Arial"/>
          <w:color w:val="1D2125"/>
          <w:sz w:val="32"/>
          <w:szCs w:val="32"/>
        </w:rPr>
      </w:pPr>
    </w:p>
    <w:p w14:paraId="374A35CC" w14:textId="77777777" w:rsidR="00A8077B" w:rsidRDefault="00A8077B" w:rsidP="00A8077B">
      <w:pPr>
        <w:rPr>
          <w:rStyle w:val="Strong"/>
          <w:rFonts w:cs="Arial"/>
          <w:color w:val="1D2125"/>
          <w:sz w:val="32"/>
          <w:szCs w:val="32"/>
        </w:rPr>
      </w:pPr>
      <w:r>
        <w:rPr>
          <w:rStyle w:val="Strong"/>
          <w:rFonts w:cs="Arial"/>
          <w:color w:val="1D2125"/>
          <w:sz w:val="32"/>
          <w:szCs w:val="32"/>
        </w:rPr>
        <w:t>Student name: Michael Uche Nwaokolo</w:t>
      </w:r>
    </w:p>
    <w:p w14:paraId="34FE9413" w14:textId="77777777" w:rsidR="00A8077B" w:rsidRDefault="00A8077B" w:rsidP="00A8077B">
      <w:pPr>
        <w:rPr>
          <w:rStyle w:val="Strong"/>
          <w:rFonts w:cs="Arial"/>
          <w:color w:val="1D2125"/>
          <w:sz w:val="32"/>
          <w:szCs w:val="32"/>
        </w:rPr>
      </w:pPr>
      <w:r>
        <w:rPr>
          <w:rStyle w:val="Strong"/>
          <w:rFonts w:cs="Arial"/>
          <w:color w:val="1D2125"/>
          <w:sz w:val="32"/>
          <w:szCs w:val="32"/>
        </w:rPr>
        <w:t>Student number: 2318218</w:t>
      </w:r>
    </w:p>
    <w:p w14:paraId="258362E3" w14:textId="051D1AFA" w:rsidR="00A8077B" w:rsidRDefault="00A8077B" w:rsidP="00A8077B">
      <w:pPr>
        <w:rPr>
          <w:rStyle w:val="Strong"/>
          <w:rFonts w:cs="Arial"/>
          <w:color w:val="1D2125"/>
          <w:sz w:val="32"/>
          <w:szCs w:val="32"/>
        </w:rPr>
      </w:pPr>
      <w:r>
        <w:rPr>
          <w:rStyle w:val="Strong"/>
          <w:rFonts w:cs="Arial"/>
          <w:color w:val="1D2125"/>
          <w:sz w:val="32"/>
          <w:szCs w:val="32"/>
        </w:rPr>
        <w:t xml:space="preserve">Lecturer’s name: </w:t>
      </w:r>
      <w:r w:rsidR="003544FA" w:rsidRPr="003544FA">
        <w:rPr>
          <w:rFonts w:cs="Arial"/>
          <w:b/>
          <w:bCs/>
          <w:color w:val="1D2125"/>
          <w:sz w:val="32"/>
          <w:szCs w:val="32"/>
        </w:rPr>
        <w:t xml:space="preserve">Dr </w:t>
      </w:r>
      <w:proofErr w:type="spellStart"/>
      <w:r w:rsidR="003544FA" w:rsidRPr="003544FA">
        <w:rPr>
          <w:rFonts w:cs="Arial"/>
          <w:b/>
          <w:bCs/>
          <w:color w:val="1D2125"/>
          <w:sz w:val="32"/>
          <w:szCs w:val="32"/>
        </w:rPr>
        <w:t>Itse</w:t>
      </w:r>
      <w:proofErr w:type="spellEnd"/>
      <w:r w:rsidR="003544FA" w:rsidRPr="003544FA">
        <w:rPr>
          <w:rFonts w:cs="Arial"/>
          <w:b/>
          <w:bCs/>
          <w:color w:val="1D2125"/>
          <w:sz w:val="32"/>
          <w:szCs w:val="32"/>
        </w:rPr>
        <w:t xml:space="preserve"> Olaoye</w:t>
      </w:r>
    </w:p>
    <w:p w14:paraId="6D05E085" w14:textId="77777777" w:rsidR="00A8077B" w:rsidRDefault="00A8077B" w:rsidP="00A8077B"/>
    <w:p w14:paraId="3D3E0F87" w14:textId="10E67826" w:rsidR="00A8077B" w:rsidRDefault="00A8077B" w:rsidP="00A8077B">
      <w:pPr>
        <w:spacing w:line="278" w:lineRule="auto"/>
        <w:jc w:val="left"/>
      </w:pPr>
      <w:r>
        <w:br w:type="page"/>
      </w:r>
    </w:p>
    <w:p w14:paraId="5CDD3BEB" w14:textId="15833472" w:rsidR="00465DFB" w:rsidRPr="00465DFB" w:rsidRDefault="00465DFB" w:rsidP="00A8077B">
      <w:pPr>
        <w:pStyle w:val="Heading1"/>
      </w:pPr>
      <w:r w:rsidRPr="00465DFB">
        <w:lastRenderedPageBreak/>
        <w:t>Introduction</w:t>
      </w:r>
    </w:p>
    <w:p w14:paraId="4511FA2D" w14:textId="77777777" w:rsidR="008E567F" w:rsidRDefault="00EB0706">
      <w:r w:rsidRPr="00EB0706">
        <w:t>When people think about health, hospitals, doctors and medical treatment are often the first things that come to mind. Yet many of the greatest influences on health are found long before someone enters a healthcare setting. Housing, education, employment, income and the environment all shape health and life expectancy (Marmot et al., 2020). Recognising these wider influences, the United Nations introduced the Sustainable Development Goals (SDGs) as a global framework for improving health while promoting social, economic and environmental sustainability (United Nations, 2015). This report critically examines how these global ambitions are translated into national policy and local action to improve the health and wellbeing of citizens, with particular reference to Medway.</w:t>
      </w:r>
    </w:p>
    <w:p w14:paraId="62841B94" w14:textId="1121C267" w:rsidR="00465DFB" w:rsidRPr="00A8077B" w:rsidRDefault="00465DFB" w:rsidP="00A8077B">
      <w:pPr>
        <w:pStyle w:val="Heading1"/>
      </w:pPr>
      <w:r w:rsidRPr="00A8077B">
        <w:t>Sustainable Development Goal 3: Good Health and Wellbeing</w:t>
      </w:r>
    </w:p>
    <w:p w14:paraId="1718DE22" w14:textId="77777777" w:rsidR="009C5DCC" w:rsidRDefault="009C5DCC" w:rsidP="00A8077B">
      <w:r>
        <w:t>If health is shaped long before someone enters a healthcare setting, improving population health requires more than hospitals, medicines and treatment. Sustainable Development Goal 3 (SDG 3) aims to “ensure healthy lives and promote well-being for all at all ages” (United Nations, 2015). Rather than focusing solely on treating illness, it promotes prevention, equitable access to healthcare and stronger health systems that support people throughout life.</w:t>
      </w:r>
    </w:p>
    <w:p w14:paraId="300E79B2" w14:textId="77777777" w:rsidR="009C5DCC" w:rsidRDefault="009C5DCC" w:rsidP="00A8077B">
      <w:r>
        <w:t>SDG 3 includes priorities such as reducing maternal and child mortality, tackling communicable and non-communicable diseases, improving mental health and achieving Universal Health Coverage (World Health Organization, 2025). Together, these priorities aim to ensure that good health does not depend on where someone lives, their income or the circumstances into which they are born.</w:t>
      </w:r>
    </w:p>
    <w:p w14:paraId="365F761C" w14:textId="288344F4" w:rsidR="009C5DCC" w:rsidRDefault="009C5DCC" w:rsidP="00A8077B">
      <w:r>
        <w:t xml:space="preserve">One </w:t>
      </w:r>
      <w:r w:rsidR="0043359B">
        <w:t>of the str</w:t>
      </w:r>
      <w:r w:rsidR="0030061A">
        <w:t xml:space="preserve">engths </w:t>
      </w:r>
      <w:r>
        <w:t>of SDG 3 is its emphasis on prevention. Modern healthcare recognises that preventing illness is more effective and sustainable than treating it. Many leading causes of ill health, including cardiovascular disease, type 2 diabetes and some cancers, are closely linked to lifestyle, environmental and socioeconomic factors (</w:t>
      </w:r>
      <w:proofErr w:type="spellStart"/>
      <w:r>
        <w:t>Lakioti</w:t>
      </w:r>
      <w:proofErr w:type="spellEnd"/>
      <w:r>
        <w:t xml:space="preserve"> et al., 2025). Reducing these risks before illness develops improves quality of life while easing pressure on healthcare systems such as the NHS. For citizens, this creates greater opportunities to live longer, healthier lives while reducing preventable illness.</w:t>
      </w:r>
    </w:p>
    <w:p w14:paraId="0742DEDA" w14:textId="5997C12A" w:rsidR="009C5DCC" w:rsidRDefault="009C5DCC" w:rsidP="00A8077B">
      <w:r>
        <w:lastRenderedPageBreak/>
        <w:t>However, prevention is not simply about encouraging healthier choices. People's ability to live healthy lives depends on their circumstances. Secure housing, stable employment, education and income all influence whether healthy choices are realistic or even possible (Marmot et al., 2020</w:t>
      </w:r>
      <w:r w:rsidR="009707B1">
        <w:t xml:space="preserve">; </w:t>
      </w:r>
      <w:r w:rsidR="00995F99">
        <w:t>Office for Health Improvement and Disparities, 2023</w:t>
      </w:r>
      <w:r>
        <w:t xml:space="preserve">). Although healthcare services play an essential role, they cannot reduce health inequalities alone. Achieving lasting improvements requires governments to work across sectors, recognising that health is closely linked to social and economic policy. This reinforces a central theme of this report: health is created not only through healthcare services but also through the wider systems, environments and opportunities that shape people's </w:t>
      </w:r>
      <w:r w:rsidR="00496996">
        <w:t>lives, often referred to as the wider determinants of health (Faculty of Public Health, 2023)</w:t>
      </w:r>
      <w:r>
        <w:t>.</w:t>
      </w:r>
    </w:p>
    <w:p w14:paraId="2B6BFA08" w14:textId="77777777" w:rsidR="009C5DCC" w:rsidRDefault="009C5DCC" w:rsidP="00A8077B">
      <w:r>
        <w:t>Mental health illustrates this broader approach. Greater recognition of the relationship between mental and physical health has encouraged investment in integrated services and earlier intervention (World Health Organization, 2025). Even so, many countries continue to face workforce shortages, rising demand and lengthy waiting times, highlighting the gap between ambitious policy and successful implementation. International goals alone are insufficient; achieving them depends on sustained political commitment, adequate resources and effective delivery.</w:t>
      </w:r>
    </w:p>
    <w:p w14:paraId="26134333" w14:textId="77777777" w:rsidR="009C5DCC" w:rsidRDefault="009C5DCC" w:rsidP="00A8077B">
      <w:r>
        <w:t>SDG 3 has reshaped the way governments think about health by placing prevention, equity and wellbeing alongside medical treatment. Yet creating healthier populations requires more than healthcare reform. If the conditions in which people live influence health so profoundly, the places themselves must also become part of the solution. This broader perspective is reflected in Sustainable Development Goal 11, which considers how communities and the built environment contribute to healthier lives.</w:t>
      </w:r>
    </w:p>
    <w:p w14:paraId="63992A03" w14:textId="5B43BB43" w:rsidR="008A753A" w:rsidRPr="00A8077B" w:rsidRDefault="0061791C" w:rsidP="00A8077B">
      <w:pPr>
        <w:pStyle w:val="Heading1"/>
      </w:pPr>
      <w:r w:rsidRPr="00A8077B">
        <w:t>Sustainable Development Goal 11: Sustainable Cities and Communities</w:t>
      </w:r>
    </w:p>
    <w:p w14:paraId="7E22BB43" w14:textId="77777777" w:rsidR="008B66A9" w:rsidRDefault="004B415D" w:rsidP="008B66A9">
      <w:r>
        <w:t xml:space="preserve"> </w:t>
      </w:r>
      <w:r w:rsidR="008B66A9">
        <w:t>If SDG 3 recognises that good health cannot be achieved through healthcare alone, SDG 11 asks what kind of places help people live healthier lives. It shifts the focus from healthcare systems to the communities where people are born, live, work and age, recognising that health is shaped as much by everyday surroundings as by medical care. Its aim is to “make cities and human settlements inclusive, safe, resilient and sustainable” (United Nations, 2015).</w:t>
      </w:r>
    </w:p>
    <w:p w14:paraId="1576FD5E" w14:textId="77777777" w:rsidR="008B66A9" w:rsidRDefault="008B66A9" w:rsidP="008B66A9">
      <w:r>
        <w:lastRenderedPageBreak/>
        <w:t>At first glance, priorities such as housing, transport, air quality and urban planning may appear more closely linked to environmental or economic policy than public health. However, growing evidence shows that these factors directly influence physical and mental wellbeing (World Health Organization, 2023). This reinforces the principle introduced in SDG 3 that preventing illness often begins long before treatment is needed. The places people live can either support healthier lifestyles or create barriers to good health.</w:t>
      </w:r>
    </w:p>
    <w:p w14:paraId="10E2B493" w14:textId="73B3CEF7" w:rsidR="008B66A9" w:rsidRDefault="008B66A9" w:rsidP="008B66A9">
      <w:r>
        <w:t>Housing clearly illustrates this relationship. Safe, secure and affordable housing offers more than shelter; it supports physical health, mental wellbeing and stability. In contrast, poor-quality or overcrowded housing has been associated with respiratory illness, anxiety and reduced quality of life (Marmot et al., 2020). Green spaces also contribute to healthier communities by encouraging physical activity, reducing stress and strengthening social connections (</w:t>
      </w:r>
      <w:r w:rsidR="000A06F0">
        <w:t>Gianfredi et al.</w:t>
      </w:r>
      <w:r w:rsidR="007764AA">
        <w:t>,</w:t>
      </w:r>
      <w:r w:rsidR="000A06F0">
        <w:t xml:space="preserve"> 202</w:t>
      </w:r>
      <w:r w:rsidR="007A6DA5">
        <w:t>1</w:t>
      </w:r>
      <w:r>
        <w:t>). These benefits are particularly important for children, older adults and people living with long-term health conditions.</w:t>
      </w:r>
    </w:p>
    <w:p w14:paraId="6436326F" w14:textId="77777777" w:rsidR="008B66A9" w:rsidRDefault="008B66A9" w:rsidP="008B66A9">
      <w:r>
        <w:t>Transport provides another example of the relationship between sustainability and health. Encouraging walking, cycling and reliable public transport reduces carbon emissions while supporting active lifestyles and improving air quality. However, these benefits are not experienced equally. Communities experiencing greater deprivation often have poorer housing, fewer green spaces and higher exposure to environmental pollution, contributing to the health inequalities highlighted in SDG 3 (Marmot et al., 2020). This demonstrates that creating sustainable communities also means creating fairer communities.</w:t>
      </w:r>
    </w:p>
    <w:p w14:paraId="0E39ADA9" w14:textId="0A7580E5" w:rsidR="008B66A9" w:rsidRDefault="008B66A9" w:rsidP="008B66A9">
      <w:r>
        <w:t xml:space="preserve">Despite its clear vision, implementing SDG 11 remains challenging. </w:t>
      </w:r>
      <w:r w:rsidR="00817FF5">
        <w:t>Financial pressures, climate change and competing political priorities continue to influence progress (United Nations, 2024). Climate-related health risks also present increasing challenges for sustainable communities (UK Health Security Agency, 2023)</w:t>
      </w:r>
      <w:r>
        <w:t>. Success therefore depends on long-term investment, effective planning and meaningful collaboration between governments, local authorities and communities.</w:t>
      </w:r>
    </w:p>
    <w:p w14:paraId="55C7DDFF" w14:textId="77777777" w:rsidR="008B66A9" w:rsidRDefault="008B66A9" w:rsidP="008B66A9">
      <w:r>
        <w:t>Together, SDGs 3 and 11 provide a broader understanding of what creates healthy populations. While SDG 3 focuses on healthcare, prevention and equitable access to services, SDG 11 highlights the importance of healthy environments and sustainable communities. Together, they demonstrate that lasting improvements in health require action across many sectors, not healthcare alone. This thinking has increasingly influenced public policy in England, where national initiatives seek to translate these global ambitions into practice.</w:t>
      </w:r>
    </w:p>
    <w:p w14:paraId="50AD422D" w14:textId="46070E3A" w:rsidR="004B415D" w:rsidRDefault="008B66A9" w:rsidP="008B66A9">
      <w:r>
        <w:lastRenderedPageBreak/>
        <w:t>The ambitious nature of the SDGs also makes progress difficult to measure consistently across countries with different economic and political contexts (</w:t>
      </w:r>
      <w:r w:rsidR="002C2742" w:rsidRPr="002C2742">
        <w:t>United Nations, 2024</w:t>
      </w:r>
      <w:r>
        <w:t>)</w:t>
      </w:r>
      <w:r w:rsidR="004B415D">
        <w:t>.</w:t>
      </w:r>
    </w:p>
    <w:p w14:paraId="4928CEBF" w14:textId="7BC99B70" w:rsidR="00574365" w:rsidRPr="00A8077B" w:rsidRDefault="00574365" w:rsidP="00A8077B">
      <w:pPr>
        <w:pStyle w:val="Heading1"/>
      </w:pPr>
      <w:r w:rsidRPr="00A8077B">
        <w:t>National Health, Wellbeing and Sustainable Development Initiatives</w:t>
      </w:r>
    </w:p>
    <w:p w14:paraId="0B316D70" w14:textId="77777777" w:rsidR="00A92988" w:rsidRDefault="00A92988" w:rsidP="0023432E">
      <w:r>
        <w:t>The principles of SDGs 3 and 11 have shaped health policy in England, where prevention, reducing inequalities and improving population wellbeing have become central priorities. This is reflected in the NHS Long Term Plan and Core20PLUS5, both of which recognise that creating a healthier population requires more than medical treatment. Instead, they promote earlier intervention, integrated care and action on the wider determinants of health.</w:t>
      </w:r>
    </w:p>
    <w:p w14:paraId="024029B3" w14:textId="77777777" w:rsidR="00A92988" w:rsidRDefault="00A92988" w:rsidP="0023432E">
      <w:r>
        <w:t>Published in 2019, the NHS Long Term Plan shifted the NHS towards prevention, personalised care and closer collaboration between health and social care services (NHS England, 2019). Reflecting the ambitions of SDG 3, it recognises that healthcare should help people remain healthy rather than simply respond to illness. Integrated Care Systems have encouraged organisations to collaborate, improving coordination for people with long-term conditions and complex health needs.</w:t>
      </w:r>
    </w:p>
    <w:p w14:paraId="728C717C" w14:textId="6A992129" w:rsidR="00A92988" w:rsidRDefault="00A92988" w:rsidP="0023432E">
      <w:r>
        <w:t xml:space="preserve">Although the plan has driven meaningful change, implementation has proved more challenging than its vision. </w:t>
      </w:r>
      <w:r w:rsidR="008B6632">
        <w:t>Workforce shortages, rising demand, financial pressures and increasing waiting lists have limited progress (The King’s Fund, 2024; The Health Foundation, 2024)</w:t>
      </w:r>
      <w:r>
        <w:t>. A well-designed strategy may set ambitious goals, but without sufficient investment and staffing its impact is constrained. Sustainable healthcare therefore depends not only on good policy but also on the capacity to deliver it.</w:t>
      </w:r>
    </w:p>
    <w:p w14:paraId="10EA9F36" w14:textId="77777777" w:rsidR="00A92988" w:rsidRDefault="00A92988" w:rsidP="0023432E">
      <w:r>
        <w:t>A similar commitment to reducing inequalities is reflected in Core20PLUS5, which targets the most deprived 20% of the population alongside other groups experiencing poorer health outcomes (NHS England, 2023). Rather than providing identical services to everyone, it recognises that fairer outcomes sometimes require different levels of support. This reflects growing evidence that health inequalities are driven by social and economic factors rather than healthcare alone (Marmot et al., 2020).</w:t>
      </w:r>
    </w:p>
    <w:p w14:paraId="13EA9331" w14:textId="5FBE427C" w:rsidR="00A92988" w:rsidRDefault="00315E7F" w:rsidP="0023432E">
      <w:r w:rsidRPr="00315E7F">
        <w:t>Core20PLUS5's strengths lie in its focus on prevention, early diagnosis and improving access to care, reflecting NICE's wider emphasis on preventative public health and reducing health inequalities (National Institute for Health and Care Excellence, 2022)</w:t>
      </w:r>
      <w:r w:rsidR="00A92988">
        <w:t xml:space="preserve">. However, many factors </w:t>
      </w:r>
      <w:r w:rsidR="00A92988">
        <w:lastRenderedPageBreak/>
        <w:t>contributing to poor health, including poverty, housing insecurity, unemployment and educational disadvantage, fall outside the NHS’s control. Progress therefore depends on collaboration between healthcare providers, local authorities, education services and voluntary organisations.</w:t>
      </w:r>
    </w:p>
    <w:p w14:paraId="291D7799" w14:textId="25B4B09D" w:rsidR="00A92988" w:rsidRDefault="00A92988" w:rsidP="0023432E">
      <w:r>
        <w:t>Although these initiatives demonstrate England’s commitment to prevention and reducing health inequalities, further improvements are needed. The first recommendation is to protect investment in preventative public health services, recognising that preventing illness is more effective for citizens and more sustainable for the NHS. A second recommendation is to expand the health and social care workforce to improve timely access to services. A further recommendation is to strengthen collaboration between healthcare providers, local authorities, education services and the voluntary sector so that the wider determinants of health are addressed alongside medical treatment. The final recommendation is to evaluate national initiatives routinely using population health data to ensure they remain responsive to changing needs and inequalities.</w:t>
      </w:r>
    </w:p>
    <w:p w14:paraId="57D65FA8" w14:textId="162CD28C" w:rsidR="0023432E" w:rsidRPr="00A8077B" w:rsidRDefault="00C20C4E" w:rsidP="00A8077B">
      <w:pPr>
        <w:pStyle w:val="Heading1"/>
      </w:pPr>
      <w:r w:rsidRPr="00A8077B">
        <w:t>L</w:t>
      </w:r>
      <w:r w:rsidR="0023432E" w:rsidRPr="00A8077B">
        <w:t>ocal Health, Wellbeing and Sustainable Development Initiatives</w:t>
      </w:r>
    </w:p>
    <w:p w14:paraId="64CD82F3" w14:textId="77777777" w:rsidR="00D10118" w:rsidRDefault="00D10118" w:rsidP="00D10118">
      <w:r>
        <w:t>National policies provide direction for improving health and wellbeing, but their success is judged by the difference they make within local communities. It is here that global ambitions become everyday experiences, influencing where people live, the services they access and their opportunities to live healthier lives. Medway demonstrates how national priorities are translated into local action through partnership working.</w:t>
      </w:r>
    </w:p>
    <w:p w14:paraId="3B257DBE" w14:textId="77777777" w:rsidR="00D10118" w:rsidRDefault="00D10118" w:rsidP="00D10118">
      <w:r>
        <w:t>The Medway Joint Local Health and Wellbeing Strategy 2024–2028 reflects many of the principles underpinning SDGs 3 and 11. Its priorities extend beyond healthcare to reducing health inequalities, supporting healthier lifestyles, creating safe and sustainable places and strengthening communities (Medway Council, 2024). This recognises that improving health depends on organisations working together to address the wider determinants of wellbeing.</w:t>
      </w:r>
    </w:p>
    <w:p w14:paraId="2855B738" w14:textId="020FE0F7" w:rsidR="00D10118" w:rsidRDefault="00D10118" w:rsidP="00D10118">
      <w:r>
        <w:t xml:space="preserve">A key strength of the strategy is its recognition that health is experienced differently across Medway. </w:t>
      </w:r>
      <w:r w:rsidR="00AF0C84">
        <w:t>People in more deprived areas experience poorer health outcomes and lower life expectancy than those in less deprived communities (Office for National Statistics, 2025)</w:t>
      </w:r>
      <w:r>
        <w:t xml:space="preserve">. By acknowledging these inequalities, the strategy directs resources where they are likely to have the greatest impact. However, implementation remains challenging because of financial pressures, increasing demand and the complexity of partnership working. This reinforces a central theme of </w:t>
      </w:r>
      <w:r>
        <w:lastRenderedPageBreak/>
        <w:t>this report: ambitious policies alone do not improve health unless supported by sustained investment and effective delivery.</w:t>
      </w:r>
    </w:p>
    <w:p w14:paraId="7B62A6F9" w14:textId="77777777" w:rsidR="00D10118" w:rsidRDefault="00D10118" w:rsidP="00D10118">
      <w:r>
        <w:t>The Kent and Medway Integrated Care Strategy also promotes collaboration between NHS organisations, local authorities, voluntary organisations and community partners to improve population health (Kent and Medway Integrated Care System, 2023). Rather than responding only when people become unwell, it emphasises earlier intervention, integrated services and stronger community support. This reflects growing recognition that prevention is most effective when organisations share responsibility for improving health.</w:t>
      </w:r>
    </w:p>
    <w:p w14:paraId="12AC912D" w14:textId="77777777" w:rsidR="00D10118" w:rsidRDefault="00D10118" w:rsidP="00D10118">
      <w:r>
        <w:t>Partnership working also presents challenges. Coordinating organisations with different priorities, budgets and responsibilities can slow decision-making, while demonstrating the long-term impact of preventative initiatives remains difficult. These challenges highlight the need for clear accountability, effective data sharing and meaningful community involvement in designing and evaluating services.</w:t>
      </w:r>
    </w:p>
    <w:p w14:paraId="3AA57873" w14:textId="45A3BDEB" w:rsidR="000E0A11" w:rsidRPr="00A8077B" w:rsidRDefault="00D10118" w:rsidP="00A8077B">
      <w:r>
        <w:t>Although Medway's local initiatives provide a strong foundation for improving health and wellbeing, opportunities remain to strengthen their impact. One recommendation is to increase investment in community-based prevention programmes that support residents before health problems become more complex. A further recommendation is to increase opportunities for local people to help design and evaluate services, ensuring they continue to reflect the needs of Medway's diverse communities. Another recommendation is to strengthen data sharing and joint working across health, housing, education and voluntary organisations, enabling services to respond more effectively to the wider determinants of health. The final recommendation is to review local initiatives regularly using population health data so that future decisions are informed by evidence rather than assumptions.</w:t>
      </w:r>
    </w:p>
    <w:p w14:paraId="4962868E" w14:textId="37EC7F7E" w:rsidR="00515448" w:rsidRPr="00A8077B" w:rsidRDefault="008846CD" w:rsidP="00A8077B">
      <w:pPr>
        <w:pStyle w:val="Heading1"/>
      </w:pPr>
      <w:r w:rsidRPr="00A8077B">
        <w:t>Conclusion</w:t>
      </w:r>
    </w:p>
    <w:p w14:paraId="1F68780D" w14:textId="77777777" w:rsidR="00F86886" w:rsidRDefault="00F86886">
      <w:r>
        <w:t>Creating a healthier population requires more than healthcare services. As this report has demonstrated, health is shaped by the circumstances in which people are born, live, work and age. The Sustainable Development Goals provide a global framework for addressing these wider influences, while national initiatives such as the NHS Long Term Plan and Core20PLUS5 translate these ambitions into policy. Local initiatives in Medway show how these policies are implemented to meet community needs.</w:t>
      </w:r>
    </w:p>
    <w:p w14:paraId="05D246BE" w14:textId="77777777" w:rsidR="00F86886" w:rsidRDefault="00F86886">
      <w:r>
        <w:lastRenderedPageBreak/>
        <w:t>Although progress has been made in prevention, reducing inequalities and partnership working, workforce shortages, financial pressures and socioeconomic inequalities continue to limit outcomes. Improving health therefore requires sustained investment, cross-sector collaboration and regular evaluation to ensure policies remain responsive to changing population needs.</w:t>
      </w:r>
    </w:p>
    <w:p w14:paraId="6EF0AD74" w14:textId="741E8660" w:rsidR="00F86886" w:rsidRDefault="00F86886">
      <w:r>
        <w:t>The journey from global ambition to local action demonstrates that improving health is a shared responsibility. When international goals, national strategies and local partnerships work together, they provide the strongest foundation for reducing health inequalities, improving wellbeing and creating healthier, more sustainable communities</w:t>
      </w:r>
      <w:r w:rsidR="003D7B1A">
        <w:t>.</w:t>
      </w:r>
    </w:p>
    <w:p w14:paraId="2AC960ED" w14:textId="528A96EC" w:rsidR="003D23E0" w:rsidRPr="00A8077B" w:rsidRDefault="003D23E0" w:rsidP="00A8077B">
      <w:pPr>
        <w:pStyle w:val="Heading1"/>
      </w:pPr>
      <w:r w:rsidRPr="00A8077B">
        <w:t>References</w:t>
      </w:r>
    </w:p>
    <w:p w14:paraId="1C3C444C" w14:textId="6F7AE62C" w:rsidR="005358F9" w:rsidRPr="00A8077B" w:rsidRDefault="005358F9" w:rsidP="00A8077B">
      <w:pPr>
        <w:jc w:val="left"/>
        <w:rPr>
          <w:rFonts w:cs="Arial"/>
        </w:rPr>
      </w:pPr>
      <w:r w:rsidRPr="00A8077B">
        <w:rPr>
          <w:rFonts w:cs="Arial"/>
        </w:rPr>
        <w:t xml:space="preserve">Department of Health and Social Care (2019) Prevention is better than cure: Our vision to help you live well for longer. Available at: </w:t>
      </w:r>
      <w:hyperlink r:id="rId7" w:history="1">
        <w:r w:rsidR="00A05042" w:rsidRPr="00A8077B">
          <w:rPr>
            <w:rStyle w:val="Hyperlink"/>
            <w:rFonts w:cs="Arial"/>
            <w:color w:val="auto"/>
            <w:u w:val="none"/>
          </w:rPr>
          <w:t>https://www.gov.uk/government/publications/prevention-is-better-than-cure-our-vision-to-help-you-live-well-for-longer</w:t>
        </w:r>
      </w:hyperlink>
      <w:r w:rsidR="00A05042" w:rsidRPr="00A8077B">
        <w:rPr>
          <w:rFonts w:cs="Arial"/>
        </w:rPr>
        <w:t xml:space="preserve"> (</w:t>
      </w:r>
      <w:r w:rsidRPr="00A8077B">
        <w:rPr>
          <w:rFonts w:cs="Arial"/>
        </w:rPr>
        <w:t>Accessed: 4 August 2026).</w:t>
      </w:r>
    </w:p>
    <w:p w14:paraId="6EA46408" w14:textId="7C477634" w:rsidR="00520E15" w:rsidRPr="00A8077B" w:rsidRDefault="00520E15" w:rsidP="00A8077B">
      <w:pPr>
        <w:jc w:val="left"/>
        <w:rPr>
          <w:rFonts w:cs="Arial"/>
        </w:rPr>
      </w:pPr>
      <w:r w:rsidRPr="00A8077B">
        <w:rPr>
          <w:rFonts w:cs="Arial"/>
        </w:rPr>
        <w:t xml:space="preserve">Faculty of Public Health (2023) Wider determinants. Available at: </w:t>
      </w:r>
      <w:hyperlink r:id="rId8" w:history="1">
        <w:r w:rsidR="004C1A68" w:rsidRPr="00A8077B">
          <w:rPr>
            <w:rStyle w:val="Hyperlink"/>
            <w:rFonts w:cs="Arial"/>
            <w:color w:val="auto"/>
            <w:u w:val="none"/>
          </w:rPr>
          <w:t>https://www.fph.org.uk/policy-advocacy/special-interest-groups/public-mental-health-sig/better-mental-health-for-all/why-public-mental-health-matters/mental-well-being-enhances-resilience-and-protects-against-disease/wider-determinants/</w:t>
        </w:r>
      </w:hyperlink>
      <w:r w:rsidR="004C1A68" w:rsidRPr="00A8077B">
        <w:rPr>
          <w:rFonts w:cs="Arial"/>
        </w:rPr>
        <w:t xml:space="preserve"> </w:t>
      </w:r>
      <w:r w:rsidRPr="00A8077B">
        <w:rPr>
          <w:rFonts w:cs="Arial"/>
        </w:rPr>
        <w:t xml:space="preserve">(Accessed: 4 August 2026). </w:t>
      </w:r>
    </w:p>
    <w:p w14:paraId="31628031" w14:textId="0B85D97A" w:rsidR="00D2208D" w:rsidRPr="00A8077B" w:rsidRDefault="005358F9" w:rsidP="00A8077B">
      <w:pPr>
        <w:jc w:val="left"/>
        <w:rPr>
          <w:rFonts w:eastAsia="Times New Roman" w:cs="Arial"/>
          <w:shd w:val="clear" w:color="auto" w:fill="FFFFFF"/>
        </w:rPr>
      </w:pPr>
      <w:r w:rsidRPr="00A8077B">
        <w:rPr>
          <w:rFonts w:cs="Arial"/>
        </w:rPr>
        <w:t>Gianfredi, V., Buffoli, M., Rebecchi, A., Capolongo, S., Blandi, L., Ferrante, M. and Odone, A. (2021) 'Association between urban greenspace and health: A systematic review of literature', International Journal of Environmental Research and Public Health, 18(10), 5137.</w:t>
      </w:r>
      <w:r w:rsidR="00D2208D" w:rsidRPr="00A8077B">
        <w:rPr>
          <w:rFonts w:cs="Arial"/>
        </w:rPr>
        <w:t xml:space="preserve"> </w:t>
      </w:r>
      <w:r w:rsidR="002B57B3" w:rsidRPr="00A8077B">
        <w:rPr>
          <w:rFonts w:cs="Arial"/>
        </w:rPr>
        <w:t>DOI</w:t>
      </w:r>
      <w:r w:rsidR="00D2208D" w:rsidRPr="00A8077B">
        <w:rPr>
          <w:rFonts w:cs="Arial"/>
        </w:rPr>
        <w:t>: 10.3390/ijerph18105137</w:t>
      </w:r>
    </w:p>
    <w:p w14:paraId="14E8F4A7" w14:textId="381D8A56" w:rsidR="005358F9" w:rsidRPr="00A8077B" w:rsidRDefault="005358F9" w:rsidP="00A8077B">
      <w:pPr>
        <w:jc w:val="left"/>
        <w:rPr>
          <w:rFonts w:cs="Arial"/>
        </w:rPr>
      </w:pPr>
      <w:r w:rsidRPr="00A8077B">
        <w:rPr>
          <w:rFonts w:cs="Arial"/>
        </w:rPr>
        <w:t xml:space="preserve">Kent and Medway Integrated Care System (2023) Integrated Care Strategy. Available at: </w:t>
      </w:r>
      <w:hyperlink r:id="rId9" w:history="1">
        <w:r w:rsidR="004C0906" w:rsidRPr="00A8077B">
          <w:rPr>
            <w:rStyle w:val="Hyperlink"/>
            <w:rFonts w:cs="Arial"/>
            <w:color w:val="auto"/>
            <w:u w:val="none"/>
          </w:rPr>
          <w:t>https://www.kentandmedway.icb.nhs.uk</w:t>
        </w:r>
      </w:hyperlink>
      <w:r w:rsidR="004C0906" w:rsidRPr="00A8077B">
        <w:rPr>
          <w:rFonts w:cs="Arial"/>
        </w:rPr>
        <w:t xml:space="preserve"> </w:t>
      </w:r>
      <w:r w:rsidRPr="00A8077B">
        <w:rPr>
          <w:rFonts w:cs="Arial"/>
        </w:rPr>
        <w:t>(Accessed: 4 August 2026).</w:t>
      </w:r>
    </w:p>
    <w:p w14:paraId="081798F5" w14:textId="6F1937F0" w:rsidR="005358F9" w:rsidRPr="00A8077B" w:rsidRDefault="005358F9" w:rsidP="00A8077B">
      <w:pPr>
        <w:jc w:val="left"/>
        <w:rPr>
          <w:rFonts w:cs="Arial"/>
        </w:rPr>
      </w:pPr>
      <w:proofErr w:type="spellStart"/>
      <w:r w:rsidRPr="00A8077B">
        <w:rPr>
          <w:rFonts w:cs="Arial"/>
        </w:rPr>
        <w:t>Lakioti</w:t>
      </w:r>
      <w:proofErr w:type="spellEnd"/>
      <w:r w:rsidRPr="00A8077B">
        <w:rPr>
          <w:rFonts w:cs="Arial"/>
        </w:rPr>
        <w:t xml:space="preserve">, E., Pagonis, N., </w:t>
      </w:r>
      <w:proofErr w:type="spellStart"/>
      <w:r w:rsidRPr="00A8077B">
        <w:rPr>
          <w:rFonts w:cs="Arial"/>
        </w:rPr>
        <w:t>Flegkas</w:t>
      </w:r>
      <w:proofErr w:type="spellEnd"/>
      <w:r w:rsidRPr="00A8077B">
        <w:rPr>
          <w:rFonts w:cs="Arial"/>
        </w:rPr>
        <w:t xml:space="preserve">, D., </w:t>
      </w:r>
      <w:proofErr w:type="spellStart"/>
      <w:r w:rsidRPr="00A8077B">
        <w:rPr>
          <w:rFonts w:cs="Arial"/>
        </w:rPr>
        <w:t>Itziou</w:t>
      </w:r>
      <w:proofErr w:type="spellEnd"/>
      <w:r w:rsidRPr="00A8077B">
        <w:rPr>
          <w:rFonts w:cs="Arial"/>
        </w:rPr>
        <w:t xml:space="preserve">, A., Moustakas, K. and </w:t>
      </w:r>
      <w:proofErr w:type="spellStart"/>
      <w:r w:rsidRPr="00A8077B">
        <w:rPr>
          <w:rFonts w:cs="Arial"/>
        </w:rPr>
        <w:t>Karayannis</w:t>
      </w:r>
      <w:proofErr w:type="spellEnd"/>
      <w:r w:rsidRPr="00A8077B">
        <w:rPr>
          <w:rFonts w:cs="Arial"/>
        </w:rPr>
        <w:t>, V. (2025) 'Social Factors and Policies Promoting Good Health and Well-Being as a Sustainable Development Goal: Current Achievements and Future Pathways', Sustainability, 17(11), 5063.</w:t>
      </w:r>
      <w:r w:rsidR="00D2208D" w:rsidRPr="00A8077B">
        <w:rPr>
          <w:rFonts w:cs="Arial"/>
        </w:rPr>
        <w:t xml:space="preserve"> </w:t>
      </w:r>
      <w:r w:rsidR="006A358F" w:rsidRPr="00A8077B">
        <w:rPr>
          <w:rFonts w:cs="Arial"/>
        </w:rPr>
        <w:t>DOI:10.3390/su17115063</w:t>
      </w:r>
    </w:p>
    <w:p w14:paraId="7DD9B927" w14:textId="5FA35AF2" w:rsidR="00275F92" w:rsidRPr="00A8077B" w:rsidRDefault="00275F92" w:rsidP="00A8077B">
      <w:pPr>
        <w:jc w:val="left"/>
        <w:rPr>
          <w:rFonts w:cs="Arial"/>
        </w:rPr>
      </w:pPr>
      <w:r w:rsidRPr="00A8077B">
        <w:rPr>
          <w:rFonts w:cs="Arial"/>
        </w:rPr>
        <w:t xml:space="preserve">Marmot, M., Allen, J., Boyce, T., Goldblatt, P. </w:t>
      </w:r>
      <w:r w:rsidR="00F41D65" w:rsidRPr="00A8077B">
        <w:rPr>
          <w:rFonts w:cs="Arial"/>
        </w:rPr>
        <w:t>a</w:t>
      </w:r>
      <w:r w:rsidRPr="00A8077B">
        <w:rPr>
          <w:rFonts w:cs="Arial"/>
        </w:rPr>
        <w:t xml:space="preserve">nd Morrison, J. (2020) Health Equity in England: The Marmot Review 10 Years On. London: Institute of Health Equity. Available at: </w:t>
      </w:r>
      <w:hyperlink r:id="rId10" w:history="1">
        <w:r w:rsidRPr="00A8077B">
          <w:rPr>
            <w:rStyle w:val="Hyperlink"/>
            <w:rFonts w:cs="Arial"/>
            <w:color w:val="auto"/>
            <w:u w:val="none"/>
          </w:rPr>
          <w:t>https://www.health.org.uk/publications/reports/the-marmot-review-10-years-on</w:t>
        </w:r>
      </w:hyperlink>
      <w:r w:rsidRPr="00A8077B">
        <w:rPr>
          <w:rFonts w:cs="Arial"/>
        </w:rPr>
        <w:t xml:space="preserve"> (Accessed: 4 August 2026).</w:t>
      </w:r>
    </w:p>
    <w:p w14:paraId="0C53A149" w14:textId="45129319" w:rsidR="005358F9" w:rsidRPr="00A8077B" w:rsidRDefault="005358F9" w:rsidP="00A8077B">
      <w:pPr>
        <w:jc w:val="left"/>
        <w:rPr>
          <w:rFonts w:cs="Arial"/>
        </w:rPr>
      </w:pPr>
      <w:r w:rsidRPr="00A8077B">
        <w:rPr>
          <w:rFonts w:cs="Arial"/>
        </w:rPr>
        <w:lastRenderedPageBreak/>
        <w:t xml:space="preserve">Medway Council (2024) Joint Local Health and Wellbeing Strategy 2024–2028. Available at: </w:t>
      </w:r>
      <w:hyperlink r:id="rId11" w:history="1">
        <w:r w:rsidR="004C3D1A" w:rsidRPr="00A8077B">
          <w:rPr>
            <w:rStyle w:val="Hyperlink"/>
            <w:rFonts w:cs="Arial"/>
            <w:color w:val="auto"/>
            <w:u w:val="none"/>
          </w:rPr>
          <w:t>https://www.medway.gov.uk/downloads/file/3710/joint_local_health_and_wellbeing_strategy_2024_to_2028</w:t>
        </w:r>
      </w:hyperlink>
      <w:r w:rsidR="004C3D1A" w:rsidRPr="00A8077B">
        <w:rPr>
          <w:rFonts w:cs="Arial"/>
        </w:rPr>
        <w:t xml:space="preserve"> </w:t>
      </w:r>
      <w:r w:rsidRPr="00A8077B">
        <w:rPr>
          <w:rFonts w:cs="Arial"/>
        </w:rPr>
        <w:t>(Accessed: 4 August 2026).</w:t>
      </w:r>
    </w:p>
    <w:p w14:paraId="7F5F1C6C" w14:textId="0ECE671D" w:rsidR="005358F9" w:rsidRPr="00A8077B" w:rsidRDefault="005358F9" w:rsidP="00A8077B">
      <w:pPr>
        <w:jc w:val="left"/>
        <w:rPr>
          <w:rFonts w:cs="Arial"/>
        </w:rPr>
      </w:pPr>
      <w:r w:rsidRPr="00A8077B">
        <w:rPr>
          <w:rFonts w:cs="Arial"/>
        </w:rPr>
        <w:t xml:space="preserve">National Institute for Health and Care Excellence (2022) Public health guidance. Available at: </w:t>
      </w:r>
      <w:hyperlink r:id="rId12" w:history="1">
        <w:r w:rsidR="00826AF6" w:rsidRPr="00A8077B">
          <w:rPr>
            <w:rStyle w:val="Hyperlink"/>
            <w:rFonts w:cs="Arial"/>
            <w:color w:val="auto"/>
            <w:u w:val="none"/>
          </w:rPr>
          <w:t>https://www.nice.org.uk/guidance</w:t>
        </w:r>
      </w:hyperlink>
      <w:r w:rsidR="00826AF6" w:rsidRPr="00A8077B">
        <w:rPr>
          <w:rFonts w:cs="Arial"/>
        </w:rPr>
        <w:t xml:space="preserve"> </w:t>
      </w:r>
      <w:r w:rsidRPr="00A8077B">
        <w:rPr>
          <w:rFonts w:cs="Arial"/>
        </w:rPr>
        <w:t>(Accessed: 4 August 2026).</w:t>
      </w:r>
    </w:p>
    <w:p w14:paraId="7ED25032" w14:textId="27E62194" w:rsidR="005358F9" w:rsidRPr="00A8077B" w:rsidRDefault="005358F9" w:rsidP="00A8077B">
      <w:pPr>
        <w:jc w:val="left"/>
        <w:rPr>
          <w:rFonts w:cs="Arial"/>
        </w:rPr>
      </w:pPr>
      <w:r w:rsidRPr="00A8077B">
        <w:rPr>
          <w:rFonts w:cs="Arial"/>
        </w:rPr>
        <w:t xml:space="preserve">NHS England (2019) The NHS Long Term Plan. Available at: </w:t>
      </w:r>
      <w:hyperlink r:id="rId13" w:history="1">
        <w:r w:rsidR="00A05042" w:rsidRPr="00A8077B">
          <w:rPr>
            <w:rStyle w:val="Hyperlink"/>
            <w:rFonts w:cs="Arial"/>
            <w:color w:val="auto"/>
            <w:u w:val="none"/>
          </w:rPr>
          <w:t>https://www.longtermplan.nhs.uk</w:t>
        </w:r>
      </w:hyperlink>
      <w:r w:rsidR="00A05042" w:rsidRPr="00A8077B">
        <w:rPr>
          <w:rFonts w:cs="Arial"/>
        </w:rPr>
        <w:t xml:space="preserve"> </w:t>
      </w:r>
      <w:r w:rsidRPr="00A8077B">
        <w:rPr>
          <w:rFonts w:cs="Arial"/>
        </w:rPr>
        <w:t>(Accessed: 4 August 2026).</w:t>
      </w:r>
    </w:p>
    <w:p w14:paraId="655B7CD5" w14:textId="5AE10583" w:rsidR="005358F9" w:rsidRPr="00A8077B" w:rsidRDefault="005358F9" w:rsidP="00A8077B">
      <w:pPr>
        <w:jc w:val="left"/>
        <w:rPr>
          <w:rFonts w:cs="Arial"/>
        </w:rPr>
      </w:pPr>
      <w:r w:rsidRPr="00A8077B">
        <w:rPr>
          <w:rFonts w:cs="Arial"/>
        </w:rPr>
        <w:t xml:space="preserve">NHS England (2023) Core20PLUS5: An approach to reducing healthcare inequalities. Available at: </w:t>
      </w:r>
      <w:hyperlink r:id="rId14" w:history="1">
        <w:r w:rsidR="00A05042" w:rsidRPr="00A8077B">
          <w:rPr>
            <w:rStyle w:val="Hyperlink"/>
            <w:rFonts w:cs="Arial"/>
            <w:color w:val="auto"/>
            <w:u w:val="none"/>
          </w:rPr>
          <w:t>https://www.england.nhs.uk/about/equality/equality-hub/core20plus5/</w:t>
        </w:r>
      </w:hyperlink>
      <w:r w:rsidR="00A05042" w:rsidRPr="00A8077B">
        <w:rPr>
          <w:rFonts w:cs="Arial"/>
        </w:rPr>
        <w:t xml:space="preserve"> </w:t>
      </w:r>
      <w:r w:rsidRPr="00A8077B">
        <w:rPr>
          <w:rFonts w:cs="Arial"/>
        </w:rPr>
        <w:t>(Accessed: 4 August 2026).</w:t>
      </w:r>
    </w:p>
    <w:p w14:paraId="01D0DC29" w14:textId="26485989" w:rsidR="005358F9" w:rsidRPr="00A8077B" w:rsidRDefault="005358F9" w:rsidP="00A8077B">
      <w:pPr>
        <w:jc w:val="left"/>
        <w:rPr>
          <w:rFonts w:cs="Arial"/>
        </w:rPr>
      </w:pPr>
      <w:r w:rsidRPr="00A8077B">
        <w:rPr>
          <w:rFonts w:cs="Arial"/>
        </w:rPr>
        <w:t xml:space="preserve">Office for Health Improvement and Disparities (2023) Health inequalities: Wider determinants of health. Available at: </w:t>
      </w:r>
      <w:hyperlink r:id="rId15" w:history="1">
        <w:r w:rsidR="00A05042" w:rsidRPr="00A8077B">
          <w:rPr>
            <w:rStyle w:val="Hyperlink"/>
            <w:rFonts w:cs="Arial"/>
            <w:color w:val="auto"/>
            <w:u w:val="none"/>
          </w:rPr>
          <w:t>https://www.gov.uk/government/organisations/office-for-health-improvement-and-disparities</w:t>
        </w:r>
      </w:hyperlink>
      <w:r w:rsidR="00A05042" w:rsidRPr="00A8077B">
        <w:rPr>
          <w:rFonts w:cs="Arial"/>
        </w:rPr>
        <w:t xml:space="preserve"> </w:t>
      </w:r>
      <w:r w:rsidRPr="00A8077B">
        <w:rPr>
          <w:rFonts w:cs="Arial"/>
        </w:rPr>
        <w:t>(Accessed: 4 August 2026).</w:t>
      </w:r>
    </w:p>
    <w:p w14:paraId="449AD022" w14:textId="561978DC" w:rsidR="005358F9" w:rsidRPr="00A8077B" w:rsidRDefault="005358F9" w:rsidP="00A8077B">
      <w:pPr>
        <w:jc w:val="left"/>
        <w:rPr>
          <w:rFonts w:cs="Arial"/>
        </w:rPr>
      </w:pPr>
      <w:r w:rsidRPr="00A8077B">
        <w:rPr>
          <w:rFonts w:cs="Arial"/>
        </w:rPr>
        <w:t>Office for National Statistics (202</w:t>
      </w:r>
      <w:r w:rsidR="00BC4C0A" w:rsidRPr="00A8077B">
        <w:rPr>
          <w:rFonts w:cs="Arial"/>
        </w:rPr>
        <w:t>5</w:t>
      </w:r>
      <w:r w:rsidRPr="00A8077B">
        <w:rPr>
          <w:rFonts w:cs="Arial"/>
        </w:rPr>
        <w:t xml:space="preserve">) Health state life expectancies, UK. Available at: </w:t>
      </w:r>
      <w:hyperlink r:id="rId16" w:history="1">
        <w:r w:rsidR="00BC4C0A" w:rsidRPr="00A8077B">
          <w:rPr>
            <w:rStyle w:val="Hyperlink"/>
            <w:rFonts w:cs="Arial"/>
            <w:color w:val="auto"/>
            <w:u w:val="none"/>
          </w:rPr>
          <w:t>https://www.ons.gov.uk/peoplepopulationandcommunity/healthandsocialcare/healthandlifeexpectancies/methodologies/healthstatelifeexpectanciesukqmi2020to2022</w:t>
        </w:r>
      </w:hyperlink>
      <w:r w:rsidR="00BC4C0A" w:rsidRPr="00A8077B">
        <w:rPr>
          <w:rFonts w:cs="Arial"/>
        </w:rPr>
        <w:t xml:space="preserve"> </w:t>
      </w:r>
      <w:r w:rsidRPr="00A8077B">
        <w:rPr>
          <w:rFonts w:cs="Arial"/>
        </w:rPr>
        <w:t>(Accessed: 4 August 2026).</w:t>
      </w:r>
    </w:p>
    <w:p w14:paraId="022F8DE3" w14:textId="6F752E81" w:rsidR="005358F9" w:rsidRPr="00A8077B" w:rsidRDefault="005358F9" w:rsidP="00A8077B">
      <w:pPr>
        <w:jc w:val="left"/>
        <w:rPr>
          <w:rFonts w:cs="Arial"/>
        </w:rPr>
      </w:pPr>
      <w:r w:rsidRPr="00A8077B">
        <w:rPr>
          <w:rFonts w:cs="Arial"/>
        </w:rPr>
        <w:t xml:space="preserve">The Health Foundation (2024) Health inequalities. Available at: </w:t>
      </w:r>
      <w:hyperlink r:id="rId17" w:history="1">
        <w:r w:rsidR="006177E0" w:rsidRPr="00A8077B">
          <w:rPr>
            <w:rStyle w:val="Hyperlink"/>
            <w:rFonts w:cs="Arial"/>
            <w:color w:val="auto"/>
            <w:u w:val="none"/>
          </w:rPr>
          <w:t>https://www.health.org.uk/resources-and-toolkits/data-tools/evidence-hub/health-inequalities</w:t>
        </w:r>
      </w:hyperlink>
      <w:r w:rsidR="006177E0" w:rsidRPr="00A8077B">
        <w:rPr>
          <w:rFonts w:cs="Arial"/>
        </w:rPr>
        <w:t xml:space="preserve"> </w:t>
      </w:r>
      <w:r w:rsidRPr="00A8077B">
        <w:rPr>
          <w:rFonts w:cs="Arial"/>
        </w:rPr>
        <w:t>(Accessed: 4 August 2026).</w:t>
      </w:r>
    </w:p>
    <w:p w14:paraId="7562E64C" w14:textId="4C123E76" w:rsidR="005358F9" w:rsidRPr="00A8077B" w:rsidRDefault="005358F9" w:rsidP="00A8077B">
      <w:pPr>
        <w:jc w:val="left"/>
        <w:rPr>
          <w:rFonts w:cs="Arial"/>
        </w:rPr>
      </w:pPr>
      <w:r w:rsidRPr="00A8077B">
        <w:rPr>
          <w:rFonts w:cs="Arial"/>
        </w:rPr>
        <w:t xml:space="preserve">The King's Fund (2024) The NHS Long Term Plan explained. Available at: </w:t>
      </w:r>
      <w:hyperlink r:id="rId18" w:history="1">
        <w:r w:rsidR="006B30EF" w:rsidRPr="00A8077B">
          <w:rPr>
            <w:rStyle w:val="Hyperlink"/>
            <w:rFonts w:cs="Arial"/>
            <w:color w:val="auto"/>
            <w:u w:val="none"/>
          </w:rPr>
          <w:t>https://www.kingsfund.org.uk/insight-and-analysis/long-reads/nhs-long-term-plan-explained</w:t>
        </w:r>
      </w:hyperlink>
      <w:r w:rsidR="006B30EF" w:rsidRPr="00A8077B">
        <w:rPr>
          <w:rFonts w:cs="Arial"/>
        </w:rPr>
        <w:t xml:space="preserve"> </w:t>
      </w:r>
      <w:r w:rsidR="0075691D" w:rsidRPr="00A8077B">
        <w:rPr>
          <w:rFonts w:cs="Arial"/>
        </w:rPr>
        <w:t>(</w:t>
      </w:r>
      <w:r w:rsidRPr="00A8077B">
        <w:rPr>
          <w:rFonts w:cs="Arial"/>
        </w:rPr>
        <w:t>Accessed: 4 August 2026).</w:t>
      </w:r>
    </w:p>
    <w:p w14:paraId="6E29F196" w14:textId="11C5C9F2" w:rsidR="005358F9" w:rsidRPr="00A8077B" w:rsidRDefault="005358F9" w:rsidP="00A8077B">
      <w:pPr>
        <w:jc w:val="left"/>
        <w:rPr>
          <w:rFonts w:cs="Arial"/>
        </w:rPr>
      </w:pPr>
      <w:r w:rsidRPr="00A8077B">
        <w:rPr>
          <w:rFonts w:cs="Arial"/>
        </w:rPr>
        <w:t xml:space="preserve">United Nations (2015) Transforming our world: The 2030 Agenda for Sustainable Development. New York: United Nations. Available at: </w:t>
      </w:r>
      <w:hyperlink r:id="rId19" w:history="1">
        <w:r w:rsidR="006D7DDE" w:rsidRPr="00A8077B">
          <w:rPr>
            <w:rStyle w:val="Hyperlink"/>
            <w:rFonts w:cs="Arial"/>
            <w:color w:val="auto"/>
            <w:u w:val="none"/>
          </w:rPr>
          <w:t>https://sdgs.un.org/2030agenda</w:t>
        </w:r>
      </w:hyperlink>
      <w:r w:rsidR="006D7DDE" w:rsidRPr="00A8077B">
        <w:rPr>
          <w:rFonts w:cs="Arial"/>
        </w:rPr>
        <w:t xml:space="preserve"> </w:t>
      </w:r>
      <w:r w:rsidRPr="00A8077B">
        <w:rPr>
          <w:rFonts w:cs="Arial"/>
        </w:rPr>
        <w:t>(Accessed: 4 August 2026).</w:t>
      </w:r>
    </w:p>
    <w:p w14:paraId="5A26018D" w14:textId="144CAD3A" w:rsidR="005358F9" w:rsidRPr="00A8077B" w:rsidRDefault="005358F9" w:rsidP="00A8077B">
      <w:pPr>
        <w:jc w:val="left"/>
        <w:rPr>
          <w:rFonts w:cs="Arial"/>
        </w:rPr>
      </w:pPr>
      <w:r w:rsidRPr="00A8077B">
        <w:rPr>
          <w:rFonts w:cs="Arial"/>
        </w:rPr>
        <w:t xml:space="preserve">United Nations (2024) The Sustainable Development Goals Report 2024. Available at: </w:t>
      </w:r>
      <w:hyperlink r:id="rId20" w:history="1">
        <w:r w:rsidR="00355726" w:rsidRPr="00A8077B">
          <w:rPr>
            <w:rStyle w:val="Hyperlink"/>
            <w:rFonts w:cs="Arial"/>
            <w:color w:val="auto"/>
            <w:u w:val="none"/>
          </w:rPr>
          <w:t>https://unstats.un.org/sdgs/report/2024/</w:t>
        </w:r>
      </w:hyperlink>
      <w:r w:rsidR="00355726" w:rsidRPr="00A8077B">
        <w:rPr>
          <w:rFonts w:cs="Arial"/>
        </w:rPr>
        <w:t xml:space="preserve"> </w:t>
      </w:r>
      <w:r w:rsidRPr="00A8077B">
        <w:rPr>
          <w:rFonts w:cs="Arial"/>
        </w:rPr>
        <w:t>(Accessed: 4 August 2026).</w:t>
      </w:r>
    </w:p>
    <w:p w14:paraId="7F165403" w14:textId="6E53CF98" w:rsidR="005358F9" w:rsidRPr="00A8077B" w:rsidRDefault="005358F9" w:rsidP="00A8077B">
      <w:pPr>
        <w:jc w:val="left"/>
        <w:rPr>
          <w:rFonts w:cs="Arial"/>
        </w:rPr>
      </w:pPr>
      <w:r w:rsidRPr="00A8077B">
        <w:rPr>
          <w:rFonts w:cs="Arial"/>
        </w:rPr>
        <w:lastRenderedPageBreak/>
        <w:t xml:space="preserve">UK Health Security Agency (2023) Health effects of climate change in the UK. Available at: </w:t>
      </w:r>
      <w:hyperlink r:id="rId21" w:history="1">
        <w:r w:rsidR="00CC19CC" w:rsidRPr="00A8077B">
          <w:rPr>
            <w:rStyle w:val="Hyperlink"/>
            <w:rFonts w:cs="Arial"/>
            <w:color w:val="auto"/>
            <w:u w:val="none"/>
          </w:rPr>
          <w:t>https://www.gov.uk/guidance/health-effects-of-climate-change-hecc-report</w:t>
        </w:r>
      </w:hyperlink>
      <w:r w:rsidR="00CC19CC" w:rsidRPr="00A8077B">
        <w:rPr>
          <w:rFonts w:cs="Arial"/>
        </w:rPr>
        <w:t xml:space="preserve"> </w:t>
      </w:r>
      <w:r w:rsidRPr="00A8077B">
        <w:rPr>
          <w:rFonts w:cs="Arial"/>
        </w:rPr>
        <w:t>(Accessed: 4 August 2026).</w:t>
      </w:r>
    </w:p>
    <w:p w14:paraId="16A1F679" w14:textId="47BAAEA6" w:rsidR="005358F9" w:rsidRPr="00A8077B" w:rsidRDefault="005358F9" w:rsidP="00A8077B">
      <w:pPr>
        <w:jc w:val="left"/>
        <w:rPr>
          <w:rFonts w:cs="Arial"/>
        </w:rPr>
      </w:pPr>
      <w:r w:rsidRPr="00A8077B">
        <w:rPr>
          <w:rFonts w:cs="Arial"/>
        </w:rPr>
        <w:t xml:space="preserve">World Health Organization (2023) Urban health. Available at: </w:t>
      </w:r>
      <w:hyperlink r:id="rId22" w:history="1">
        <w:r w:rsidR="00E109F8" w:rsidRPr="00A8077B">
          <w:rPr>
            <w:rStyle w:val="Hyperlink"/>
            <w:rFonts w:cs="Arial"/>
            <w:color w:val="auto"/>
            <w:u w:val="none"/>
          </w:rPr>
          <w:t>https://www.who.int/health-topics/urban-health</w:t>
        </w:r>
      </w:hyperlink>
      <w:r w:rsidR="00E109F8" w:rsidRPr="00A8077B">
        <w:rPr>
          <w:rFonts w:cs="Arial"/>
        </w:rPr>
        <w:t xml:space="preserve"> </w:t>
      </w:r>
      <w:r w:rsidRPr="00A8077B">
        <w:rPr>
          <w:rFonts w:cs="Arial"/>
        </w:rPr>
        <w:t>(Accessed: 4 August 2026).</w:t>
      </w:r>
    </w:p>
    <w:p w14:paraId="5E792B57" w14:textId="5556EE98" w:rsidR="005358F9" w:rsidRPr="00A8077B" w:rsidRDefault="005358F9" w:rsidP="00A8077B">
      <w:pPr>
        <w:jc w:val="left"/>
        <w:rPr>
          <w:rFonts w:cs="Arial"/>
        </w:rPr>
      </w:pPr>
      <w:r w:rsidRPr="00A8077B">
        <w:rPr>
          <w:rFonts w:cs="Arial"/>
        </w:rPr>
        <w:t xml:space="preserve">World Health Organization (2024) Social determinants of health. Available at: </w:t>
      </w:r>
      <w:hyperlink r:id="rId23" w:history="1">
        <w:r w:rsidR="00E109F8" w:rsidRPr="00A8077B">
          <w:rPr>
            <w:rStyle w:val="Hyperlink"/>
            <w:rFonts w:cs="Arial"/>
            <w:color w:val="auto"/>
            <w:u w:val="none"/>
          </w:rPr>
          <w:t>https://www.who.int/health-topics/social-determinants-of-health</w:t>
        </w:r>
      </w:hyperlink>
      <w:r w:rsidR="00E109F8" w:rsidRPr="00A8077B">
        <w:rPr>
          <w:rFonts w:cs="Arial"/>
        </w:rPr>
        <w:t xml:space="preserve"> (</w:t>
      </w:r>
      <w:r w:rsidRPr="00A8077B">
        <w:rPr>
          <w:rFonts w:cs="Arial"/>
        </w:rPr>
        <w:t>Accessed: 4 August 2026).</w:t>
      </w:r>
    </w:p>
    <w:p w14:paraId="4EB446BC" w14:textId="76007831" w:rsidR="00CD2BBE" w:rsidRPr="00A8077B" w:rsidRDefault="005358F9" w:rsidP="00A8077B">
      <w:pPr>
        <w:jc w:val="left"/>
        <w:rPr>
          <w:rFonts w:cs="Arial"/>
        </w:rPr>
      </w:pPr>
      <w:r w:rsidRPr="00A8077B">
        <w:rPr>
          <w:rFonts w:cs="Arial"/>
        </w:rPr>
        <w:t xml:space="preserve">World Health Organization (2025) Health and well-being. Available at: </w:t>
      </w:r>
      <w:hyperlink r:id="rId24" w:history="1">
        <w:r w:rsidR="00E212B5" w:rsidRPr="00A8077B">
          <w:rPr>
            <w:rStyle w:val="Hyperlink"/>
            <w:rFonts w:cs="Arial"/>
            <w:color w:val="auto"/>
            <w:u w:val="none"/>
          </w:rPr>
          <w:t>https://www.who.int/data/gho/data/major-themes/health-and-well-being</w:t>
        </w:r>
      </w:hyperlink>
      <w:r w:rsidR="00E212B5" w:rsidRPr="00A8077B">
        <w:rPr>
          <w:rFonts w:cs="Arial"/>
        </w:rPr>
        <w:t xml:space="preserve"> </w:t>
      </w:r>
      <w:r w:rsidRPr="00A8077B">
        <w:rPr>
          <w:rFonts w:cs="Arial"/>
        </w:rPr>
        <w:t>(Accessed: 4 August 2026).</w:t>
      </w:r>
    </w:p>
    <w:p w14:paraId="61039CAC" w14:textId="77777777" w:rsidR="00CD2BBE" w:rsidRPr="00A87CBB" w:rsidRDefault="00CD2BBE" w:rsidP="00F4512E"/>
    <w:sectPr w:rsidR="00CD2BBE" w:rsidRPr="00A87C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70F73"/>
    <w:multiLevelType w:val="hybridMultilevel"/>
    <w:tmpl w:val="D2A252C0"/>
    <w:lvl w:ilvl="0" w:tplc="15C4530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21F52"/>
    <w:multiLevelType w:val="hybridMultilevel"/>
    <w:tmpl w:val="2780B8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1260348">
    <w:abstractNumId w:val="1"/>
  </w:num>
  <w:num w:numId="2" w16cid:durableId="631977880">
    <w:abstractNumId w:val="0"/>
  </w:num>
  <w:num w:numId="3" w16cid:durableId="617418539">
    <w:abstractNumId w:val="0"/>
  </w:num>
  <w:num w:numId="4" w16cid:durableId="2087219366">
    <w:abstractNumId w:val="0"/>
  </w:num>
  <w:num w:numId="5" w16cid:durableId="418141939">
    <w:abstractNumId w:val="0"/>
  </w:num>
  <w:num w:numId="6" w16cid:durableId="638848616">
    <w:abstractNumId w:val="0"/>
  </w:num>
  <w:num w:numId="7" w16cid:durableId="764809062">
    <w:abstractNumId w:val="0"/>
  </w:num>
  <w:num w:numId="8" w16cid:durableId="315033345">
    <w:abstractNumId w:val="0"/>
  </w:num>
  <w:num w:numId="9" w16cid:durableId="1683701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EB"/>
    <w:rsid w:val="00097EBD"/>
    <w:rsid w:val="000A06F0"/>
    <w:rsid w:val="000B19E7"/>
    <w:rsid w:val="000C066A"/>
    <w:rsid w:val="000C6B91"/>
    <w:rsid w:val="000E0A11"/>
    <w:rsid w:val="00143187"/>
    <w:rsid w:val="00163DFE"/>
    <w:rsid w:val="00165CEB"/>
    <w:rsid w:val="00166A03"/>
    <w:rsid w:val="001B4C0E"/>
    <w:rsid w:val="001D1E0B"/>
    <w:rsid w:val="001F3E18"/>
    <w:rsid w:val="0023432E"/>
    <w:rsid w:val="00236A75"/>
    <w:rsid w:val="00240DE3"/>
    <w:rsid w:val="00275F92"/>
    <w:rsid w:val="002859DD"/>
    <w:rsid w:val="002B57B3"/>
    <w:rsid w:val="002C2742"/>
    <w:rsid w:val="002C739F"/>
    <w:rsid w:val="0030061A"/>
    <w:rsid w:val="00315E7F"/>
    <w:rsid w:val="00337A38"/>
    <w:rsid w:val="003544FA"/>
    <w:rsid w:val="00355726"/>
    <w:rsid w:val="003A7740"/>
    <w:rsid w:val="003C22EB"/>
    <w:rsid w:val="003D1450"/>
    <w:rsid w:val="003D23E0"/>
    <w:rsid w:val="003D34C6"/>
    <w:rsid w:val="003D7B1A"/>
    <w:rsid w:val="003F6FDD"/>
    <w:rsid w:val="00417AB8"/>
    <w:rsid w:val="0043359B"/>
    <w:rsid w:val="00442C76"/>
    <w:rsid w:val="00465DFB"/>
    <w:rsid w:val="00496996"/>
    <w:rsid w:val="004B301F"/>
    <w:rsid w:val="004B415D"/>
    <w:rsid w:val="004C0906"/>
    <w:rsid w:val="004C1A68"/>
    <w:rsid w:val="004C3D1A"/>
    <w:rsid w:val="004F0740"/>
    <w:rsid w:val="00514EE4"/>
    <w:rsid w:val="00515448"/>
    <w:rsid w:val="00520E15"/>
    <w:rsid w:val="005358F9"/>
    <w:rsid w:val="0054704E"/>
    <w:rsid w:val="00574365"/>
    <w:rsid w:val="005B50CF"/>
    <w:rsid w:val="005E6C83"/>
    <w:rsid w:val="005F044A"/>
    <w:rsid w:val="006177E0"/>
    <w:rsid w:val="0061791C"/>
    <w:rsid w:val="006221D0"/>
    <w:rsid w:val="0066539C"/>
    <w:rsid w:val="006A358F"/>
    <w:rsid w:val="006B30EF"/>
    <w:rsid w:val="006D7DDE"/>
    <w:rsid w:val="007339E4"/>
    <w:rsid w:val="0075333A"/>
    <w:rsid w:val="0075691D"/>
    <w:rsid w:val="0076733A"/>
    <w:rsid w:val="007764AA"/>
    <w:rsid w:val="007A572F"/>
    <w:rsid w:val="007A6DA5"/>
    <w:rsid w:val="007C6A19"/>
    <w:rsid w:val="007E7137"/>
    <w:rsid w:val="00816D82"/>
    <w:rsid w:val="00817FF5"/>
    <w:rsid w:val="00826AF6"/>
    <w:rsid w:val="008461AD"/>
    <w:rsid w:val="008829B9"/>
    <w:rsid w:val="008846CD"/>
    <w:rsid w:val="008A753A"/>
    <w:rsid w:val="008B6632"/>
    <w:rsid w:val="008B66A9"/>
    <w:rsid w:val="008E567F"/>
    <w:rsid w:val="008F0B42"/>
    <w:rsid w:val="00912394"/>
    <w:rsid w:val="00937C7E"/>
    <w:rsid w:val="009707B1"/>
    <w:rsid w:val="00976CAC"/>
    <w:rsid w:val="00985C2B"/>
    <w:rsid w:val="00995F99"/>
    <w:rsid w:val="009C5DCC"/>
    <w:rsid w:val="00A05042"/>
    <w:rsid w:val="00A52014"/>
    <w:rsid w:val="00A5349C"/>
    <w:rsid w:val="00A536BC"/>
    <w:rsid w:val="00A61906"/>
    <w:rsid w:val="00A76197"/>
    <w:rsid w:val="00A8077B"/>
    <w:rsid w:val="00A87CBB"/>
    <w:rsid w:val="00A92988"/>
    <w:rsid w:val="00AE1572"/>
    <w:rsid w:val="00AF0C84"/>
    <w:rsid w:val="00B5595D"/>
    <w:rsid w:val="00BA44ED"/>
    <w:rsid w:val="00BC4C0A"/>
    <w:rsid w:val="00BE7BEC"/>
    <w:rsid w:val="00BF5167"/>
    <w:rsid w:val="00C20C4E"/>
    <w:rsid w:val="00C54A5B"/>
    <w:rsid w:val="00C92938"/>
    <w:rsid w:val="00CA3FA0"/>
    <w:rsid w:val="00CC19CC"/>
    <w:rsid w:val="00CD2BBE"/>
    <w:rsid w:val="00D10118"/>
    <w:rsid w:val="00D2208D"/>
    <w:rsid w:val="00D56FFA"/>
    <w:rsid w:val="00D64DD7"/>
    <w:rsid w:val="00E109F8"/>
    <w:rsid w:val="00E212B5"/>
    <w:rsid w:val="00E30ED3"/>
    <w:rsid w:val="00E450AA"/>
    <w:rsid w:val="00E71667"/>
    <w:rsid w:val="00EB0706"/>
    <w:rsid w:val="00EC4511"/>
    <w:rsid w:val="00EC6E19"/>
    <w:rsid w:val="00F1123D"/>
    <w:rsid w:val="00F265ED"/>
    <w:rsid w:val="00F41D65"/>
    <w:rsid w:val="00F4512E"/>
    <w:rsid w:val="00F73A8C"/>
    <w:rsid w:val="00F86886"/>
    <w:rsid w:val="00FB169A"/>
    <w:rsid w:val="00FB7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BB42E"/>
  <w15:chartTrackingRefBased/>
  <w15:docId w15:val="{697CD603-F5D7-6045-B7F8-96825CFD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77B"/>
    <w:pPr>
      <w:spacing w:line="360" w:lineRule="auto"/>
      <w:jc w:val="both"/>
    </w:pPr>
    <w:rPr>
      <w:rFonts w:ascii="Arial" w:hAnsi="Arial"/>
      <w:sz w:val="22"/>
    </w:rPr>
  </w:style>
  <w:style w:type="paragraph" w:styleId="Heading1">
    <w:name w:val="heading 1"/>
    <w:basedOn w:val="Normal"/>
    <w:next w:val="Normal"/>
    <w:link w:val="Heading1Char"/>
    <w:uiPriority w:val="9"/>
    <w:qFormat/>
    <w:rsid w:val="00A8077B"/>
    <w:pPr>
      <w:keepNext/>
      <w:keepLines/>
      <w:numPr>
        <w:numId w:val="2"/>
      </w:numPr>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165C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5C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C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C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C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C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C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C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77B"/>
    <w:rPr>
      <w:rFonts w:ascii="Arial" w:eastAsiaTheme="majorEastAsia" w:hAnsi="Arial" w:cstheme="majorBidi"/>
      <w:b/>
      <w:sz w:val="32"/>
      <w:szCs w:val="40"/>
    </w:rPr>
  </w:style>
  <w:style w:type="character" w:customStyle="1" w:styleId="Heading2Char">
    <w:name w:val="Heading 2 Char"/>
    <w:basedOn w:val="DefaultParagraphFont"/>
    <w:link w:val="Heading2"/>
    <w:uiPriority w:val="9"/>
    <w:semiHidden/>
    <w:rsid w:val="00165C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5C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C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C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C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C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C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CEB"/>
    <w:rPr>
      <w:rFonts w:eastAsiaTheme="majorEastAsia" w:cstheme="majorBidi"/>
      <w:color w:val="272727" w:themeColor="text1" w:themeTint="D8"/>
    </w:rPr>
  </w:style>
  <w:style w:type="paragraph" w:styleId="Title">
    <w:name w:val="Title"/>
    <w:basedOn w:val="Normal"/>
    <w:next w:val="Normal"/>
    <w:link w:val="TitleChar"/>
    <w:uiPriority w:val="10"/>
    <w:qFormat/>
    <w:rsid w:val="00165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C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CEB"/>
    <w:pPr>
      <w:spacing w:before="160"/>
      <w:jc w:val="center"/>
    </w:pPr>
    <w:rPr>
      <w:i/>
      <w:iCs/>
      <w:color w:val="404040" w:themeColor="text1" w:themeTint="BF"/>
    </w:rPr>
  </w:style>
  <w:style w:type="character" w:customStyle="1" w:styleId="QuoteChar">
    <w:name w:val="Quote Char"/>
    <w:basedOn w:val="DefaultParagraphFont"/>
    <w:link w:val="Quote"/>
    <w:uiPriority w:val="29"/>
    <w:rsid w:val="00165CEB"/>
    <w:rPr>
      <w:i/>
      <w:iCs/>
      <w:color w:val="404040" w:themeColor="text1" w:themeTint="BF"/>
    </w:rPr>
  </w:style>
  <w:style w:type="paragraph" w:styleId="ListParagraph">
    <w:name w:val="List Paragraph"/>
    <w:basedOn w:val="Normal"/>
    <w:uiPriority w:val="34"/>
    <w:qFormat/>
    <w:rsid w:val="00165CEB"/>
    <w:pPr>
      <w:ind w:left="720"/>
      <w:contextualSpacing/>
    </w:pPr>
  </w:style>
  <w:style w:type="character" w:styleId="IntenseEmphasis">
    <w:name w:val="Intense Emphasis"/>
    <w:basedOn w:val="DefaultParagraphFont"/>
    <w:uiPriority w:val="21"/>
    <w:qFormat/>
    <w:rsid w:val="00165CEB"/>
    <w:rPr>
      <w:i/>
      <w:iCs/>
      <w:color w:val="0F4761" w:themeColor="accent1" w:themeShade="BF"/>
    </w:rPr>
  </w:style>
  <w:style w:type="paragraph" w:styleId="IntenseQuote">
    <w:name w:val="Intense Quote"/>
    <w:basedOn w:val="Normal"/>
    <w:next w:val="Normal"/>
    <w:link w:val="IntenseQuoteChar"/>
    <w:uiPriority w:val="30"/>
    <w:qFormat/>
    <w:rsid w:val="00165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5CEB"/>
    <w:rPr>
      <w:i/>
      <w:iCs/>
      <w:color w:val="0F4761" w:themeColor="accent1" w:themeShade="BF"/>
    </w:rPr>
  </w:style>
  <w:style w:type="character" w:styleId="IntenseReference">
    <w:name w:val="Intense Reference"/>
    <w:basedOn w:val="DefaultParagraphFont"/>
    <w:uiPriority w:val="32"/>
    <w:qFormat/>
    <w:rsid w:val="00165CEB"/>
    <w:rPr>
      <w:b/>
      <w:bCs/>
      <w:smallCaps/>
      <w:color w:val="0F4761" w:themeColor="accent1" w:themeShade="BF"/>
      <w:spacing w:val="5"/>
    </w:rPr>
  </w:style>
  <w:style w:type="character" w:styleId="Hyperlink">
    <w:name w:val="Hyperlink"/>
    <w:basedOn w:val="DefaultParagraphFont"/>
    <w:uiPriority w:val="99"/>
    <w:unhideWhenUsed/>
    <w:rsid w:val="004C0906"/>
    <w:rPr>
      <w:color w:val="467886" w:themeColor="hyperlink"/>
      <w:u w:val="single"/>
    </w:rPr>
  </w:style>
  <w:style w:type="character" w:styleId="UnresolvedMention">
    <w:name w:val="Unresolved Mention"/>
    <w:basedOn w:val="DefaultParagraphFont"/>
    <w:uiPriority w:val="99"/>
    <w:semiHidden/>
    <w:unhideWhenUsed/>
    <w:rsid w:val="004C0906"/>
    <w:rPr>
      <w:color w:val="605E5C"/>
      <w:shd w:val="clear" w:color="auto" w:fill="E1DFDD"/>
    </w:rPr>
  </w:style>
  <w:style w:type="character" w:styleId="FollowedHyperlink">
    <w:name w:val="FollowedHyperlink"/>
    <w:basedOn w:val="DefaultParagraphFont"/>
    <w:uiPriority w:val="99"/>
    <w:semiHidden/>
    <w:unhideWhenUsed/>
    <w:rsid w:val="00A76197"/>
    <w:rPr>
      <w:color w:val="96607D" w:themeColor="followedHyperlink"/>
      <w:u w:val="single"/>
    </w:rPr>
  </w:style>
  <w:style w:type="character" w:styleId="Strong">
    <w:name w:val="Strong"/>
    <w:uiPriority w:val="22"/>
    <w:qFormat/>
    <w:rsid w:val="00A807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ph.org.uk/policy-advocacy/special-interest-groups/public-mental-health-sig/better-mental-health-for-all/why-public-mental-health-matters/mental-well-being-enhances-resilience-and-protects-against-disease/wider-determinants/" TargetMode="External"/><Relationship Id="rId13" Type="http://schemas.openxmlformats.org/officeDocument/2006/relationships/hyperlink" Target="https://www.longtermplan.nhs.uk" TargetMode="External"/><Relationship Id="rId18" Type="http://schemas.openxmlformats.org/officeDocument/2006/relationships/hyperlink" Target="https://www.kingsfund.org.uk/insight-and-analysis/long-reads/nhs-long-term-plan-explaine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guidance/health-effects-of-climate-change-hecc-report" TargetMode="External"/><Relationship Id="rId7" Type="http://schemas.openxmlformats.org/officeDocument/2006/relationships/hyperlink" Target="https://www.gov.uk/government/publications/prevention-is-better-than-cure-our-vision-to-help-you-live-well-for-longer" TargetMode="External"/><Relationship Id="rId12" Type="http://schemas.openxmlformats.org/officeDocument/2006/relationships/hyperlink" Target="https://www.nice.org.uk/guidance" TargetMode="External"/><Relationship Id="rId17" Type="http://schemas.openxmlformats.org/officeDocument/2006/relationships/hyperlink" Target="https://www.health.org.uk/resources-and-toolkits/data-tools/evidence-hub/health-inequaliti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ns.gov.uk/peoplepopulationandcommunity/healthandsocialcare/healthandlifeexpectancies/methodologies/healthstatelifeexpectanciesukqmi2020to2022" TargetMode="External"/><Relationship Id="rId20" Type="http://schemas.openxmlformats.org/officeDocument/2006/relationships/hyperlink" Target="https://unstats.un.org/sdgs/report/2024/" TargetMode="External"/><Relationship Id="rId1" Type="http://schemas.openxmlformats.org/officeDocument/2006/relationships/numbering" Target="numbering.xml"/><Relationship Id="rId6" Type="http://schemas.openxmlformats.org/officeDocument/2006/relationships/image" Target="file:///C:\Users\biancasanfilippo\Library\Group%20Containers\UBF8T346G9.ms\WebArchiveCopyPasteTempFiles\com.microsoft.Word\UWTSD-Logo.jpg" TargetMode="External"/><Relationship Id="rId11" Type="http://schemas.openxmlformats.org/officeDocument/2006/relationships/hyperlink" Target="https://www.medway.gov.uk/downloads/file/3710/joint_local_health_and_wellbeing_strategy_2024_to_2028" TargetMode="External"/><Relationship Id="rId24" Type="http://schemas.openxmlformats.org/officeDocument/2006/relationships/hyperlink" Target="https://www.who.int/data/gho/data/major-themes/health-and-well-being" TargetMode="External"/><Relationship Id="rId5" Type="http://schemas.openxmlformats.org/officeDocument/2006/relationships/image" Target="media/image1.jpeg"/><Relationship Id="rId15" Type="http://schemas.openxmlformats.org/officeDocument/2006/relationships/hyperlink" Target="https://www.gov.uk/government/organisations/office-for-health-improvement-and-disparities" TargetMode="External"/><Relationship Id="rId23" Type="http://schemas.openxmlformats.org/officeDocument/2006/relationships/hyperlink" Target="https://www.who.int/health-topics/social-determinants-of-health" TargetMode="External"/><Relationship Id="rId10" Type="http://schemas.openxmlformats.org/officeDocument/2006/relationships/hyperlink" Target="https://www.health.org.uk/publications/reports/the-marmot-review-10-years-on" TargetMode="External"/><Relationship Id="rId19" Type="http://schemas.openxmlformats.org/officeDocument/2006/relationships/hyperlink" Target="https://sdgs.un.org/2030agenda" TargetMode="External"/><Relationship Id="rId4" Type="http://schemas.openxmlformats.org/officeDocument/2006/relationships/webSettings" Target="webSettings.xml"/><Relationship Id="rId9" Type="http://schemas.openxmlformats.org/officeDocument/2006/relationships/hyperlink" Target="https://www.kentandmedway.icb.nhs.uk" TargetMode="External"/><Relationship Id="rId14" Type="http://schemas.openxmlformats.org/officeDocument/2006/relationships/hyperlink" Target="https://www.england.nhs.uk/about/equality/equality-hub/core20plus5/" TargetMode="External"/><Relationship Id="rId22" Type="http://schemas.openxmlformats.org/officeDocument/2006/relationships/hyperlink" Target="https://www.who.int/health-topics/urban-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3259</Words>
  <Characters>18578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Nwaokolo</dc:creator>
  <cp:keywords/>
  <dc:description/>
  <cp:lastModifiedBy>Michael Uche Nwaokolo</cp:lastModifiedBy>
  <cp:revision>2</cp:revision>
  <dcterms:created xsi:type="dcterms:W3CDTF">2026-08-05T21:55:00Z</dcterms:created>
  <dcterms:modified xsi:type="dcterms:W3CDTF">2026-08-05T21:55:00Z</dcterms:modified>
</cp:coreProperties>
</file>