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ascii="宋体" w:hAnsi="宋体" w:eastAsia="宋体" w:cs="宋体"/>
          <w:kern w:val="0"/>
          <w:sz w:val="24"/>
          <w:szCs w:val="24"/>
          <w:lang w:bidi="ar"/>
        </w:rPr>
      </w:pPr>
      <w:r>
        <w:rPr>
          <w:rFonts w:ascii="宋体" w:hAnsi="宋体" w:eastAsia="宋体" w:cs="宋体"/>
          <w:kern w:val="0"/>
          <w:sz w:val="24"/>
          <w:szCs w:val="24"/>
          <w:lang w:bidi="ar"/>
        </w:rPr>
        <w:drawing>
          <wp:inline distT="0" distB="0" distL="114300" distR="114300">
            <wp:extent cx="5250180" cy="2061210"/>
            <wp:effectExtent l="0" t="0" r="7620" b="11430"/>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icPr>
                  <pic:blipFill>
                    <a:blip r:embed="rId4"/>
                    <a:stretch>
                      <a:fillRect/>
                    </a:stretch>
                  </pic:blipFill>
                  <pic:spPr>
                    <a:xfrm>
                      <a:off x="0" y="0"/>
                      <a:ext cx="5250180" cy="2061210"/>
                    </a:xfrm>
                    <a:prstGeom prst="rect">
                      <a:avLst/>
                    </a:prstGeom>
                    <a:noFill/>
                    <a:ln w="9525">
                      <a:noFill/>
                    </a:ln>
                  </pic:spPr>
                </pic:pic>
              </a:graphicData>
            </a:graphic>
          </wp:inline>
        </w:drawing>
      </w:r>
    </w:p>
    <w:p>
      <w:pPr>
        <w:bidi w:val="0"/>
        <w:rPr>
          <w:rFonts w:ascii="宋体" w:hAnsi="宋体" w:eastAsia="宋体" w:cs="宋体"/>
          <w:kern w:val="0"/>
          <w:sz w:val="24"/>
          <w:szCs w:val="24"/>
          <w:lang w:bidi="ar"/>
        </w:rPr>
      </w:pPr>
    </w:p>
    <w:p>
      <w:pPr>
        <w:bidi w:val="0"/>
        <w:rPr>
          <w:rFonts w:ascii="宋体" w:hAnsi="宋体" w:eastAsia="宋体" w:cs="宋体"/>
          <w:kern w:val="0"/>
          <w:sz w:val="24"/>
          <w:szCs w:val="24"/>
          <w:lang w:bidi="ar"/>
        </w:rPr>
      </w:pPr>
    </w:p>
    <w:p>
      <w:pPr>
        <w:bidi w:val="0"/>
        <w:rPr>
          <w:rFonts w:ascii="宋体" w:hAnsi="宋体" w:eastAsia="宋体" w:cs="宋体"/>
          <w:kern w:val="0"/>
          <w:sz w:val="24"/>
          <w:szCs w:val="24"/>
          <w:lang w:bidi="ar"/>
        </w:rPr>
      </w:pPr>
    </w:p>
    <w:p>
      <w:pPr>
        <w:bidi w:val="0"/>
        <w:rPr>
          <w:rFonts w:ascii="宋体" w:hAnsi="宋体" w:eastAsia="宋体" w:cs="宋体"/>
          <w:kern w:val="0"/>
          <w:sz w:val="24"/>
          <w:szCs w:val="24"/>
          <w:lang w:bidi="ar"/>
        </w:rPr>
      </w:pPr>
    </w:p>
    <w:p>
      <w:pPr>
        <w:bidi w:val="0"/>
        <w:rPr>
          <w:rFonts w:ascii="宋体" w:hAnsi="宋体" w:eastAsia="宋体" w:cs="宋体"/>
          <w:kern w:val="0"/>
          <w:sz w:val="24"/>
          <w:szCs w:val="24"/>
          <w:lang w:bidi="ar"/>
        </w:rPr>
      </w:pPr>
    </w:p>
    <w:p>
      <w:pPr>
        <w:rPr>
          <w:rFonts w:hint="default" w:ascii="Times New Roman" w:hAnsi="Times New Roman" w:eastAsia="Calibri" w:cs="Times New Roman"/>
          <w:b/>
          <w:sz w:val="48"/>
          <w:szCs w:val="48"/>
        </w:rPr>
      </w:pPr>
      <w:r>
        <w:rPr>
          <w:rFonts w:hint="default" w:ascii="Times New Roman" w:hAnsi="Times New Roman" w:eastAsia="Calibri" w:cs="Times New Roman"/>
          <w:b/>
          <w:sz w:val="48"/>
          <w:szCs w:val="48"/>
        </w:rPr>
        <w:t>International Business Communications</w:t>
      </w: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ind w:firstLine="2711" w:firstLineChars="900"/>
        <w:rPr>
          <w:rFonts w:hint="eastAsia" w:ascii="Times New Roman" w:hAnsi="Times New Roman" w:eastAsia="宋体" w:cs="Times New Roman"/>
          <w:b/>
          <w:sz w:val="30"/>
          <w:szCs w:val="30"/>
          <w:lang w:val="en-US" w:eastAsia="zh-CN"/>
        </w:rPr>
      </w:pPr>
      <w:r>
        <w:rPr>
          <w:rFonts w:hint="eastAsia" w:ascii="Times New Roman" w:hAnsi="Times New Roman" w:eastAsia="宋体" w:cs="Times New Roman"/>
          <w:b/>
          <w:sz w:val="30"/>
          <w:szCs w:val="30"/>
          <w:lang w:val="en-US" w:eastAsia="zh-CN"/>
        </w:rPr>
        <w:t>Lecturer: Lisa Knight</w:t>
      </w: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sectPr>
          <w:pgSz w:w="11906" w:h="16838"/>
          <w:pgMar w:top="1440" w:right="1800" w:bottom="1440" w:left="1800" w:header="851" w:footer="992" w:gutter="0"/>
          <w:cols w:space="425" w:num="1"/>
          <w:docGrid w:type="lines" w:linePitch="312" w:charSpace="0"/>
        </w:sectPr>
      </w:pPr>
    </w:p>
    <w:p>
      <w:pPr>
        <w:pStyle w:val="2"/>
        <w:bidi w:val="0"/>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1.0 Introduction</w:t>
      </w: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continuous development of economic globalization, the cultural differences of each country and different countries will bring communication challenges to enterprises. Therefore, a good international business communication ability can help enterprises solve these difficult business transactions. On the contrary, if the enterprise does not have good business communication skills, it may lead to business failure</w:t>
      </w:r>
      <w:r>
        <w:rPr>
          <w:rFonts w:hint="eastAsia" w:ascii="Times New Roman" w:hAnsi="Times New Roman" w:cs="Times New Roman"/>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sz w:val="24"/>
          <w:szCs w:val="24"/>
          <w:shd w:val="clear" w:fill="FCFCFC"/>
        </w:rPr>
        <w:t>Seidel</w:t>
      </w:r>
      <w:r>
        <w:rPr>
          <w:rFonts w:hint="eastAsia" w:ascii="Times New Roman" w:hAnsi="Times New Roman" w:cs="Times New Roman"/>
          <w:sz w:val="24"/>
          <w:szCs w:val="24"/>
          <w:lang w:val="en-US" w:eastAsia="zh-CN"/>
        </w:rPr>
        <w:t>, 2019). Different cultural backgrounds in different countries have brought communication challenges to companies. Enterprises mastering good practical skills in international business communication will help them maintain these intricate business contacts</w:t>
      </w:r>
      <w:r>
        <w:rPr>
          <w:rFonts w:hint="default" w:ascii="Times New Roman" w:hAnsi="Times New Roman" w:cs="Times New Roman"/>
          <w:sz w:val="24"/>
          <w:szCs w:val="24"/>
          <w:lang w:val="en-US" w:eastAsia="zh-CN"/>
        </w:rPr>
        <w:t>(Mcrill, 2019)</w:t>
      </w:r>
      <w:r>
        <w:rPr>
          <w:rFonts w:hint="eastAsia" w:ascii="Times New Roman" w:hAnsi="Times New Roman" w:cs="Times New Roman"/>
          <w:sz w:val="24"/>
          <w:szCs w:val="24"/>
          <w:lang w:val="en-US" w:eastAsia="zh-CN"/>
        </w:rPr>
        <w:t>. Therefore, with the development of society, many professionals have studied and explored international business communication and obtained many successful theoretical knowledge, such as high and low context theory, cultural dimension theory and so on. These theoretical knowledge can be well applied to various business environments, and has remarkable results.</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N</w:t>
      </w:r>
      <w:r>
        <w:rPr>
          <w:rFonts w:hint="default" w:ascii="Times New Roman" w:hAnsi="Times New Roman" w:cs="Times New Roman"/>
          <w:sz w:val="24"/>
          <w:szCs w:val="24"/>
          <w:lang w:val="en-US" w:eastAsia="zh-CN"/>
        </w:rPr>
        <w:t>owadays, Britain is a powerful country in international economy and trade and occupies a very important position in the world economy. Britain is the sixth largest economy in the world with a high degree of economic development and a mature market system</w:t>
      </w:r>
      <w:r>
        <w:rPr>
          <w:rFonts w:hint="eastAsia" w:ascii="Times New Roman" w:hAnsi="Times New Roman" w:cs="Times New Roman"/>
          <w:sz w:val="24"/>
          <w:szCs w:val="24"/>
          <w:lang w:val="en-US" w:eastAsia="zh-CN"/>
        </w:rPr>
        <w:t>(Docin, 2020). With the globalization of economy and trade, a company needs good communication skills if it wants to develop smoothly in the international market. This essay will take the transnational trade between Britain and Cyprus as the research object, analyze the possible difficulties and challenges in the international business cooperation between the two countries, and put forward some feasible strategies and suggestions for the possible challenges, which can help the two countries increase the success of international trade.</w:t>
      </w:r>
    </w:p>
    <w:p>
      <w:pPr>
        <w:rPr>
          <w:rFonts w:hint="eastAsia" w:ascii="Times New Roman" w:hAnsi="Times New Roman" w:cs="Times New Roman"/>
          <w:sz w:val="24"/>
          <w:szCs w:val="24"/>
          <w:lang w:val="en-US" w:eastAsia="zh-CN"/>
        </w:rPr>
      </w:pPr>
    </w:p>
    <w:p>
      <w:pPr>
        <w:pStyle w:val="2"/>
        <w:bidi w:val="0"/>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 xml:space="preserve">2.0 International Business Communication </w:t>
      </w: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With the impact of trade globalization, international business </w:t>
      </w:r>
      <w:r>
        <w:rPr>
          <w:rFonts w:hint="eastAsia" w:ascii="Times New Roman" w:hAnsi="Times New Roman" w:cs="Times New Roman"/>
          <w:sz w:val="24"/>
          <w:szCs w:val="24"/>
          <w:lang w:val="en-US" w:eastAsia="zh-CN"/>
        </w:rPr>
        <w:t>communication</w:t>
      </w:r>
      <w:r>
        <w:rPr>
          <w:rFonts w:hint="default" w:ascii="Times New Roman" w:hAnsi="Times New Roman" w:cs="Times New Roman"/>
          <w:sz w:val="24"/>
          <w:szCs w:val="24"/>
          <w:lang w:val="en-US" w:eastAsia="zh-CN"/>
        </w:rPr>
        <w:t xml:space="preserve"> has become an important skill in transnational trade. It can help enterprises increase business opportunities and eliminate cultural barriers. International trade </w:t>
      </w:r>
      <w:r>
        <w:rPr>
          <w:rFonts w:hint="eastAsia" w:ascii="Times New Roman" w:hAnsi="Times New Roman" w:cs="Times New Roman"/>
          <w:sz w:val="24"/>
          <w:szCs w:val="24"/>
          <w:lang w:val="en-US" w:eastAsia="zh-CN"/>
        </w:rPr>
        <w:t>communication</w:t>
      </w:r>
      <w:r>
        <w:rPr>
          <w:rFonts w:hint="default" w:ascii="Times New Roman" w:hAnsi="Times New Roman" w:cs="Times New Roman"/>
          <w:sz w:val="24"/>
          <w:szCs w:val="24"/>
          <w:lang w:val="en-US" w:eastAsia="zh-CN"/>
        </w:rPr>
        <w:t xml:space="preserve"> have changed the world's environment, economy and other factors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Dignen, B. and McMaster, I.</w:t>
      </w:r>
      <w:r>
        <w:rPr>
          <w:rFonts w:hint="eastAsia" w:ascii="Times New Roman" w:hAnsi="Times New Roman" w:cs="Times New Roman"/>
          <w:sz w:val="24"/>
          <w:szCs w:val="24"/>
          <w:lang w:val="en-US" w:eastAsia="zh-CN"/>
        </w:rPr>
        <w:t>, 2013). In addition, with the increase of enterprises' international trade, the opportunities for cooperation with other state-owned enterprises will increase, and the cross-border will increase. Therefore, due to cultural differences, the scope of enterprise misunderstanding and conflict will become larger. In order to succeed, enterprises must be able to break the differences of culture, language, thinking mode and other factors. Therefore, international business communication has become an important factor(Carté, P. and Fox, C, 2008). While conducting international trade, an effective way of cross-cultural communication is an important prerequisite for establishing friendly and cooperative relations. In countries with different cultural backgrounds, the effective transmission of information and cross-cultural accuracy are very important. Similarly, for partners from other cultural countries, cross-cultural communication is equally important, which can well avoid unnecessary misunderstandings and conflicts. Therefore, cross-cultural communication has become an important trade skill of world trade globalization(Ehilon, 2021).</w:t>
      </w: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Therefore, while developing transnational trade, enterprises not only need to have economic and management skills, but also have a relevant understanding of different cultural backgrounds, which can help enterprises reduce barriers and cultural conflicts to enter different countries, so as to help enterprises achieve good cooperative relations and achieve their expected goals.</w:t>
      </w:r>
    </w:p>
    <w:p>
      <w:pPr>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3.0 The differences and challenges between Britain and Cyprus</w:t>
      </w:r>
    </w:p>
    <w:p>
      <w:pPr>
        <w:pStyle w:val="3"/>
        <w:bidi w:val="0"/>
        <w:rPr>
          <w:rFonts w:hint="default" w:ascii="Times New Roman" w:hAnsi="Times New Roman" w:cs="Times New Roman"/>
          <w:sz w:val="28"/>
          <w:szCs w:val="28"/>
          <w:lang w:val="en-US"/>
        </w:rPr>
      </w:pPr>
      <w:r>
        <w:rPr>
          <w:rFonts w:hint="default" w:ascii="Times New Roman" w:hAnsi="Times New Roman" w:cs="Times New Roman"/>
          <w:sz w:val="28"/>
          <w:szCs w:val="28"/>
          <w:lang w:val="en-US" w:eastAsia="zh-CN"/>
        </w:rPr>
        <w:t xml:space="preserve">3.1 The </w:t>
      </w:r>
      <w:r>
        <w:rPr>
          <w:rFonts w:hint="default" w:ascii="Times New Roman" w:hAnsi="Times New Roman" w:cs="Times New Roman"/>
          <w:sz w:val="28"/>
          <w:szCs w:val="28"/>
          <w:lang w:val="en-US"/>
        </w:rPr>
        <w:t>high</w:t>
      </w:r>
      <w:r>
        <w:rPr>
          <w:rFonts w:hint="default" w:ascii="Times New Roman" w:hAnsi="Times New Roman" w:cs="Times New Roman"/>
          <w:sz w:val="28"/>
          <w:szCs w:val="28"/>
          <w:lang w:val="en-US" w:eastAsia="zh-CN"/>
        </w:rPr>
        <w:t xml:space="preserve"> context cultural</w:t>
      </w:r>
      <w:r>
        <w:rPr>
          <w:rFonts w:hint="default" w:ascii="Times New Roman" w:hAnsi="Times New Roman" w:cs="Times New Roman"/>
          <w:sz w:val="28"/>
          <w:szCs w:val="28"/>
          <w:lang w:val="en-US"/>
        </w:rPr>
        <w:t xml:space="preserve"> and low context cultural</w:t>
      </w: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Edward T. Hall published Beyond Culture in 1976 and wrote about the concept of high and low context in the book. High context culture and low context Culture refers to the way of communication formed in different cultures. High context refers to the implicit transmission of some unspecified information in the process of communication between the two sides, while the low context means that many information is displayed and exchanged directly through message itself. When enterprises enter the international market, understanding the high context and low context of different countries is conducive to better communication and establish a stronger relationship with them.</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Generally speaking, high context and low context are used very frequently, and they are used in almost every cultural dimension, but there is always a culture dominant</w:t>
      </w:r>
      <w:r>
        <w:rPr>
          <w:rFonts w:hint="eastAsia" w:ascii="Times New Roman" w:hAnsi="Times New Roman" w:cs="Times New Roman"/>
          <w:sz w:val="24"/>
          <w:szCs w:val="24"/>
          <w:lang w:val="en-US" w:eastAsia="zh-CN"/>
        </w:rPr>
        <w:t>(</w:t>
      </w:r>
      <w:bookmarkStart w:id="0" w:name="bbib20"/>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"https://www-sciencedirect-com.ezproxy.uwtsd.ac.uk/science/article/pii/S0147176707000053" \l "bib20"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Gudykunst &amp; Nishida, 1986</w:t>
      </w:r>
      <w:bookmarkEnd w:id="0"/>
      <w:r>
        <w:rPr>
          <w:rFonts w:hint="default" w:ascii="Times New Roman" w:hAnsi="Times New Roman" w:cs="Times New Roman"/>
          <w:sz w:val="24"/>
          <w:szCs w:val="24"/>
          <w:lang w:val="en-US" w:eastAsia="zh-CN"/>
        </w:rPr>
        <w:fldChar w:fldCharType="end"/>
      </w:r>
      <w:r>
        <w:rPr>
          <w:rFonts w:hint="eastAsia" w:ascii="Times New Roman" w:hAnsi="Times New Roman" w:cs="Times New Roman"/>
          <w:sz w:val="24"/>
          <w:szCs w:val="24"/>
          <w:lang w:val="en-US" w:eastAsia="zh-CN"/>
        </w:rPr>
        <w:t xml:space="preserve">).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recent years, Cyprus has not been clearly defined as a country with high or low context. However, due to the first migration of Greeks to the island of Cyprus, although it was finally established as an independent state, nearly 80% of the population of Cyprus are Greeks. Therefore, the population composition of Cyprus is almost Greek. According to Hall's theoretical knowledge, the British are more inclined to low context culture, while the communication between the Greeks is more inclined to high context culture(Hall, 1990). Therefore, due to the different context and culture, there may be some potential challenges and difficulties when Britain reaches trade cooperation with Cyprus. </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Therefore, on the basis of establishing cooperative relations, we need to understand the differences in people's communication methods between the two countries.</w:t>
      </w:r>
      <w:r>
        <w:rPr>
          <w:rFonts w:hint="eastAsia" w:ascii="Times New Roman" w:hAnsi="Times New Roman" w:cs="Times New Roman"/>
          <w:sz w:val="24"/>
          <w:szCs w:val="24"/>
          <w:lang w:val="en-US" w:eastAsia="zh-CN"/>
        </w:rPr>
        <w:t xml:space="preserve"> Zhou Shiming(2020) points out that Cypriots are very indirect communicators. In order to avoid conflict or confrontation, they often adopt a circuitous attitude to convey information sensitively and wisely. In addition, when giving a negative answer, they may become more vague and noncommittal to avoid causing disappointment or offense. However, for Britain, the environment in which people live is relatively loose, the communication between people is relatively independent, and is rarely affected by the environment. In addition, the communication environment and communicators contain less information. People must communicate with clear language information in order to achieve effective communication, therefore, the way of communication between British people is more direct to better express their inner thoughts(MBA, 2020). Therefore, there are some differences in communication between the British and Cypriots, which is likely to cause unnecessary troubles in the process of trade and communication. This situation is a potential challenge in cross-cultural business communication. For example, Cypriots prefer indirect expression and convey their inner thoughts through circuitous communication, while Britons prefer direct expression, and differences in communication may lead to Britons being unable to understand what Cypriots want to express, or even misunderstanding,</w:t>
      </w:r>
      <w:bookmarkStart w:id="1" w:name="_GoBack"/>
      <w:bookmarkEnd w:id="1"/>
      <w:r>
        <w:rPr>
          <w:rFonts w:hint="eastAsia" w:ascii="Times New Roman" w:hAnsi="Times New Roman" w:cs="Times New Roman"/>
          <w:sz w:val="24"/>
          <w:szCs w:val="24"/>
          <w:lang w:val="en-US" w:eastAsia="zh-CN"/>
        </w:rPr>
        <w:t xml:space="preserve"> and being understood as lack of interest. On the other hand, in terms of expression, Cypriots usually want to make direct eye contact during conversation. When you talk to them, try to meet their eye needs. In their opinion, eye contact conveys sincerity and honesty(Zhou Shiming, 2020). This is highly similar to the British way of communication. The British also pay great attention to eye contact. They believe that eye contact represents the meaning of respecting each other. This high degree of fit will reduce the risk of misunderstanding between the two sides on formal occasions, and then make the cooperative relationship between the two sides more stable.</w:t>
      </w:r>
    </w:p>
    <w:p>
      <w:pPr>
        <w:rPr>
          <w:rFonts w:hint="eastAsia"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3.2. Hofstede's Cultural dimensions</w:t>
      </w:r>
    </w:p>
    <w:p>
      <w:pPr>
        <w:bidi w:val="0"/>
        <w:rPr>
          <w:rFonts w:hint="default" w:ascii="Times New Roman" w:hAnsi="Times New Roman" w:cs="Times New Roman"/>
          <w:b w:val="0"/>
          <w:bCs w:val="0"/>
          <w:sz w:val="24"/>
          <w:szCs w:val="24"/>
          <w:highlight w:val="none"/>
          <w:u w:val="none"/>
          <w:lang w:val="en-US" w:eastAsia="zh-CN"/>
        </w:rPr>
      </w:pPr>
      <w:r>
        <w:rPr>
          <w:rFonts w:hint="default" w:ascii="Times New Roman" w:hAnsi="Times New Roman" w:cs="Times New Roman"/>
          <w:sz w:val="24"/>
          <w:szCs w:val="24"/>
        </w:rPr>
        <w:t>Hofstede's cultural dimension theory can help organizations better understand the direct cultural differences between different countries, and is of great significance for cross-cultural communication. In addition, the theory can well measure its impact on the business environment</w:t>
      </w:r>
      <w:r>
        <w:rPr>
          <w:rFonts w:hint="default" w:ascii="Times New Roman" w:hAnsi="Times New Roman" w:cs="Times New Roman"/>
          <w:sz w:val="24"/>
          <w:szCs w:val="24"/>
          <w:lang w:val="en-US" w:eastAsia="zh-CN"/>
        </w:rPr>
        <w:t xml:space="preserve">(Hofstede, 1970). </w:t>
      </w:r>
      <w:r>
        <w:rPr>
          <w:rFonts w:hint="default" w:ascii="Times New Roman" w:hAnsi="Times New Roman" w:cs="Times New Roman"/>
          <w:sz w:val="24"/>
          <w:szCs w:val="24"/>
        </w:rPr>
        <w:t>He categorized the distinctions between cultures into six major cultural value dimensions</w:t>
      </w:r>
      <w:r>
        <w:rPr>
          <w:rFonts w:hint="default" w:ascii="Times New Roman" w:hAnsi="Times New Roman" w:cs="Times New Roman"/>
          <w:sz w:val="24"/>
          <w:szCs w:val="24"/>
          <w:lang w:val="en-US" w:eastAsia="zh-CN"/>
        </w:rPr>
        <w:t xml:space="preserve"> (Marketing91, 2020):</w:t>
      </w:r>
      <w:r>
        <w:rPr>
          <w:rFonts w:hint="default" w:ascii="Times New Roman" w:hAnsi="Times New Roman" w:cs="Times New Roman"/>
          <w:b w:val="0"/>
          <w:bCs w:val="0"/>
          <w:sz w:val="24"/>
          <w:szCs w:val="24"/>
          <w:highlight w:val="none"/>
          <w:u w:val="none"/>
          <w:lang w:val="en-US" w:eastAsia="zh-CN"/>
        </w:rPr>
        <w:t>Power distance index , Individualism vs. collectivism , Uncertainty avoidance, Masculinity vs. femininity, Long-term orientation vs. short-term orientation and Indulgence vs. Restraint.</w:t>
      </w:r>
    </w:p>
    <w:p>
      <w:pPr>
        <w:bidi w:val="0"/>
        <w:rPr>
          <w:rFonts w:hint="eastAsia" w:ascii="Times New Roman" w:hAnsi="Times New Roman" w:cs="Times New Roman"/>
          <w:b w:val="0"/>
          <w:bCs w:val="0"/>
          <w:sz w:val="24"/>
          <w:szCs w:val="24"/>
          <w:highlight w:val="none"/>
          <w:u w:val="none"/>
          <w:lang w:val="en-US" w:eastAsia="zh-CN"/>
        </w:rPr>
      </w:pPr>
    </w:p>
    <w:p>
      <w:pPr>
        <w:bidi w:val="0"/>
      </w:pPr>
      <w:r>
        <w:drawing>
          <wp:inline distT="0" distB="0" distL="114300" distR="114300">
            <wp:extent cx="5269865" cy="2847340"/>
            <wp:effectExtent l="0" t="0" r="317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69865" cy="2847340"/>
                    </a:xfrm>
                    <a:prstGeom prst="rect">
                      <a:avLst/>
                    </a:prstGeom>
                    <a:noFill/>
                    <a:ln>
                      <a:noFill/>
                    </a:ln>
                  </pic:spPr>
                </pic:pic>
              </a:graphicData>
            </a:graphic>
          </wp:inline>
        </w:drawing>
      </w:r>
    </w:p>
    <w:p>
      <w:pPr>
        <w:spacing w:line="360" w:lineRule="auto"/>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Table 1: According to </w:t>
      </w:r>
      <w:r>
        <w:rPr>
          <w:rFonts w:hint="default" w:ascii="Times New Roman" w:hAnsi="Times New Roman" w:cs="Times New Roman"/>
          <w:sz w:val="24"/>
          <w:szCs w:val="24"/>
        </w:rPr>
        <w:t>Hofstede's cultural dimension theory</w:t>
      </w:r>
      <w:r>
        <w:rPr>
          <w:rFonts w:hint="eastAsia" w:ascii="Times New Roman" w:hAnsi="Times New Roman" w:cs="Times New Roman"/>
          <w:sz w:val="24"/>
          <w:szCs w:val="24"/>
          <w:lang w:val="en-US" w:eastAsia="zh-CN"/>
        </w:rPr>
        <w:t>, compareing the cultural differences between the UK and Cyprus(Hofstede insights, 2021).</w:t>
      </w:r>
    </w:p>
    <w:p>
      <w:pPr>
        <w:bidi w:val="0"/>
        <w:rPr>
          <w:rFonts w:hint="default" w:eastAsiaTheme="minorEastAsia"/>
          <w:lang w:val="en-US" w:eastAsia="zh-CN"/>
        </w:rPr>
      </w:pPr>
    </w:p>
    <w:p>
      <w:pPr>
        <w:bidi w:val="0"/>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 xml:space="preserve">By comparing the data in </w:t>
      </w:r>
      <w:r>
        <w:rPr>
          <w:rFonts w:hint="eastAsia" w:ascii="Times New Roman" w:hAnsi="Times New Roman" w:cs="Times New Roman"/>
          <w:sz w:val="24"/>
          <w:szCs w:val="24"/>
          <w:lang w:val="en-US" w:eastAsia="zh-CN"/>
        </w:rPr>
        <w:t>Table</w:t>
      </w:r>
      <w:r>
        <w:rPr>
          <w:rFonts w:hint="default" w:ascii="Times New Roman" w:hAnsi="Times New Roman" w:cs="Times New Roman" w:eastAsiaTheme="minorEastAsia"/>
          <w:sz w:val="24"/>
          <w:szCs w:val="24"/>
          <w:lang w:val="en-US" w:eastAsia="zh-CN"/>
        </w:rPr>
        <w:t xml:space="preserve"> 1, for Hofstede's cultural dimension theory, it can be concluded that the trend of Cyprus and Britain is similar. However, there are obvious differences in two cultural dimensions: </w:t>
      </w:r>
      <w:r>
        <w:rPr>
          <w:rFonts w:hint="eastAsia" w:ascii="Times New Roman" w:hAnsi="Times New Roman" w:cs="Times New Roman"/>
          <w:sz w:val="24"/>
          <w:szCs w:val="24"/>
          <w:lang w:val="en-US" w:eastAsia="zh-CN"/>
        </w:rPr>
        <w:t>I</w:t>
      </w:r>
      <w:r>
        <w:rPr>
          <w:rFonts w:hint="default" w:ascii="Times New Roman" w:hAnsi="Times New Roman" w:cs="Times New Roman" w:eastAsiaTheme="minorEastAsia"/>
          <w:sz w:val="24"/>
          <w:szCs w:val="24"/>
          <w:lang w:val="en-US" w:eastAsia="zh-CN"/>
        </w:rPr>
        <w:t>ndividualism vs. collectivism and uncertainty avoidance. Therefore, the uncertainty of trade between Britain and Cyprus will be deeply explored in view of these two cultural dimensions.</w:t>
      </w:r>
    </w:p>
    <w:p>
      <w:pPr>
        <w:bidi w:val="0"/>
        <w:rPr>
          <w:rFonts w:hint="default" w:ascii="Times New Roman" w:hAnsi="Times New Roman" w:cs="Times New Roman" w:eastAsiaTheme="minorEastAsia"/>
          <w:sz w:val="24"/>
          <w:szCs w:val="24"/>
          <w:lang w:val="en-US" w:eastAsia="zh-CN"/>
        </w:rPr>
      </w:pPr>
    </w:p>
    <w:p>
      <w:pPr>
        <w:pStyle w:val="3"/>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3.2.1 Individualism vs. Collectivism</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92" w:afterAutospacing="0" w:line="14" w:lineRule="atLeast"/>
        <w:ind w:left="0" w:right="0" w:firstLine="0"/>
        <w:jc w:val="both"/>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t>A</w:t>
      </w:r>
      <w:r>
        <w:rPr>
          <w:rFonts w:hint="eastAsia" w:ascii="Times New Roman" w:hAnsi="Times New Roman" w:eastAsia="宋体" w:cs="Times New Roman"/>
          <w:b w:val="0"/>
          <w:bCs w:val="0"/>
          <w:i w:val="0"/>
          <w:iCs w:val="0"/>
          <w:caps w:val="0"/>
          <w:color w:val="373737"/>
          <w:spacing w:val="0"/>
          <w:kern w:val="2"/>
          <w:sz w:val="24"/>
          <w:szCs w:val="24"/>
          <w:shd w:val="clear" w:fill="FFFFFF"/>
          <w:lang w:val="en-US" w:eastAsia="zh-CN" w:bidi="ar-SA"/>
        </w:rPr>
        <w:t xml:space="preserve">bout the </w:t>
      </w:r>
      <w:r>
        <w:rPr>
          <w:rFonts w:hint="default" w:ascii="Times New Roman" w:hAnsi="Times New Roman" w:eastAsia="宋体" w:cs="Times New Roman"/>
          <w:b w:val="0"/>
          <w:bCs w:val="0"/>
          <w:i w:val="0"/>
          <w:iCs w:val="0"/>
          <w:caps w:val="0"/>
          <w:color w:val="373737"/>
          <w:spacing w:val="0"/>
          <w:kern w:val="2"/>
          <w:sz w:val="24"/>
          <w:szCs w:val="24"/>
          <w:shd w:val="clear" w:fill="FFFFFF"/>
          <w:lang w:val="en-US" w:eastAsia="zh-CN" w:bidi="ar-SA"/>
        </w:rPr>
        <w:t>Individualism Versus Collectivism</w:t>
      </w:r>
      <w: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t>. This dimension shows the direct correlation between individual and collective. Individualism emphasizes taking individual as the main body, while collectivism focuses on taking the whole as the center. People must have basic trust in the whole organization(Hofstede, 2009).</w:t>
      </w:r>
    </w:p>
    <w:p>
      <w:pP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dimension reflects the satisfaction of social personnel to the basic needs of life, and people's acceptance of desire. Restraint means strict control of the organization, while indulgence means that people can enjoy life freely（Hofstede, 2010).</w:t>
      </w:r>
      <w:r>
        <w:rPr>
          <w:rFonts w:hint="eastAsia" w:ascii="Times New Roman" w:hAnsi="Times New Roman" w:cs="Times New Roman"/>
          <w:sz w:val="24"/>
          <w:szCs w:val="24"/>
          <w:lang w:val="en-US" w:eastAsia="zh-CN"/>
        </w:rPr>
        <w:t xml:space="preserve"> From table 1, we can see that Britain scored 89, but Cyprus scored only 35 The of Britain is obviously much higher than that of Cyprus, which shows that Cyprus is a collectivist country, and people will regard the organization as the central goal rather than just consider themselves. However, as one of the countries with the highest score of individualism, people pay more attention to their own ideas. For example, from an early age, children are taught to think independently to understand what their unique life goals are and how they make unique contributions to society</w:t>
      </w:r>
      <w:r>
        <w:rPr>
          <w:rFonts w:hint="default" w:ascii="Times New Roman" w:hAnsi="Times New Roman" w:cs="Times New Roman"/>
          <w:sz w:val="24"/>
          <w:szCs w:val="24"/>
          <w:lang w:val="en-US" w:eastAsia="zh-CN"/>
        </w:rPr>
        <w:t>(Hofstede Insights, 2020)</w:t>
      </w:r>
      <w:r>
        <w:rPr>
          <w:rFonts w:hint="eastAsia" w:ascii="Times New Roman" w:hAnsi="Times New Roman" w:cs="Times New Roman"/>
          <w:sz w:val="24"/>
          <w:szCs w:val="24"/>
          <w:lang w:val="en-US" w:eastAsia="zh-CN"/>
        </w:rPr>
        <w:t>. The difference between the cultural dimensions is a potential challenge for cross-cultural business communication.</w:t>
      </w:r>
    </w:p>
    <w:p>
      <w:pPr>
        <w:rPr>
          <w:rFonts w:hint="default" w:ascii="Times New Roman" w:hAnsi="Times New Roman" w:cs="Times New Roman"/>
          <w:sz w:val="24"/>
          <w:szCs w:val="24"/>
          <w:lang w:val="en-US" w:eastAsia="zh-CN"/>
        </w:rPr>
      </w:pPr>
    </w:p>
    <w:p>
      <w:pPr>
        <w:pStyle w:val="3"/>
        <w:bidi w:val="0"/>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sz w:val="24"/>
          <w:szCs w:val="24"/>
          <w:lang w:val="en-US" w:eastAsia="zh-CN"/>
        </w:rPr>
        <w:t xml:space="preserve">3.2.2. </w:t>
      </w:r>
      <w:r>
        <w:rPr>
          <w:rFonts w:hint="eastAsia" w:ascii="Times New Roman" w:hAnsi="Times New Roman" w:cs="Times New Roman"/>
          <w:sz w:val="24"/>
          <w:szCs w:val="24"/>
          <w:lang w:val="en-US" w:eastAsia="zh-CN"/>
        </w:rPr>
        <w:t>U</w:t>
      </w:r>
      <w:r>
        <w:rPr>
          <w:rFonts w:hint="default" w:ascii="Times New Roman" w:hAnsi="Times New Roman" w:cs="Times New Roman"/>
          <w:sz w:val="24"/>
          <w:szCs w:val="24"/>
          <w:lang w:val="en-US" w:eastAsia="zh-CN"/>
        </w:rPr>
        <w:t>ncertainty avoidance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92" w:afterAutospacing="0" w:line="14" w:lineRule="atLeast"/>
        <w:ind w:left="0" w:right="0" w:firstLine="0"/>
        <w:jc w:val="both"/>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About the Uncertainty Avoidance Index. This dimension indicates the degree to which an organization makes decisions to avoid uncertain factors in the face of uncertain events or environments（</w:t>
      </w:r>
      <w:r>
        <w:rPr>
          <w:rFonts w:hint="default" w:ascii="Times New Roman" w:hAnsi="Times New Roman" w:cs="Times New Roman"/>
          <w:b w:val="0"/>
          <w:bCs w:val="0"/>
          <w:sz w:val="24"/>
          <w:szCs w:val="24"/>
          <w:lang w:val="en-US" w:eastAsia="zh-CN"/>
        </w:rPr>
        <w:t>Hofstede, 2009)</w:t>
      </w: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w:t>
      </w:r>
      <w: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t xml:space="preserve"> </w:t>
      </w: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Uncertainty avoidance refers to how to solve the problems caused by society, and points out the tolerance of society to uncertainty. For countries with low tolerance for uncertainty avoidance, people in those countries will strictly abide by laws and regulations, they are used to a predictable lifestyle, and they will make plans accordingly with low tolerance for uncertainty. On the other hand, for countries with high tolerance of uncertainty avoidance, people in that country are more relaxed and optimistic, and they will not be afraid when they encounter uncertainty factors</w:t>
      </w:r>
      <w: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t>（</w:t>
      </w:r>
      <w:r>
        <w:rPr>
          <w:rFonts w:hint="default" w:ascii="Times New Roman" w:hAnsi="Times New Roman" w:cs="Times New Roman"/>
          <w:b w:val="0"/>
          <w:bCs w:val="0"/>
          <w:sz w:val="24"/>
          <w:szCs w:val="24"/>
          <w:highlight w:val="none"/>
          <w:u w:val="none"/>
          <w:lang w:val="en-US" w:eastAsia="zh-CN"/>
        </w:rPr>
        <w:t>Kobiruzzaman, M. M.，2021</w:t>
      </w:r>
      <w:r>
        <w:rPr>
          <w:rFonts w:hint="default" w:ascii="Times New Roman" w:hAnsi="Times New Roman" w:cs="Times New Roman"/>
          <w:b w:val="0"/>
          <w:bCs w:val="0"/>
          <w:sz w:val="24"/>
          <w:szCs w:val="24"/>
          <w:lang w:val="en-US" w:eastAsia="zh-CN"/>
        </w:rPr>
        <w:t>)</w:t>
      </w: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w:t>
      </w:r>
    </w:p>
    <w:p>
      <w:pP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p>
    <w:p>
      <w:pP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Through the data analysis in Table 3, Cyprus scored 100 points in the uncertainty avoidance dimension, which shows that Cyprus has a low tolerance for uncertain factors. On the contrary, Britain scored 35 points in the uncertainty avoidance dimension, which indicates that Britain has a high tolerance for uncertainty.</w:t>
      </w:r>
      <w: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t xml:space="preserve"> Therefore, Cypriots believe in the truth, they will investigate the comprehensive information and status of objectives before making decisions, and do their best to make life predictable. Therefore, Cypriots believe in the truth, they will investigate the comprehensive information and status of objectives before making decisions, and do their best to make life predictable. But for Britain, people are not afraid of uncertainty, they can accept all kinds of ideas, and people are in a relaxed and active atmosphere of life. Therefore, the two countries have great differences in this cultural dimension. Maybe on some formal occasions, the two sides have different attitudes towards the goals set. The British may not be able to adapt to this high uncertainty avoidance dimension index, which is a potential challenge in cross-cultural business exchanges. </w:t>
      </w:r>
    </w:p>
    <w:p>
      <w:pP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pPr>
    </w:p>
    <w:p>
      <w:pPr>
        <w:pStyle w:val="2"/>
        <w:bidi w:val="0"/>
        <w:rPr>
          <w:rFonts w:hint="default" w:ascii="Times New Roman" w:hAnsi="Times New Roman" w:cs="Times New Roman"/>
          <w:sz w:val="30"/>
          <w:szCs w:val="30"/>
          <w:lang w:val="en-US" w:eastAsia="zh-CN"/>
        </w:rPr>
      </w:pPr>
      <w:r>
        <w:rPr>
          <w:rFonts w:hint="default" w:ascii="Times New Roman" w:hAnsi="Times New Roman" w:cs="Times New Roman"/>
          <w:sz w:val="30"/>
          <w:szCs w:val="30"/>
          <w:lang w:val="en-US" w:eastAsia="zh-CN"/>
        </w:rPr>
        <w:t>4.0 Strategy</w:t>
      </w: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Based on the above analysis, there may be some potential challenges in cross-cultural exchanges between Cyprus and the UK. Therefore, this </w:t>
      </w:r>
      <w:r>
        <w:rPr>
          <w:rFonts w:hint="eastAsia" w:ascii="Times New Roman" w:hAnsi="Times New Roman" w:cs="Times New Roman"/>
          <w:sz w:val="24"/>
          <w:szCs w:val="24"/>
          <w:lang w:val="en-US" w:eastAsia="zh-CN"/>
        </w:rPr>
        <w:t>essay</w:t>
      </w:r>
      <w:r>
        <w:rPr>
          <w:rFonts w:hint="default" w:ascii="Times New Roman" w:hAnsi="Times New Roman" w:cs="Times New Roman"/>
          <w:sz w:val="24"/>
          <w:szCs w:val="24"/>
          <w:lang w:val="en-US" w:eastAsia="zh-CN"/>
        </w:rPr>
        <w:t xml:space="preserve"> puts forward some relevant coping strategies through the analysis of high-low context and Hofstede’s Cultural Dimensions Theory.</w:t>
      </w:r>
      <w:r>
        <w:rPr>
          <w:rFonts w:hint="eastAsia" w:ascii="Times New Roman" w:hAnsi="Times New Roman" w:cs="Times New Roman"/>
          <w:sz w:val="24"/>
          <w:szCs w:val="24"/>
          <w:lang w:val="en-US" w:eastAsia="zh-CN"/>
        </w:rPr>
        <w:t xml:space="preserve">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high and low context cultures, Cyprus prefers indirect expression. In order to avoid misunderstanding and conflict, people will convey the central idea with a gentle attitude. On the contrary, Britain prefers direct expression, directly expressing what it thinks. This different way of expression may have some misunderstandings for the British people.</w:t>
      </w:r>
      <w:r>
        <w:rPr>
          <w:rFonts w:hint="eastAsia" w:ascii="Times New Roman" w:hAnsi="Times New Roman" w:cs="Times New Roman"/>
          <w:sz w:val="24"/>
          <w:szCs w:val="24"/>
          <w:lang w:val="en-US" w:eastAsia="zh-CN"/>
        </w:rPr>
        <w:t xml:space="preserve"> For high and low context cultures, Cyprus prefers indirect expression. In order to avoid misunderstanding and conflict, people will convey the central idea with a gentle attitude. On the contrary, Britain prefers direct expression, directly expressing what it thinks. This different way of expression may have some misunderstandings for the British people. In this regard, nonverbal communication is a useful emotional communication strategy（Pressbooks, 2020). For example: body language. Cypriots' body language is often expressive and they are used to enthusiastic expression. Therefore, managers of British enterprises can enhance the fluency of cross-cultural exchanges between the two countries by enriching some body language. In addition, for the </w:t>
      </w:r>
      <w:r>
        <w:rPr>
          <w:rFonts w:hint="default" w:ascii="Times New Roman" w:hAnsi="Times New Roman" w:cs="Times New Roman"/>
          <w:sz w:val="24"/>
          <w:szCs w:val="24"/>
        </w:rPr>
        <w:t>Hofstede's cultural dimension theory</w:t>
      </w:r>
      <w:r>
        <w:rPr>
          <w:rFonts w:hint="eastAsia" w:ascii="Times New Roman" w:hAnsi="Times New Roman" w:cs="Times New Roman"/>
          <w:sz w:val="24"/>
          <w:szCs w:val="24"/>
          <w:lang w:val="en-US" w:eastAsia="zh-CN"/>
        </w:rPr>
        <w:t xml:space="preserve"> and the great differences in individualism and collectivism between the two countries, British enterprises should pay more attention to the collective views of partners rather than individual views when conducting business in Cyprus, which will help British enterprises better develop their relationship with partners and improve their business ability. At the same time, with regard to Cyprus's low tolerance for uncertain factors, British enterprises should respect the working attitude of partners. After clarifying the objectives, managers should prepare sufficient relevant materials and data for partners. This rigorous working attitude can be recognized and trusted by each other and improve the satisfaction of partners, So as to improve the work efficiency of enterprises.</w:t>
      </w:r>
    </w:p>
    <w:p>
      <w:pPr>
        <w:rPr>
          <w:rFonts w:hint="eastAsia" w:ascii="Times New Roman" w:hAnsi="Times New Roman" w:cs="Times New Roman"/>
          <w:sz w:val="24"/>
          <w:szCs w:val="24"/>
          <w:lang w:val="en-US" w:eastAsia="zh-CN"/>
        </w:rPr>
      </w:pPr>
    </w:p>
    <w:p>
      <w:pPr>
        <w:pStyle w:val="2"/>
        <w:bidi w:val="0"/>
        <w:rPr>
          <w:rFonts w:hint="default" w:ascii="Times New Roman" w:hAnsi="Times New Roman" w:cs="Times New Roman"/>
          <w:sz w:val="30"/>
          <w:szCs w:val="30"/>
          <w:lang w:val="en-US" w:eastAsia="zh-CN"/>
        </w:rPr>
      </w:pPr>
      <w:r>
        <w:rPr>
          <w:rFonts w:hint="default" w:ascii="Times New Roman" w:hAnsi="Times New Roman" w:cs="Times New Roman"/>
          <w:sz w:val="30"/>
          <w:szCs w:val="30"/>
          <w:lang w:val="en-US" w:eastAsia="zh-CN"/>
        </w:rPr>
        <w:t>5.0 Conclusion</w:t>
      </w:r>
    </w:p>
    <w:p>
      <w:pPr>
        <w:rPr>
          <w:rFonts w:hint="default" w:ascii="Times New Roman" w:hAnsi="Times New Roman" w:cs="Times New Roman"/>
          <w:sz w:val="30"/>
          <w:szCs w:val="30"/>
          <w:lang w:val="en-US" w:eastAsia="zh-CN"/>
        </w:rPr>
      </w:pPr>
      <w:r>
        <w:rPr>
          <w:rFonts w:hint="default" w:ascii="Times New Roman" w:hAnsi="Times New Roman" w:cs="Times New Roman"/>
          <w:sz w:val="24"/>
          <w:szCs w:val="24"/>
          <w:lang w:val="en-US" w:eastAsia="zh-CN"/>
        </w:rPr>
        <w:t>Nowadays, economic globalization has become the main development trend in the new era, and good cross-cultural business communication has become the basis of bilateral cooperation. Therefore, this article explores under the background of trade cooperation between Britain and Cyprus.</w:t>
      </w:r>
      <w:r>
        <w:rPr>
          <w:rFonts w:hint="eastAsia" w:ascii="Times New Roman" w:hAnsi="Times New Roman" w:cs="Times New Roman"/>
          <w:sz w:val="24"/>
          <w:szCs w:val="24"/>
          <w:lang w:val="en-US" w:eastAsia="zh-CN"/>
        </w:rPr>
        <w:t xml:space="preserve"> Firstly, the essay explains and analyzes international business communication, and then makes an in-depth analysis of the potential challenges between cross-cultural business communication between the two countries through the theory of high context and low context and cultural dimension. Through the analysis of high and low context, it is concluded that Cyprus is a high context and Britain is a low context. Therefore, it is necessary to avoid the differences between the two countries through good business communication. In addition, through the theoretical analysis of cultural dimension, the two countries have different attitudes and ideas in different cultural dimensions. Therefore, the two countries need to communicate more and help the two sides form a good trade relationship through some communication strategies. Finally, it summarizes the full essay, and puts forward some relevant suggestions for the cultural differences between Britain and Cyprus.</w:t>
      </w:r>
    </w:p>
    <w:p>
      <w:pPr>
        <w:pStyle w:val="2"/>
        <w:bidi w:val="0"/>
        <w:rPr>
          <w:rFonts w:hint="default" w:ascii="Times New Roman" w:hAnsi="Times New Roman" w:cs="Times New Roman"/>
          <w:sz w:val="30"/>
          <w:szCs w:val="30"/>
          <w:lang w:val="en-US" w:eastAsia="zh-CN"/>
        </w:rPr>
      </w:pPr>
      <w:r>
        <w:rPr>
          <w:rFonts w:hint="default" w:ascii="Times New Roman" w:hAnsi="Times New Roman" w:cs="Times New Roman"/>
          <w:sz w:val="30"/>
          <w:szCs w:val="30"/>
          <w:lang w:val="en-US" w:eastAsia="zh-CN"/>
        </w:rPr>
        <w:t>6.0 R</w:t>
      </w:r>
      <w:r>
        <w:rPr>
          <w:rFonts w:hint="default" w:ascii="Times New Roman" w:hAnsi="Times New Roman" w:cs="Times New Roman"/>
          <w:sz w:val="30"/>
          <w:szCs w:val="30"/>
          <w:lang w:val="en-US"/>
        </w:rPr>
        <w:t>ecommendation</w:t>
      </w: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When the enterprises of Britain and Cyprus reach a cooperative relationship, there are bound to be some potential challenges in this cross-cultural business </w:t>
      </w:r>
      <w:r>
        <w:rPr>
          <w:rFonts w:hint="eastAsia" w:ascii="Times New Roman" w:hAnsi="Times New Roman" w:cs="Times New Roman"/>
          <w:sz w:val="24"/>
          <w:szCs w:val="24"/>
          <w:lang w:val="en-US" w:eastAsia="zh-CN"/>
        </w:rPr>
        <w:t>communication</w:t>
      </w:r>
      <w:r>
        <w:rPr>
          <w:rFonts w:hint="default" w:ascii="Times New Roman" w:hAnsi="Times New Roman" w:cs="Times New Roman"/>
          <w:sz w:val="24"/>
          <w:szCs w:val="24"/>
          <w:lang w:val="en-US" w:eastAsia="zh-CN"/>
        </w:rPr>
        <w:t>. The following will put forward some suggestions on possible communication barriers between enterprises of the two countries. Firstly, due to the different contexts of the two countries, there are some cultural and linguistic differences. Therefore, provide training on cultural perception and sensitivity for team members and avoid using culture specific terms in team communication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which can avoid unnecessary misunderstandings on the cultural gap between the two sides. In addition, according to the different contexts of the two countries, enterprises can hire translators who are familiar with each other's language and culture, which can well improve the communication efficiency of both sides and reduce communication barriers. In addition, listening can ensure that the team improves communication efficiency. And the best way of feedback is through writing, which can largely avoid the error caused by information recording.</w:t>
      </w:r>
      <w:r>
        <w:rPr>
          <w:rFonts w:hint="eastAsia" w:ascii="Times New Roman" w:hAnsi="Times New Roman" w:cs="Times New Roman"/>
          <w:sz w:val="24"/>
          <w:szCs w:val="24"/>
          <w:lang w:val="en-US" w:eastAsia="zh-CN"/>
        </w:rPr>
        <w:t xml:space="preserve"> Finally, due to the low tolerance of Cypriots for inevitability, it is better to have detailed and objective data when giving feedback, and it's best to prepare a backup plan, which can improve the satisfaction of each other's enterprises and the work efficiency of both sides.</w:t>
      </w: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Word count:2457</w:t>
      </w:r>
    </w:p>
    <w:p>
      <w:pP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p>
    <w:p>
      <w:pP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p>
    <w:p>
      <w:pP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p>
    <w:p>
      <w:pPr>
        <w:rPr>
          <w:rFonts w:hint="eastAsia"/>
          <w:lang w:val="en-US" w:eastAsia="zh-CN"/>
        </w:rPr>
      </w:pPr>
    </w:p>
    <w:p>
      <w:pPr>
        <w:rPr>
          <w:rFonts w:hint="eastAsia"/>
          <w:lang w:val="en-US" w:eastAsia="zh-CN"/>
        </w:rPr>
      </w:pPr>
    </w:p>
    <w:p>
      <w:pPr>
        <w:rPr>
          <w:rFonts w:hint="eastAsia"/>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2"/>
        <w:bidi w:val="0"/>
        <w:rPr>
          <w:rFonts w:hint="default" w:ascii="Times New Roman" w:hAnsi="Times New Roman" w:cs="Times New Roman"/>
          <w:sz w:val="30"/>
          <w:szCs w:val="30"/>
          <w:lang w:val="en-US" w:eastAsia="zh-CN"/>
        </w:rPr>
      </w:pPr>
      <w:r>
        <w:rPr>
          <w:rFonts w:hint="default" w:ascii="Times New Roman" w:hAnsi="Times New Roman" w:cs="Times New Roman"/>
          <w:sz w:val="30"/>
          <w:szCs w:val="30"/>
          <w:lang w:val="en-US" w:eastAsia="zh-CN"/>
        </w:rPr>
        <w:t>Reference</w:t>
      </w:r>
    </w:p>
    <w:p>
      <w:pPr>
        <w:numPr>
          <w:ilvl w:val="0"/>
          <w:numId w:val="1"/>
        </w:numPr>
        <w:spacing w:line="240" w:lineRule="auto"/>
        <w:ind w:left="0" w:leftChars="0" w:firstLine="0" w:firstLineChars="0"/>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Carté, P. and Fox, C. (2008) Bridging the culture gap a practical guide to international business communication. 2nd ed. London ;: Kogan Page.</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b w:val="0"/>
          <w:bCs w:val="0"/>
          <w:sz w:val="24"/>
          <w:szCs w:val="24"/>
          <w:highlight w:val="none"/>
          <w:u w:val="none"/>
          <w:lang w:val="en-US" w:eastAsia="zh-CN"/>
        </w:rPr>
        <w:t xml:space="preserve">Communication skills, (2021), </w:t>
      </w:r>
      <w:r>
        <w:rPr>
          <w:rFonts w:hint="default" w:ascii="Times New Roman" w:hAnsi="Times New Roman" w:cs="Times New Roman"/>
          <w:b w:val="0"/>
          <w:bCs w:val="0"/>
          <w:i/>
          <w:iCs/>
          <w:sz w:val="24"/>
          <w:szCs w:val="24"/>
          <w:highlight w:val="none"/>
          <w:u w:val="none"/>
          <w:lang w:val="en-US" w:eastAsia="zh-CN"/>
        </w:rPr>
        <w:t xml:space="preserve">Zhihu, </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"https://zhuanlan.zhihu.com/p/399120182"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https://zhuanlan.zhihu.com/p/399120182</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spacing w:line="240" w:lineRule="auto"/>
        <w:ind w:left="0" w:leftChars="0" w:firstLine="0" w:firstLineChars="0"/>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Dignen, B. and McMaster, I. (2013) Effective international business communication. 1st ed. London: Collins.</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spacing w:line="240" w:lineRule="auto"/>
        <w:ind w:left="0" w:leftChars="0" w:firstLine="0" w:firstLineChars="0"/>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 xml:space="preserve">Docin, 2020, </w:t>
      </w:r>
      <w:r>
        <w:rPr>
          <w:rFonts w:hint="default" w:ascii="Times New Roman" w:hAnsi="Times New Roman" w:eastAsia="sans-serif" w:cs="Times New Roman"/>
          <w:b w:val="0"/>
          <w:bCs w:val="0"/>
          <w:i/>
          <w:iCs/>
          <w:caps w:val="0"/>
          <w:color w:val="000000"/>
          <w:spacing w:val="-1"/>
          <w:kern w:val="44"/>
          <w:sz w:val="24"/>
          <w:szCs w:val="24"/>
          <w:shd w:val="clear" w:fill="FCFCFC"/>
          <w:lang w:val="en-US" w:eastAsia="zh-CN" w:bidi="ar"/>
        </w:rPr>
        <w:t>British foreign trade</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[online], available from: https://www.docin.com/p-2443597924.html (Accessed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spacing w:line="240" w:lineRule="auto"/>
        <w:ind w:left="0" w:leftChars="0" w:firstLine="0" w:firstLineChars="0"/>
        <w:rPr>
          <w:rFonts w:hint="default" w:ascii="Times New Roman" w:hAnsi="Times New Roman" w:eastAsia="Helvetica" w:cs="Times New Roman"/>
          <w:i w:val="0"/>
          <w:iCs w:val="0"/>
          <w:caps w:val="0"/>
          <w:color w:val="373737"/>
          <w:spacing w:val="0"/>
          <w:sz w:val="24"/>
          <w:szCs w:val="24"/>
          <w:shd w:val="clear" w:fill="FFFFFF"/>
        </w:rPr>
      </w:pPr>
      <w:r>
        <w:rPr>
          <w:rFonts w:hint="default" w:ascii="Times New Roman" w:hAnsi="Times New Roman" w:eastAsia="Helvetica" w:cs="Times New Roman"/>
          <w:i w:val="0"/>
          <w:iCs w:val="0"/>
          <w:caps w:val="0"/>
          <w:color w:val="373737"/>
          <w:spacing w:val="0"/>
          <w:sz w:val="24"/>
          <w:szCs w:val="24"/>
          <w:shd w:val="clear" w:fill="FFFFFF"/>
        </w:rPr>
        <w:t>Edward T. Hall, </w:t>
      </w:r>
      <w:r>
        <w:rPr>
          <w:rFonts w:hint="default" w:ascii="Times New Roman" w:hAnsi="Times New Roman" w:eastAsia="宋体" w:cs="Times New Roman"/>
          <w:i/>
          <w:iCs/>
          <w:caps w:val="0"/>
          <w:color w:val="373737"/>
          <w:spacing w:val="0"/>
          <w:sz w:val="24"/>
          <w:szCs w:val="24"/>
          <w:shd w:val="clear" w:fill="FFFFFF"/>
          <w:lang w:val="en-US" w:eastAsia="zh-CN"/>
        </w:rPr>
        <w:t>Beyond</w:t>
      </w:r>
      <w:r>
        <w:rPr>
          <w:rFonts w:hint="default" w:ascii="Times New Roman" w:hAnsi="Times New Roman" w:eastAsia="Helvetica" w:cs="Times New Roman"/>
          <w:i w:val="0"/>
          <w:iCs w:val="0"/>
          <w:caps w:val="0"/>
          <w:color w:val="373737"/>
          <w:spacing w:val="0"/>
          <w:sz w:val="24"/>
          <w:szCs w:val="24"/>
          <w:shd w:val="clear" w:fill="FFFFFF"/>
        </w:rPr>
        <w:t>, Anchor Books, 1977, p. 91-131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both"/>
        <w:rPr>
          <w:rFonts w:hint="default" w:ascii="Times New Roman" w:hAnsi="Times New Roman" w:eastAsia="Helvetica" w:cs="Times New Roman"/>
          <w:i w:val="0"/>
          <w:iCs w:val="0"/>
          <w:caps w:val="0"/>
          <w:color w:val="373737"/>
          <w:spacing w:val="0"/>
          <w:sz w:val="24"/>
          <w:szCs w:val="24"/>
          <w:shd w:val="clear" w:fill="FFFFFF"/>
          <w:lang w:val="en-US" w:eastAsia="zh-CN"/>
        </w:rPr>
      </w:pPr>
      <w:r>
        <w:rPr>
          <w:rFonts w:hint="default" w:ascii="Times New Roman" w:hAnsi="Times New Roman" w:eastAsia="Helvetica" w:cs="Times New Roman"/>
          <w:i w:val="0"/>
          <w:iCs w:val="0"/>
          <w:caps w:val="0"/>
          <w:color w:val="373737"/>
          <w:spacing w:val="0"/>
          <w:sz w:val="24"/>
          <w:szCs w:val="24"/>
          <w:shd w:val="clear" w:fill="FFFFFF"/>
        </w:rPr>
        <w:t>Edward, T. H. (1990). Understanding Cultural Differences. Boston : Intercultural Press</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both"/>
        <w:rPr>
          <w:rFonts w:hint="default" w:ascii="Times New Roman" w:hAnsi="Times New Roman" w:eastAsia="Helvetica" w:cs="Times New Roman"/>
          <w:i w:val="0"/>
          <w:iCs w:val="0"/>
          <w:caps w:val="0"/>
          <w:color w:val="373737"/>
          <w:spacing w:val="0"/>
          <w:sz w:val="24"/>
          <w:szCs w:val="24"/>
          <w:shd w:val="clear" w:fill="FFFFFF"/>
          <w:lang w:val="en-US" w:eastAsia="zh-CN"/>
        </w:rPr>
      </w:pPr>
      <w:r>
        <w:rPr>
          <w:rFonts w:hint="default" w:ascii="Times New Roman" w:hAnsi="Times New Roman" w:eastAsia="Helvetica" w:cs="Times New Roman"/>
          <w:i w:val="0"/>
          <w:iCs w:val="0"/>
          <w:caps w:val="0"/>
          <w:color w:val="373737"/>
          <w:spacing w:val="0"/>
          <w:sz w:val="24"/>
          <w:szCs w:val="24"/>
          <w:shd w:val="clear" w:fill="FFFFFF"/>
        </w:rPr>
        <w:t xml:space="preserve">Edward, T. H. </w:t>
      </w:r>
      <w:r>
        <w:rPr>
          <w:rFonts w:hint="default" w:ascii="Times New Roman" w:hAnsi="Times New Roman" w:eastAsia="宋体" w:cs="Times New Roman"/>
          <w:i w:val="0"/>
          <w:iCs w:val="0"/>
          <w:caps w:val="0"/>
          <w:color w:val="373737"/>
          <w:spacing w:val="0"/>
          <w:sz w:val="24"/>
          <w:szCs w:val="24"/>
          <w:shd w:val="clear" w:fill="FFFFFF"/>
          <w:lang w:val="en-US" w:eastAsia="zh-CN"/>
        </w:rPr>
        <w:t>(</w:t>
      </w:r>
      <w:r>
        <w:rPr>
          <w:rFonts w:hint="default" w:ascii="Times New Roman" w:hAnsi="Times New Roman" w:eastAsia="Helvetica" w:cs="Times New Roman"/>
          <w:i w:val="0"/>
          <w:iCs w:val="0"/>
          <w:caps w:val="0"/>
          <w:color w:val="373737"/>
          <w:spacing w:val="0"/>
          <w:sz w:val="24"/>
          <w:szCs w:val="24"/>
          <w:shd w:val="clear" w:fill="FFFFFF"/>
        </w:rPr>
        <w:t>1959</w:t>
      </w:r>
      <w:r>
        <w:rPr>
          <w:rFonts w:hint="default" w:ascii="Times New Roman" w:hAnsi="Times New Roman" w:eastAsia="宋体" w:cs="Times New Roman"/>
          <w:i w:val="0"/>
          <w:iCs w:val="0"/>
          <w:caps w:val="0"/>
          <w:color w:val="373737"/>
          <w:spacing w:val="0"/>
          <w:sz w:val="24"/>
          <w:szCs w:val="24"/>
          <w:shd w:val="clear" w:fill="FFFFFF"/>
          <w:lang w:val="en-US" w:eastAsia="zh-CN"/>
        </w:rPr>
        <w:t>)</w:t>
      </w:r>
      <w:r>
        <w:rPr>
          <w:rFonts w:hint="default" w:ascii="Times New Roman" w:hAnsi="Times New Roman" w:eastAsia="Helvetica" w:cs="Times New Roman"/>
          <w:i w:val="0"/>
          <w:iCs w:val="0"/>
          <w:caps w:val="0"/>
          <w:color w:val="373737"/>
          <w:spacing w:val="0"/>
          <w:sz w:val="24"/>
          <w:szCs w:val="24"/>
          <w:shd w:val="clear" w:fill="FFFFFF"/>
        </w:rPr>
        <w:t>. The Silent Language. New York: Doubleday/Anchor.</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spacing w:line="240" w:lineRule="auto"/>
        <w:ind w:left="0" w:leftChars="0" w:firstLine="0" w:firstLineChars="0"/>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G. Hofstede, G.J. Hofstede, M. Minkov Cultures and Organizations: Software of the Mind. Revised and Expanded McGraw-Hill, New York (2010)</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spacing w:line="240" w:lineRule="auto"/>
        <w:ind w:left="0" w:leftChars="0" w:firstLine="0" w:firstLineChars="0"/>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Groysberg, B. and Slind, M., 2012, The Silent Killer of Big Companies, Harvard Business Review. [Online]. Available from: https://hbr.org/2012/10/the-silent-killer-of-big-companies/</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spacing w:line="240" w:lineRule="auto"/>
        <w:ind w:left="0" w:leftChars="0" w:firstLine="0" w:firstLineChars="0"/>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High and Low Context Cultures, (2020), </w:t>
      </w:r>
      <w:r>
        <w:rPr>
          <w:rFonts w:hint="default" w:ascii="Times New Roman" w:hAnsi="Times New Roman" w:eastAsia="宋体" w:cs="Times New Roman"/>
          <w:i/>
          <w:iCs/>
          <w:caps w:val="0"/>
          <w:color w:val="373737"/>
          <w:spacing w:val="0"/>
          <w:sz w:val="24"/>
          <w:szCs w:val="24"/>
          <w:shd w:val="clear" w:fill="FFFFFF"/>
          <w:lang w:val="en-US" w:eastAsia="zh-CN"/>
        </w:rPr>
        <w:t>United Language Group</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"https://www.unitedlanguagegroup.com/blog/communicating-high-context-vs-low-context-cultures"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https://www.unitedlanguagegroup.com/blog/communicating-high-context-vs-low-context-cultures</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Helvetica" w:cs="Times New Roman"/>
          <w:i w:val="0"/>
          <w:iCs w:val="0"/>
          <w:caps w:val="0"/>
          <w:color w:val="373737"/>
          <w:spacing w:val="0"/>
          <w:sz w:val="24"/>
          <w:szCs w:val="24"/>
          <w:shd w:val="clear" w:fill="FFFFFF"/>
        </w:rPr>
        <w:t>High and Low Context</w:t>
      </w:r>
      <w:r>
        <w:rPr>
          <w:rFonts w:hint="default" w:ascii="Times New Roman" w:hAnsi="Times New Roman" w:eastAsia="Helvetica" w:cs="Times New Roman"/>
          <w:i w:val="0"/>
          <w:iCs w:val="0"/>
          <w:caps w:val="0"/>
          <w:color w:val="373737"/>
          <w:spacing w:val="0"/>
          <w:sz w:val="24"/>
          <w:szCs w:val="24"/>
          <w:shd w:val="clear" w:fill="FFFFFF"/>
          <w:lang w:val="en-US" w:eastAsia="zh-CN"/>
        </w:rPr>
        <w:t>, (20</w:t>
      </w:r>
      <w:r>
        <w:rPr>
          <w:rFonts w:hint="default" w:ascii="Times New Roman" w:hAnsi="Times New Roman" w:eastAsia="宋体" w:cs="Times New Roman"/>
          <w:sz w:val="24"/>
          <w:szCs w:val="24"/>
          <w:lang w:val="en-US" w:eastAsia="zh-CN"/>
        </w:rPr>
        <w:t xml:space="preserve">20), </w:t>
      </w:r>
      <w:r>
        <w:rPr>
          <w:rFonts w:hint="default" w:ascii="Times New Roman" w:hAnsi="Times New Roman" w:eastAsia="宋体" w:cs="Times New Roman"/>
          <w:i/>
          <w:iCs/>
          <w:sz w:val="24"/>
          <w:szCs w:val="24"/>
          <w:lang w:val="en-US" w:eastAsia="zh-CN"/>
        </w:rPr>
        <w:t>MBA</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"https://wiki.mbalib.com/wiki/"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https://wiki.mbalib.com/wiki/</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left"/>
        <w:rPr>
          <w:rFonts w:hint="default" w:ascii="Times New Roman" w:hAnsi="Times New Roman" w:cs="Times New Roman"/>
          <w:b w:val="0"/>
          <w:bCs w:val="0"/>
          <w:sz w:val="24"/>
          <w:szCs w:val="24"/>
          <w:highlight w:val="none"/>
          <w:u w:val="none"/>
          <w:lang w:val="en-US" w:eastAsia="zh-CN"/>
        </w:rPr>
      </w:pPr>
      <w:r>
        <w:rPr>
          <w:rFonts w:hint="default" w:ascii="Times New Roman" w:hAnsi="Times New Roman" w:cs="Times New Roman"/>
          <w:b w:val="0"/>
          <w:bCs w:val="0"/>
          <w:sz w:val="24"/>
          <w:szCs w:val="24"/>
          <w:highlight w:val="none"/>
          <w:u w:val="none"/>
          <w:lang w:val="en-US" w:eastAsia="zh-CN"/>
        </w:rPr>
        <w:t>Hofstede, G. (2009). Geert Hofstede cultural dimensions.</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1"/>
        </w:numPr>
        <w:spacing w:line="240" w:lineRule="auto"/>
        <w:ind w:left="0" w:leftChars="0" w:firstLine="0" w:firstLineChars="0"/>
        <w:jc w:val="both"/>
        <w:rPr>
          <w:rFonts w:hint="default" w:ascii="Times New Roman" w:hAnsi="Times New Roman" w:cs="Times New Roman"/>
          <w:i w:val="0"/>
          <w:iCs w:val="0"/>
          <w:sz w:val="24"/>
          <w:szCs w:val="24"/>
          <w:lang w:val="en-US" w:eastAsia="zh-CN"/>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Hofstede’s Cultural Dimensions Theory, (2020), </w:t>
      </w:r>
      <w:r>
        <w:rPr>
          <w:rFonts w:hint="default" w:ascii="Times New Roman" w:hAnsi="Times New Roman" w:cs="Times New Roman"/>
          <w:b w:val="0"/>
          <w:bCs w:val="0"/>
          <w:i/>
          <w:iCs/>
          <w:caps w:val="0"/>
          <w:color w:val="373737"/>
          <w:spacing w:val="0"/>
          <w:kern w:val="2"/>
          <w:sz w:val="24"/>
          <w:szCs w:val="24"/>
          <w:shd w:val="clear" w:fill="FFFFFF"/>
          <w:lang w:val="en-US" w:eastAsia="zh-CN" w:bidi="ar-SA"/>
        </w:rPr>
        <w:t>Hofstede Insights</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available from:</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"https://www.hofstede-insights.com/country-comparison/china,the-uk/"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https://www.hofstede-insights.com/country-comparison/china,the-uk/</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1"/>
        </w:numPr>
        <w:ind w:left="0" w:leftChars="0" w:firstLine="0" w:firstLine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Hofstede’s Cultural Dimensions Theory, (2019), </w:t>
      </w:r>
      <w:r>
        <w:rPr>
          <w:rFonts w:hint="default" w:ascii="Times New Roman" w:hAnsi="Times New Roman" w:eastAsia="宋体" w:cs="Times New Roman"/>
          <w:i/>
          <w:iCs/>
          <w:caps w:val="0"/>
          <w:color w:val="373737"/>
          <w:spacing w:val="0"/>
          <w:sz w:val="24"/>
          <w:szCs w:val="24"/>
          <w:shd w:val="clear" w:fill="FFFFFF"/>
          <w:lang w:val="en-US" w:eastAsia="zh-CN"/>
        </w:rPr>
        <w:t>CFI</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"https://corporatefinanceinstitute.com/resources/knowledge/other/hofstedes-cultural-dimensions-theory/"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https://corporatefinanceinstitute.com/resources/knowledge/other/hofstedes-cultural-dimensions-theory/</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1"/>
        </w:numPr>
        <w:ind w:left="0" w:leftChars="0" w:firstLine="0" w:firstLine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Hofstede’s Cultural Dimensions Theory, (2020), </w:t>
      </w:r>
      <w:r>
        <w:rPr>
          <w:rFonts w:hint="default" w:ascii="Times New Roman" w:hAnsi="Times New Roman" w:eastAsia="宋体" w:cs="Times New Roman"/>
          <w:i/>
          <w:iCs/>
          <w:caps w:val="0"/>
          <w:color w:val="373737"/>
          <w:spacing w:val="0"/>
          <w:sz w:val="24"/>
          <w:szCs w:val="24"/>
          <w:shd w:val="clear" w:fill="FFFFFF"/>
          <w:lang w:val="en-US" w:eastAsia="zh-CN"/>
        </w:rPr>
        <w:t>MindTools</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"https://www.mindtools.com/pages/article/newLDR_66.htm"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https://www.mindtools.com/pages/article/newLDR_66.htm</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宋体" w:cs="Times New Roman"/>
          <w:i w:val="0"/>
          <w:iCs w:val="0"/>
          <w:caps w:val="0"/>
          <w:color w:val="373737"/>
          <w:spacing w:val="0"/>
          <w:sz w:val="24"/>
          <w:szCs w:val="24"/>
          <w:shd w:val="clear" w:fill="FFFFFF"/>
          <w:lang w:val="en-US" w:eastAsia="zh-CN"/>
        </w:rPr>
        <w:t>Hall,E. T, 1976. Beyond Culture. Garden City, NY: Anchor Press/Doubleday.</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both"/>
        <w:rPr>
          <w:rFonts w:hint="default" w:ascii="Times New Roman" w:hAnsi="Times New Roman" w:eastAsia="宋体" w:cs="Times New Roman"/>
          <w:i w:val="0"/>
          <w:iCs w:val="0"/>
          <w:caps w:val="0"/>
          <w:color w:val="373737"/>
          <w:spacing w:val="0"/>
          <w:sz w:val="24"/>
          <w:szCs w:val="24"/>
          <w:shd w:val="clear" w:fill="FFFFFF"/>
          <w:lang w:val="en-US" w:eastAsia="zh-CN"/>
        </w:rPr>
      </w:pPr>
      <w:r>
        <w:rPr>
          <w:rFonts w:hint="default" w:ascii="Times New Roman" w:hAnsi="Times New Roman" w:eastAsia="Georgia" w:cs="Times New Roman"/>
          <w:i w:val="0"/>
          <w:iCs w:val="0"/>
          <w:caps w:val="0"/>
          <w:color w:val="333333"/>
          <w:spacing w:val="1"/>
          <w:sz w:val="24"/>
          <w:szCs w:val="24"/>
          <w:shd w:val="clear" w:fill="FCFCFC"/>
        </w:rPr>
        <w:t>Hofstede, G.: The business of international business is culture. Int. Bus. Rev. </w:t>
      </w:r>
      <w:r>
        <w:rPr>
          <w:rStyle w:val="7"/>
          <w:rFonts w:hint="default" w:ascii="Times New Roman" w:hAnsi="Times New Roman" w:eastAsia="Georgia" w:cs="Times New Roman"/>
          <w:b/>
          <w:bCs/>
          <w:i w:val="0"/>
          <w:iCs w:val="0"/>
          <w:caps w:val="0"/>
          <w:color w:val="333333"/>
          <w:spacing w:val="1"/>
          <w:sz w:val="24"/>
          <w:szCs w:val="24"/>
          <w:shd w:val="clear" w:fill="FCFCFC"/>
        </w:rPr>
        <w:t>3</w:t>
      </w:r>
      <w:r>
        <w:rPr>
          <w:rFonts w:hint="default" w:ascii="Times New Roman" w:hAnsi="Times New Roman" w:eastAsia="Georgia" w:cs="Times New Roman"/>
          <w:i w:val="0"/>
          <w:iCs w:val="0"/>
          <w:caps w:val="0"/>
          <w:color w:val="333333"/>
          <w:spacing w:val="1"/>
          <w:sz w:val="24"/>
          <w:szCs w:val="24"/>
          <w:shd w:val="clear" w:fill="FCFCFC"/>
        </w:rPr>
        <w:t>(1), 1–14 (1994)</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both"/>
        <w:rPr>
          <w:rFonts w:hint="default" w:ascii="Times New Roman" w:hAnsi="Times New Roman" w:eastAsia="宋体" w:cs="Times New Roman"/>
          <w:i w:val="0"/>
          <w:iCs w:val="0"/>
          <w:caps w:val="0"/>
          <w:color w:val="373737"/>
          <w:spacing w:val="0"/>
          <w:sz w:val="24"/>
          <w:szCs w:val="24"/>
          <w:shd w:val="clear" w:fill="FFFFFF"/>
          <w:lang w:val="en-US" w:eastAsia="zh-CN"/>
        </w:rPr>
      </w:pPr>
      <w:r>
        <w:rPr>
          <w:rFonts w:hint="default" w:ascii="Times New Roman" w:hAnsi="Times New Roman" w:eastAsia="Helvetica" w:cs="Times New Roman"/>
          <w:i w:val="0"/>
          <w:iCs w:val="0"/>
          <w:caps w:val="0"/>
          <w:color w:val="373737"/>
          <w:spacing w:val="0"/>
          <w:sz w:val="24"/>
          <w:szCs w:val="24"/>
          <w:shd w:val="clear" w:fill="FFFFFF"/>
        </w:rPr>
        <w:t>High and Low Context</w:t>
      </w:r>
      <w:r>
        <w:rPr>
          <w:rFonts w:hint="default" w:ascii="Times New Roman" w:hAnsi="Times New Roman" w:eastAsia="宋体" w:cs="Times New Roman"/>
          <w:i w:val="0"/>
          <w:iCs w:val="0"/>
          <w:caps w:val="0"/>
          <w:color w:val="373737"/>
          <w:spacing w:val="0"/>
          <w:sz w:val="24"/>
          <w:szCs w:val="24"/>
          <w:shd w:val="clear" w:fill="FFFFFF"/>
          <w:lang w:eastAsia="zh-CN"/>
        </w:rPr>
        <w:t>，（</w:t>
      </w:r>
      <w:r>
        <w:rPr>
          <w:rFonts w:hint="default" w:ascii="Times New Roman" w:hAnsi="Times New Roman" w:eastAsia="宋体" w:cs="Times New Roman"/>
          <w:i w:val="0"/>
          <w:iCs w:val="0"/>
          <w:caps w:val="0"/>
          <w:color w:val="373737"/>
          <w:spacing w:val="0"/>
          <w:sz w:val="24"/>
          <w:szCs w:val="24"/>
          <w:shd w:val="clear" w:fill="FFFFFF"/>
          <w:lang w:val="en-US" w:eastAsia="zh-CN"/>
        </w:rPr>
        <w:t>2019），</w:t>
      </w:r>
      <w:r>
        <w:rPr>
          <w:rFonts w:hint="default" w:ascii="Times New Roman" w:hAnsi="Times New Roman" w:eastAsia="宋体" w:cs="Times New Roman"/>
          <w:i/>
          <w:iCs/>
          <w:caps w:val="0"/>
          <w:color w:val="373737"/>
          <w:spacing w:val="0"/>
          <w:sz w:val="24"/>
          <w:szCs w:val="24"/>
          <w:shd w:val="clear" w:fill="FFFFFF"/>
          <w:lang w:val="en-US" w:eastAsia="zh-CN"/>
        </w:rPr>
        <w:t>Kyoto</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"https://restaurantkyoto.dk/blog/en/high-context-and-low-context-cultures/"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https://restaurantkyoto.dk/blog/en/high-context-and-low-context-cultures/</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1"/>
        </w:numPr>
        <w:ind w:left="0" w:leftChars="0" w:firstLine="0" w:firstLine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International Communication, (2019), </w:t>
      </w:r>
      <w:r>
        <w:rPr>
          <w:rFonts w:hint="default" w:ascii="Times New Roman" w:hAnsi="Times New Roman" w:eastAsia="宋体" w:cs="Times New Roman"/>
          <w:i/>
          <w:iCs/>
          <w:caps w:val="0"/>
          <w:color w:val="373737"/>
          <w:spacing w:val="0"/>
          <w:sz w:val="24"/>
          <w:szCs w:val="24"/>
          <w:shd w:val="clear" w:fill="FFFFFF"/>
          <w:lang w:val="en-US" w:eastAsia="zh-CN"/>
        </w:rPr>
        <w:t>Bizfluent</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"https://bizfluent.com/info-7761139-importance-communication-international-business.html"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https://bizfluent.com/info-7761139-importance-communication-international-business.html</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1"/>
        </w:numPr>
        <w:ind w:left="0" w:leftChars="0" w:firstLine="0" w:firstLine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cs="Times New Roman"/>
          <w:b w:val="0"/>
          <w:bCs w:val="0"/>
          <w:sz w:val="24"/>
          <w:szCs w:val="24"/>
          <w:highlight w:val="none"/>
          <w:u w:val="none"/>
          <w:lang w:val="en-US" w:eastAsia="zh-CN"/>
        </w:rPr>
        <w:t>Kobiruzzaman, M. M. (2021). </w:t>
      </w:r>
      <w:r>
        <w:rPr>
          <w:rFonts w:hint="default" w:ascii="Times New Roman" w:hAnsi="Times New Roman" w:cs="Times New Roman"/>
          <w:b w:val="0"/>
          <w:bCs w:val="0"/>
          <w:i/>
          <w:iCs/>
          <w:sz w:val="24"/>
          <w:szCs w:val="24"/>
          <w:highlight w:val="none"/>
          <w:u w:val="none"/>
          <w:lang w:val="en-US" w:eastAsia="zh-CN"/>
        </w:rPr>
        <w:t>Hofstede’s Cultural Dimensions- Hofstede’s 6 Cultural Dimensions Examples.</w:t>
      </w:r>
      <w:r>
        <w:rPr>
          <w:rFonts w:hint="default" w:ascii="Times New Roman" w:hAnsi="Times New Roman" w:cs="Times New Roman"/>
          <w:b w:val="0"/>
          <w:bCs w:val="0"/>
          <w:sz w:val="24"/>
          <w:szCs w:val="24"/>
          <w:highlight w:val="none"/>
          <w:u w:val="none"/>
          <w:lang w:val="en-US" w:eastAsia="zh-CN"/>
        </w:rPr>
        <w:t xml:space="preserve"> </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b w:val="0"/>
          <w:bCs w:val="0"/>
          <w:sz w:val="24"/>
          <w:szCs w:val="24"/>
          <w:highlight w:val="none"/>
          <w:u w:val="none"/>
          <w:lang w:val="en-US" w:eastAsia="zh-CN"/>
        </w:rPr>
        <w:fldChar w:fldCharType="begin"/>
      </w:r>
      <w:r>
        <w:rPr>
          <w:rFonts w:hint="default" w:ascii="Times New Roman" w:hAnsi="Times New Roman" w:cs="Times New Roman"/>
          <w:b w:val="0"/>
          <w:bCs w:val="0"/>
          <w:sz w:val="24"/>
          <w:szCs w:val="24"/>
          <w:highlight w:val="none"/>
          <w:u w:val="none"/>
          <w:lang w:val="en-US" w:eastAsia="zh-CN"/>
        </w:rPr>
        <w:instrText xml:space="preserve"> HYPERLINK "https://newsmoor.com/cultural-dimensions-hofstedes-cultural-dimensions-theory-with-six-dimension/" </w:instrText>
      </w:r>
      <w:r>
        <w:rPr>
          <w:rFonts w:hint="default" w:ascii="Times New Roman" w:hAnsi="Times New Roman" w:cs="Times New Roman"/>
          <w:b w:val="0"/>
          <w:bCs w:val="0"/>
          <w:sz w:val="24"/>
          <w:szCs w:val="24"/>
          <w:highlight w:val="none"/>
          <w:u w:val="none"/>
          <w:lang w:val="en-US" w:eastAsia="zh-CN"/>
        </w:rPr>
        <w:fldChar w:fldCharType="separate"/>
      </w:r>
      <w:r>
        <w:rPr>
          <w:rStyle w:val="8"/>
          <w:rFonts w:hint="default" w:ascii="Times New Roman" w:hAnsi="Times New Roman" w:cs="Times New Roman"/>
          <w:b w:val="0"/>
          <w:bCs w:val="0"/>
          <w:sz w:val="24"/>
          <w:szCs w:val="24"/>
          <w:highlight w:val="none"/>
          <w:lang w:val="en-US" w:eastAsia="zh-CN"/>
        </w:rPr>
        <w:t>https://newsmoor.com/cultural-dimensions-hofstedes-cultural-dimensions-theory-with-six-dimension/</w:t>
      </w:r>
      <w:r>
        <w:rPr>
          <w:rFonts w:hint="default" w:ascii="Times New Roman" w:hAnsi="Times New Roman" w:cs="Times New Roman"/>
          <w:b w:val="0"/>
          <w:bCs w:val="0"/>
          <w:sz w:val="24"/>
          <w:szCs w:val="24"/>
          <w:highlight w:val="none"/>
          <w:u w:val="none"/>
          <w:lang w:val="en-US" w:eastAsia="zh-CN"/>
        </w:rPr>
        <w:fldChar w:fldCharType="end"/>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cs="Times New Roman"/>
          <w:sz w:val="24"/>
          <w:szCs w:val="24"/>
          <w:lang w:val="en-US" w:eastAsia="zh-CN"/>
        </w:rPr>
        <w:t xml:space="preserve">Nonverbal communication, (2020), </w:t>
      </w:r>
      <w:r>
        <w:rPr>
          <w:rFonts w:hint="default" w:ascii="Times New Roman" w:hAnsi="Times New Roman" w:cs="Times New Roman"/>
          <w:i/>
          <w:iCs/>
          <w:sz w:val="24"/>
          <w:szCs w:val="24"/>
          <w:lang w:val="en-US" w:eastAsia="zh-CN"/>
        </w:rPr>
        <w:t>Pressbooks</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"https://pressbooks.library.ryerson.ca/communicationnursing/chapter/non-verbal-communication/"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https://pressbooks.library.ryerson.ca/communicationnursing/chapter/non-verbal-communication/</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ind w:left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bidi w:val="0"/>
        <w:rPr>
          <w:rFonts w:hint="default" w:ascii="Times New Roman" w:hAnsi="Times New Roman" w:cs="Times New Roman"/>
          <w:sz w:val="24"/>
          <w:szCs w:val="24"/>
        </w:rPr>
      </w:pPr>
      <w:r>
        <w:rPr>
          <w:rFonts w:hint="default" w:ascii="Times New Roman" w:hAnsi="Times New Roman" w:cs="Times New Roman"/>
          <w:sz w:val="24"/>
          <w:szCs w:val="24"/>
        </w:rPr>
        <w:t>Seidel</w:t>
      </w:r>
      <w:r>
        <w:rPr>
          <w:rFonts w:hint="default" w:ascii="Times New Roman" w:hAnsi="Times New Roman" w:cs="Times New Roman"/>
          <w:sz w:val="24"/>
          <w:szCs w:val="24"/>
          <w:lang w:val="en-US" w:eastAsia="zh-CN"/>
        </w:rPr>
        <w:t xml:space="preserve">,M., 2019, </w:t>
      </w:r>
      <w:r>
        <w:rPr>
          <w:rFonts w:hint="default" w:ascii="Times New Roman" w:hAnsi="Times New Roman" w:cs="Times New Roman"/>
          <w:sz w:val="24"/>
          <w:szCs w:val="24"/>
        </w:rPr>
        <w:t>The Importance of Communication in International Business</w:t>
      </w:r>
    </w:p>
    <w:p>
      <w:pPr>
        <w:rPr>
          <w:rFonts w:hint="default" w:ascii="Times New Roman" w:hAnsi="Times New Roman" w:cs="Times New Roman"/>
          <w:sz w:val="24"/>
          <w:szCs w:val="24"/>
        </w:rPr>
      </w:pPr>
    </w:p>
    <w:p>
      <w:pPr>
        <w:numPr>
          <w:ilvl w:val="0"/>
          <w:numId w:val="1"/>
        </w:numPr>
        <w:ind w:left="0" w:leftChars="0" w:firstLine="0" w:firstLineChars="0"/>
        <w:jc w:val="both"/>
        <w:rPr>
          <w:rFonts w:hint="default" w:ascii="Times New Roman" w:hAnsi="Times New Roman" w:eastAsia="宋体" w:cs="Times New Roman"/>
          <w:i w:val="0"/>
          <w:iCs w:val="0"/>
          <w:caps w:val="0"/>
          <w:color w:val="373737"/>
          <w:spacing w:val="0"/>
          <w:sz w:val="24"/>
          <w:szCs w:val="24"/>
          <w:shd w:val="clear" w:fill="FFFFFF"/>
          <w:lang w:val="en-US" w:eastAsia="zh-CN"/>
        </w:rPr>
      </w:pPr>
      <w:r>
        <w:rPr>
          <w:rFonts w:hint="default" w:ascii="Times New Roman" w:hAnsi="Times New Roman" w:eastAsia="宋体" w:cs="Times New Roman"/>
          <w:i w:val="0"/>
          <w:iCs w:val="0"/>
          <w:caps w:val="0"/>
          <w:color w:val="373737"/>
          <w:spacing w:val="0"/>
          <w:sz w:val="24"/>
          <w:szCs w:val="24"/>
          <w:shd w:val="clear" w:fill="FFFFFF"/>
          <w:lang w:val="en-US" w:eastAsia="zh-CN"/>
        </w:rPr>
        <w:t>Victor, David A.: 1992, International Business Communication, HarperCollins Publishers Inc., New York.</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240" w:lineRule="auto"/>
        <w:ind w:left="0" w:leftChars="0" w:firstLine="0" w:firstLineChars="0"/>
        <w:jc w:val="both"/>
        <w:textAlignment w:val="auto"/>
        <w:rPr>
          <w:rFonts w:hint="default" w:ascii="Times New Roman" w:hAnsi="Times New Roman" w:cs="Times New Roman"/>
          <w:i w:val="0"/>
          <w:iCs w:val="0"/>
          <w:sz w:val="24"/>
          <w:szCs w:val="24"/>
          <w:lang w:val="en-US" w:eastAsia="zh-CN"/>
        </w:rPr>
      </w:pPr>
      <w:r>
        <w:rPr>
          <w:rFonts w:hint="default" w:ascii="Times New Roman" w:hAnsi="Times New Roman" w:eastAsia="Helvetica" w:cs="Times New Roman"/>
          <w:i w:val="0"/>
          <w:iCs w:val="0"/>
          <w:caps w:val="0"/>
          <w:color w:val="373737"/>
          <w:spacing w:val="0"/>
          <w:sz w:val="24"/>
          <w:szCs w:val="24"/>
          <w:shd w:val="clear" w:fill="FFFFFF"/>
          <w:lang w:val="en-US" w:eastAsia="zh-CN"/>
        </w:rPr>
        <w:t>W.B. Gudykunst, T. Nishida Attributional confidence in low- and high-context cultures Human Communication Research, 12 (1986), pp. 525-549</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240" w:lineRule="auto"/>
        <w:ind w:leftChars="0"/>
        <w:jc w:val="both"/>
        <w:textAlignment w:val="auto"/>
        <w:rPr>
          <w:rFonts w:hint="default" w:ascii="Times New Roman" w:hAnsi="Times New Roman" w:cs="Times New Roman"/>
          <w:i w:val="0"/>
          <w:iCs w:val="0"/>
          <w:sz w:val="24"/>
          <w:szCs w:val="24"/>
          <w:lang w:val="en-US" w:eastAsia="zh-CN"/>
        </w:rPr>
      </w:pPr>
    </w:p>
    <w:p>
      <w:pPr>
        <w:numPr>
          <w:ilvl w:val="0"/>
          <w:numId w:val="1"/>
        </w:numPr>
        <w:spacing w:line="240" w:lineRule="auto"/>
        <w:ind w:left="0" w:leftChars="0" w:firstLine="0" w:firstLineChars="0"/>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 xml:space="preserve">WHAT IS INTERCULTURAL COMMUNICATION, (2021), </w:t>
      </w:r>
      <w:r>
        <w:rPr>
          <w:rFonts w:hint="default" w:ascii="Times New Roman" w:hAnsi="Times New Roman" w:eastAsia="sans-serif" w:cs="Times New Roman"/>
          <w:b w:val="0"/>
          <w:bCs w:val="0"/>
          <w:i/>
          <w:iCs/>
          <w:caps w:val="0"/>
          <w:color w:val="000000"/>
          <w:spacing w:val="-1"/>
          <w:kern w:val="44"/>
          <w:sz w:val="24"/>
          <w:szCs w:val="24"/>
          <w:shd w:val="clear" w:fill="FCFCFC"/>
          <w:lang w:val="en-US" w:eastAsia="zh-CN" w:bidi="ar"/>
        </w:rPr>
        <w:t>Ehilon</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 xml:space="preserve">[online], available from: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fldChar w:fldCharType="begin"/>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instrText xml:space="preserve"> HYPERLINK "https://ehlion.com/magazine/intercultural-communication/" </w:instrTex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fldChar w:fldCharType="separate"/>
      </w:r>
      <w:r>
        <w:rPr>
          <w:rStyle w:val="8"/>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https://ehlion.com/magazine/intercultural-communication/</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fldChar w:fldCharType="end"/>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 xml:space="preserve"> (Accessed 18 December 2021)</w:t>
      </w:r>
    </w:p>
    <w:p>
      <w:pPr>
        <w:widowControl w:val="0"/>
        <w:numPr>
          <w:ilvl w:val="0"/>
          <w:numId w:val="0"/>
        </w:numPr>
        <w:spacing w:line="240" w:lineRule="auto"/>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240" w:lineRule="auto"/>
        <w:ind w:left="0" w:leftChars="0" w:firstLine="0" w:firstLineChars="0"/>
        <w:jc w:val="both"/>
        <w:textAlignment w:val="auto"/>
        <w:rPr>
          <w:rFonts w:hint="eastAsia" w:ascii="Times New Roman" w:hAnsi="Times New Roman" w:cs="Times New Roman"/>
          <w:i w:val="0"/>
          <w:iCs w:val="0"/>
          <w:sz w:val="24"/>
          <w:szCs w:val="24"/>
          <w:lang w:val="en-US" w:eastAsia="zh-CN"/>
        </w:rPr>
      </w:pPr>
      <w:r>
        <w:rPr>
          <w:rFonts w:hint="default" w:ascii="Times New Roman" w:hAnsi="Times New Roman" w:eastAsia="Helvetica" w:cs="Times New Roman"/>
          <w:i w:val="0"/>
          <w:iCs w:val="0"/>
          <w:caps w:val="0"/>
          <w:color w:val="373737"/>
          <w:spacing w:val="0"/>
          <w:sz w:val="24"/>
          <w:szCs w:val="24"/>
          <w:shd w:val="clear" w:fill="FFFFFF"/>
        </w:rPr>
        <w:t>Zhou Shiming</w:t>
      </w:r>
      <w:r>
        <w:rPr>
          <w:rFonts w:hint="default" w:ascii="Times New Roman" w:hAnsi="Times New Roman" w:eastAsia="宋体" w:cs="Times New Roman"/>
          <w:i w:val="0"/>
          <w:iCs w:val="0"/>
          <w:caps w:val="0"/>
          <w:color w:val="373737"/>
          <w:spacing w:val="0"/>
          <w:sz w:val="24"/>
          <w:szCs w:val="24"/>
          <w:shd w:val="clear" w:fill="FFFFFF"/>
          <w:lang w:val="en-US" w:eastAsia="zh-CN"/>
        </w:rPr>
        <w:t xml:space="preserve">, (2020), </w:t>
      </w:r>
      <w:r>
        <w:rPr>
          <w:rFonts w:hint="default" w:ascii="Times New Roman" w:hAnsi="Times New Roman" w:eastAsia="宋体" w:cs="Times New Roman"/>
          <w:i/>
          <w:iCs/>
          <w:caps w:val="0"/>
          <w:color w:val="373737"/>
          <w:spacing w:val="0"/>
          <w:sz w:val="24"/>
          <w:szCs w:val="24"/>
          <w:shd w:val="clear" w:fill="FFFFFF"/>
          <w:lang w:val="en-US" w:eastAsia="zh-CN"/>
        </w:rPr>
        <w:t>JingJL</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"https://www.jjl.cn/article/668013.html"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https://www.jjl.cn/article/668013.html</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0"/>
        </w:numPr>
        <w:ind w:left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2BCBA4"/>
    <w:multiLevelType w:val="singleLevel"/>
    <w:tmpl w:val="EC2BCBA4"/>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F71E21"/>
    <w:rsid w:val="01107233"/>
    <w:rsid w:val="0451287C"/>
    <w:rsid w:val="1E844802"/>
    <w:rsid w:val="26AD1590"/>
    <w:rsid w:val="26F71E21"/>
    <w:rsid w:val="34BE74FA"/>
    <w:rsid w:val="3C8D1128"/>
    <w:rsid w:val="47F40975"/>
    <w:rsid w:val="4E7E71EB"/>
    <w:rsid w:val="51E67581"/>
    <w:rsid w:val="6F5B48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2022-01-02T05:38:00Z</dcterms:created>
  <dc:creator>WPS_1547003711</dc:creator>
  <cp:lastModifiedBy>WPS_1547003711</cp:lastModifiedBy>
  <dcterms:modified xsi:type="dcterms:W3CDTF">2022-01-04T16:38:13Z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472FDB7FD7C644ECAC21FFFF4D3D4F0B</vt:lpwstr>
  </property>
</Properties>
</file>