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40" w:lineRule="auto"/>
        <w:contextualSpacing w:val="0"/>
        <w:rPr>
          <w:sz w:val="20"/>
          <w:szCs w:val="20"/>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c>
          <w:tcPr>
            <w:shd w:fill="c0c0c0" w:val="clear"/>
          </w:tcPr>
          <w:p w:rsidR="00000000" w:rsidDel="00000000" w:rsidP="00000000" w:rsidRDefault="00000000" w:rsidRPr="00000000" w14:paraId="00000001">
            <w:pPr>
              <w:pStyle w:val="Heading4"/>
              <w:keepLines w:val="0"/>
              <w:spacing w:after="120" w:before="120" w:line="240" w:lineRule="auto"/>
              <w:contextualSpacing w:val="0"/>
              <w:jc w:val="center"/>
              <w:rPr>
                <w:b w:val="1"/>
                <w:color w:val="000000"/>
                <w:sz w:val="40"/>
                <w:szCs w:val="40"/>
              </w:rPr>
            </w:pPr>
            <w:r w:rsidDel="00000000" w:rsidR="00000000" w:rsidRPr="00000000">
              <w:rPr>
                <w:b w:val="1"/>
                <w:color w:val="000000"/>
                <w:sz w:val="40"/>
                <w:szCs w:val="40"/>
                <w:rtl w:val="0"/>
              </w:rPr>
              <w:t xml:space="preserve">LEVEL 6 ASSESSMENT SPECIFICATION </w:t>
            </w:r>
          </w:p>
        </w:tc>
      </w:tr>
    </w:tbl>
    <w:p w:rsidR="00000000" w:rsidDel="00000000" w:rsidP="00000000" w:rsidRDefault="00000000" w:rsidRPr="00000000" w14:paraId="00000002">
      <w:pPr>
        <w:spacing w:line="240" w:lineRule="auto"/>
        <w:contextualSpacing w:val="0"/>
        <w:jc w:val="center"/>
        <w:rPr>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c>
          <w:tcPr>
            <w:shd w:fill="auto" w:val="clear"/>
          </w:tcPr>
          <w:p w:rsidR="00000000" w:rsidDel="00000000" w:rsidP="00000000" w:rsidRDefault="00000000" w:rsidRPr="00000000" w14:paraId="00000003">
            <w:pPr>
              <w:spacing w:after="120" w:before="120" w:line="240" w:lineRule="auto"/>
              <w:contextualSpacing w:val="0"/>
              <w:jc w:val="both"/>
              <w:rPr>
                <w:b w:val="1"/>
              </w:rPr>
            </w:pPr>
            <w:r w:rsidDel="00000000" w:rsidR="00000000" w:rsidRPr="00000000">
              <w:rPr>
                <w:b w:val="1"/>
                <w:rtl w:val="0"/>
              </w:rPr>
              <w:t xml:space="preserve">Student name:</w:t>
            </w:r>
          </w:p>
        </w:tc>
        <w:tc>
          <w:tcPr/>
          <w:p w:rsidR="00000000" w:rsidDel="00000000" w:rsidP="00000000" w:rsidRDefault="00000000" w:rsidRPr="00000000" w14:paraId="00000004">
            <w:pPr>
              <w:spacing w:after="120" w:before="120" w:line="240" w:lineRule="auto"/>
              <w:contextualSpacing w:val="0"/>
              <w:jc w:val="both"/>
              <w:rPr>
                <w:b w:val="1"/>
              </w:rPr>
            </w:pPr>
            <w:r w:rsidDel="00000000" w:rsidR="00000000" w:rsidRPr="00000000">
              <w:rPr>
                <w:b w:val="1"/>
                <w:rtl w:val="0"/>
              </w:rPr>
              <w:t xml:space="preserve">     Georgia Howe</w:t>
            </w:r>
          </w:p>
        </w:tc>
        <w:tc>
          <w:tcPr>
            <w:shd w:fill="d9d9d9" w:val="clear"/>
          </w:tcPr>
          <w:p w:rsidR="00000000" w:rsidDel="00000000" w:rsidP="00000000" w:rsidRDefault="00000000" w:rsidRPr="00000000" w14:paraId="00000005">
            <w:pPr>
              <w:spacing w:after="120" w:before="120" w:line="240" w:lineRule="auto"/>
              <w:contextualSpacing w:val="0"/>
              <w:jc w:val="both"/>
              <w:rPr>
                <w:b w:val="1"/>
              </w:rPr>
            </w:pPr>
            <w:r w:rsidDel="00000000" w:rsidR="00000000" w:rsidRPr="00000000">
              <w:rPr>
                <w:b w:val="1"/>
                <w:rtl w:val="0"/>
              </w:rPr>
              <w:t xml:space="preserve">Student ID number:</w:t>
            </w:r>
          </w:p>
        </w:tc>
        <w:tc>
          <w:tcPr/>
          <w:p w:rsidR="00000000" w:rsidDel="00000000" w:rsidP="00000000" w:rsidRDefault="00000000" w:rsidRPr="00000000" w14:paraId="00000006">
            <w:pPr>
              <w:spacing w:after="120" w:before="120" w:line="240" w:lineRule="auto"/>
              <w:contextualSpacing w:val="0"/>
              <w:jc w:val="both"/>
              <w:rPr>
                <w:b w:val="1"/>
              </w:rPr>
            </w:pPr>
            <w:r w:rsidDel="00000000" w:rsidR="00000000" w:rsidRPr="00000000">
              <w:rPr>
                <w:rFonts w:ascii="Times New Roman" w:cs="Times New Roman" w:eastAsia="Times New Roman" w:hAnsi="Times New Roman"/>
                <w:b w:val="1"/>
                <w:sz w:val="20"/>
                <w:szCs w:val="20"/>
                <w:rtl w:val="0"/>
              </w:rPr>
              <w:t xml:space="preserve">1401449</w:t>
            </w:r>
            <w:r w:rsidDel="00000000" w:rsidR="00000000" w:rsidRPr="00000000">
              <w:rPr>
                <w:rtl w:val="0"/>
              </w:rPr>
            </w:r>
          </w:p>
        </w:tc>
      </w:tr>
      <w:tr>
        <w:tc>
          <w:tcPr>
            <w:shd w:fill="auto" w:val="clear"/>
          </w:tcPr>
          <w:p w:rsidR="00000000" w:rsidDel="00000000" w:rsidP="00000000" w:rsidRDefault="00000000" w:rsidRPr="00000000" w14:paraId="00000007">
            <w:pPr>
              <w:spacing w:after="120" w:before="120" w:line="240" w:lineRule="auto"/>
              <w:contextualSpacing w:val="0"/>
              <w:jc w:val="both"/>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8">
            <w:pPr>
              <w:spacing w:after="120" w:before="120" w:line="240" w:lineRule="auto"/>
              <w:contextualSpacing w:val="0"/>
              <w:jc w:val="both"/>
              <w:rPr>
                <w:b w:val="1"/>
              </w:rPr>
            </w:pPr>
            <w:r w:rsidDel="00000000" w:rsidR="00000000" w:rsidRPr="00000000">
              <w:rPr>
                <w:b w:val="1"/>
                <w:rtl w:val="0"/>
              </w:rPr>
              <w:t xml:space="preserve">Primary</w:t>
            </w:r>
          </w:p>
        </w:tc>
      </w:tr>
      <w:tr>
        <w:tc>
          <w:tcPr>
            <w:shd w:fill="auto" w:val="clear"/>
          </w:tcPr>
          <w:p w:rsidR="00000000" w:rsidDel="00000000" w:rsidP="00000000" w:rsidRDefault="00000000" w:rsidRPr="00000000" w14:paraId="0000000B">
            <w:pPr>
              <w:spacing w:after="120" w:before="120" w:line="240" w:lineRule="auto"/>
              <w:contextualSpacing w:val="0"/>
              <w:jc w:val="both"/>
              <w:rPr>
                <w:b w:val="1"/>
              </w:rPr>
            </w:pPr>
            <w:r w:rsidDel="00000000" w:rsidR="00000000" w:rsidRPr="00000000">
              <w:rPr>
                <w:b w:val="1"/>
                <w:rtl w:val="0"/>
              </w:rPr>
              <w:t xml:space="preserve">Module:</w:t>
            </w:r>
          </w:p>
        </w:tc>
        <w:tc>
          <w:tcPr>
            <w:gridSpan w:val="3"/>
            <w:shd w:fill="auto" w:val="clear"/>
          </w:tcPr>
          <w:p w:rsidR="00000000" w:rsidDel="00000000" w:rsidP="00000000" w:rsidRDefault="00000000" w:rsidRPr="00000000" w14:paraId="0000000C">
            <w:pPr>
              <w:spacing w:after="120" w:before="120" w:line="240" w:lineRule="auto"/>
              <w:contextualSpacing w:val="0"/>
              <w:jc w:val="both"/>
              <w:rPr>
                <w:b w:val="1"/>
              </w:rPr>
            </w:pPr>
            <w:r w:rsidDel="00000000" w:rsidR="00000000" w:rsidRPr="00000000">
              <w:rPr>
                <w:b w:val="1"/>
                <w:rtl w:val="0"/>
              </w:rPr>
              <w:t xml:space="preserve">Principles of Pedagogy</w:t>
            </w:r>
          </w:p>
        </w:tc>
      </w:tr>
      <w:tr>
        <w:tc>
          <w:tcPr>
            <w:shd w:fill="auto" w:val="clear"/>
          </w:tcPr>
          <w:p w:rsidR="00000000" w:rsidDel="00000000" w:rsidP="00000000" w:rsidRDefault="00000000" w:rsidRPr="00000000" w14:paraId="0000000F">
            <w:pPr>
              <w:spacing w:after="120" w:before="120" w:line="240" w:lineRule="auto"/>
              <w:contextualSpacing w:val="0"/>
              <w:jc w:val="both"/>
              <w:rPr>
                <w:b w:val="1"/>
              </w:rPr>
            </w:pPr>
            <w:r w:rsidDel="00000000" w:rsidR="00000000" w:rsidRPr="00000000">
              <w:rPr>
                <w:b w:val="1"/>
                <w:rtl w:val="0"/>
              </w:rPr>
              <w:t xml:space="preserve">Module code:</w:t>
            </w:r>
          </w:p>
        </w:tc>
        <w:tc>
          <w:tcPr/>
          <w:p w:rsidR="00000000" w:rsidDel="00000000" w:rsidP="00000000" w:rsidRDefault="00000000" w:rsidRPr="00000000" w14:paraId="00000010">
            <w:pPr>
              <w:spacing w:after="120" w:before="120" w:line="240" w:lineRule="auto"/>
              <w:contextualSpacing w:val="0"/>
              <w:jc w:val="both"/>
              <w:rPr>
                <w:b w:val="1"/>
              </w:rPr>
            </w:pPr>
            <w:r w:rsidDel="00000000" w:rsidR="00000000" w:rsidRPr="00000000">
              <w:rPr>
                <w:b w:val="1"/>
                <w:rtl w:val="0"/>
              </w:rPr>
              <w:t xml:space="preserve">M6X01438/C</w:t>
            </w:r>
          </w:p>
        </w:tc>
        <w:tc>
          <w:tcPr>
            <w:shd w:fill="d9d9d9" w:val="clear"/>
          </w:tcPr>
          <w:p w:rsidR="00000000" w:rsidDel="00000000" w:rsidP="00000000" w:rsidRDefault="00000000" w:rsidRPr="00000000" w14:paraId="00000011">
            <w:pPr>
              <w:pStyle w:val="Heading2"/>
              <w:keepLines w:val="0"/>
              <w:spacing w:after="0" w:before="0" w:line="240" w:lineRule="auto"/>
              <w:contextualSpacing w:val="0"/>
              <w:jc w:val="both"/>
              <w:rPr>
                <w:b w:val="1"/>
                <w:sz w:val="22"/>
                <w:szCs w:val="22"/>
              </w:rPr>
            </w:pPr>
            <w:r w:rsidDel="00000000" w:rsidR="00000000" w:rsidRPr="00000000">
              <w:rPr>
                <w:b w:val="1"/>
                <w:sz w:val="22"/>
                <w:szCs w:val="22"/>
                <w:rtl w:val="0"/>
              </w:rPr>
              <w:t xml:space="preserve">Contribution to Overall Module Assessment (%):</w:t>
            </w:r>
          </w:p>
        </w:tc>
        <w:tc>
          <w:tcPr/>
          <w:p w:rsidR="00000000" w:rsidDel="00000000" w:rsidP="00000000" w:rsidRDefault="00000000" w:rsidRPr="00000000" w14:paraId="00000012">
            <w:pPr>
              <w:spacing w:after="120" w:before="120" w:line="240" w:lineRule="auto"/>
              <w:contextualSpacing w:val="0"/>
              <w:jc w:val="both"/>
              <w:rPr>
                <w:b w:val="1"/>
              </w:rPr>
            </w:pPr>
            <w:r w:rsidDel="00000000" w:rsidR="00000000" w:rsidRPr="00000000">
              <w:rPr>
                <w:b w:val="1"/>
                <w:rtl w:val="0"/>
              </w:rPr>
              <w:t xml:space="preserve">100%</w:t>
            </w:r>
          </w:p>
        </w:tc>
      </w:tr>
      <w:tr>
        <w:tc>
          <w:tcPr>
            <w:shd w:fill="auto" w:val="clear"/>
          </w:tcPr>
          <w:p w:rsidR="00000000" w:rsidDel="00000000" w:rsidP="00000000" w:rsidRDefault="00000000" w:rsidRPr="00000000" w14:paraId="00000013">
            <w:pPr>
              <w:spacing w:after="120" w:before="120" w:line="240" w:lineRule="auto"/>
              <w:contextualSpacing w:val="0"/>
              <w:jc w:val="both"/>
              <w:rPr>
                <w:b w:val="1"/>
              </w:rPr>
            </w:pPr>
            <w:r w:rsidDel="00000000" w:rsidR="00000000" w:rsidRPr="00000000">
              <w:rPr>
                <w:b w:val="1"/>
                <w:rtl w:val="0"/>
              </w:rPr>
              <w:t xml:space="preserve">Lecturer:</w:t>
            </w:r>
          </w:p>
        </w:tc>
        <w:tc>
          <w:tcPr/>
          <w:p w:rsidR="00000000" w:rsidDel="00000000" w:rsidP="00000000" w:rsidRDefault="00000000" w:rsidRPr="00000000" w14:paraId="00000014">
            <w:pPr>
              <w:spacing w:after="120" w:before="120" w:line="240" w:lineRule="auto"/>
              <w:contextualSpacing w:val="0"/>
              <w:jc w:val="both"/>
              <w:rPr>
                <w:b w:val="1"/>
              </w:rPr>
            </w:pPr>
            <w:r w:rsidDel="00000000" w:rsidR="00000000" w:rsidRPr="00000000">
              <w:rPr>
                <w:b w:val="1"/>
                <w:rtl w:val="0"/>
              </w:rPr>
              <w:t xml:space="preserve">Siân Brooks</w:t>
            </w:r>
          </w:p>
        </w:tc>
        <w:tc>
          <w:tcPr>
            <w:shd w:fill="d9d9d9" w:val="clear"/>
          </w:tcPr>
          <w:p w:rsidR="00000000" w:rsidDel="00000000" w:rsidP="00000000" w:rsidRDefault="00000000" w:rsidRPr="00000000" w14:paraId="00000015">
            <w:pPr>
              <w:spacing w:after="120" w:before="120" w:line="240" w:lineRule="auto"/>
              <w:contextualSpacing w:val="0"/>
              <w:jc w:val="both"/>
              <w:rPr>
                <w:b w:val="1"/>
              </w:rPr>
            </w:pPr>
            <w:r w:rsidDel="00000000" w:rsidR="00000000" w:rsidRPr="00000000">
              <w:rPr>
                <w:b w:val="1"/>
                <w:rtl w:val="0"/>
              </w:rPr>
              <w:t xml:space="preserve">Internal Verifier:</w:t>
            </w:r>
          </w:p>
        </w:tc>
        <w:tc>
          <w:tcPr/>
          <w:p w:rsidR="00000000" w:rsidDel="00000000" w:rsidP="00000000" w:rsidRDefault="00000000" w:rsidRPr="00000000" w14:paraId="00000016">
            <w:pPr>
              <w:spacing w:after="120" w:before="120" w:line="240" w:lineRule="auto"/>
              <w:contextualSpacing w:val="0"/>
              <w:jc w:val="both"/>
              <w:rPr>
                <w:b w:val="1"/>
              </w:rPr>
            </w:pPr>
            <w:r w:rsidDel="00000000" w:rsidR="00000000" w:rsidRPr="00000000">
              <w:rPr>
                <w:b w:val="1"/>
                <w:rtl w:val="0"/>
              </w:rPr>
              <w:t xml:space="preserve">Siân Brooks</w:t>
            </w:r>
          </w:p>
        </w:tc>
      </w:tr>
      <w:tr>
        <w:tc>
          <w:tcPr>
            <w:shd w:fill="auto" w:val="clear"/>
          </w:tcPr>
          <w:p w:rsidR="00000000" w:rsidDel="00000000" w:rsidP="00000000" w:rsidRDefault="00000000" w:rsidRPr="00000000" w14:paraId="00000017">
            <w:pPr>
              <w:spacing w:after="120" w:before="120" w:line="240" w:lineRule="auto"/>
              <w:contextualSpacing w:val="0"/>
              <w:jc w:val="both"/>
              <w:rPr>
                <w:b w:val="1"/>
              </w:rPr>
            </w:pPr>
            <w:r w:rsidDel="00000000" w:rsidR="00000000" w:rsidRPr="00000000">
              <w:rPr>
                <w:b w:val="1"/>
                <w:rtl w:val="0"/>
              </w:rPr>
              <w:t xml:space="preserve">Assignment Title:</w:t>
            </w:r>
          </w:p>
        </w:tc>
        <w:tc>
          <w:tcPr/>
          <w:p w:rsidR="00000000" w:rsidDel="00000000" w:rsidP="00000000" w:rsidRDefault="00000000" w:rsidRPr="00000000" w14:paraId="00000018">
            <w:pPr>
              <w:spacing w:after="120" w:before="120" w:line="240" w:lineRule="auto"/>
              <w:contextualSpacing w:val="0"/>
              <w:jc w:val="both"/>
              <w:rPr>
                <w:b w:val="1"/>
              </w:rPr>
            </w:pPr>
            <w:r w:rsidDel="00000000" w:rsidR="00000000" w:rsidRPr="00000000">
              <w:rPr>
                <w:b w:val="1"/>
                <w:rtl w:val="0"/>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shd w:fill="auto" w:val="clear"/>
          </w:tcPr>
          <w:p w:rsidR="00000000" w:rsidDel="00000000" w:rsidP="00000000" w:rsidRDefault="00000000" w:rsidRPr="00000000" w14:paraId="00000019">
            <w:pPr>
              <w:spacing w:after="120" w:before="120" w:line="240" w:lineRule="auto"/>
              <w:contextualSpacing w:val="0"/>
              <w:jc w:val="both"/>
              <w:rPr>
                <w:b w:val="1"/>
              </w:rPr>
            </w:pPr>
            <w:r w:rsidDel="00000000" w:rsidR="00000000" w:rsidRPr="00000000">
              <w:rPr>
                <w:b w:val="1"/>
                <w:rtl w:val="0"/>
              </w:rPr>
              <w:t xml:space="preserve">Word count (or equivalent):</w:t>
            </w:r>
          </w:p>
        </w:tc>
        <w:tc>
          <w:tcPr/>
          <w:p w:rsidR="00000000" w:rsidDel="00000000" w:rsidP="00000000" w:rsidRDefault="00000000" w:rsidRPr="00000000" w14:paraId="0000001A">
            <w:pPr>
              <w:spacing w:after="120" w:before="120" w:line="240" w:lineRule="auto"/>
              <w:contextualSpacing w:val="0"/>
              <w:jc w:val="both"/>
              <w:rPr>
                <w:b w:val="1"/>
              </w:rPr>
            </w:pPr>
            <w:r w:rsidDel="00000000" w:rsidR="00000000" w:rsidRPr="00000000">
              <w:rPr>
                <w:b w:val="1"/>
                <w:rtl w:val="0"/>
              </w:rPr>
              <w:t xml:space="preserve">5,000 or equivalent.</w:t>
            </w:r>
          </w:p>
        </w:tc>
      </w:tr>
      <w:tr>
        <w:tc>
          <w:tcPr>
            <w:shd w:fill="auto" w:val="clear"/>
          </w:tcPr>
          <w:p w:rsidR="00000000" w:rsidDel="00000000" w:rsidP="00000000" w:rsidRDefault="00000000" w:rsidRPr="00000000" w14:paraId="0000001B">
            <w:pPr>
              <w:spacing w:after="120" w:before="120" w:line="240" w:lineRule="auto"/>
              <w:contextualSpacing w:val="0"/>
              <w:jc w:val="both"/>
              <w:rPr>
                <w:b w:val="1"/>
              </w:rPr>
            </w:pPr>
            <w:r w:rsidDel="00000000" w:rsidR="00000000" w:rsidRPr="00000000">
              <w:rPr>
                <w:b w:val="1"/>
                <w:rtl w:val="0"/>
              </w:rPr>
              <w:t xml:space="preserve">Submission deadline:</w:t>
            </w:r>
          </w:p>
        </w:tc>
        <w:tc>
          <w:tcPr>
            <w:shd w:fill="auto" w:val="clear"/>
          </w:tcPr>
          <w:p w:rsidR="00000000" w:rsidDel="00000000" w:rsidP="00000000" w:rsidRDefault="00000000" w:rsidRPr="00000000" w14:paraId="0000001C">
            <w:pPr>
              <w:spacing w:after="120" w:before="120" w:line="240" w:lineRule="auto"/>
              <w:contextualSpacing w:val="0"/>
              <w:jc w:val="both"/>
              <w:rPr>
                <w:b w:val="1"/>
              </w:rPr>
            </w:pPr>
            <w:r w:rsidDel="00000000" w:rsidR="00000000" w:rsidRPr="00000000">
              <w:rPr>
                <w:b w:val="1"/>
                <w:rtl w:val="0"/>
              </w:rPr>
              <w:t xml:space="preserve">17/10/18 (23.59)</w:t>
            </w:r>
          </w:p>
          <w:p w:rsidR="00000000" w:rsidDel="00000000" w:rsidP="00000000" w:rsidRDefault="00000000" w:rsidRPr="00000000" w14:paraId="0000001D">
            <w:pPr>
              <w:spacing w:after="120" w:before="120" w:line="240" w:lineRule="auto"/>
              <w:contextualSpacing w:val="0"/>
              <w:jc w:val="both"/>
              <w:rPr>
                <w:b w:val="1"/>
              </w:rPr>
            </w:pPr>
            <w:r w:rsidDel="00000000" w:rsidR="00000000" w:rsidRPr="00000000">
              <w:rPr>
                <w:rtl w:val="0"/>
              </w:rPr>
            </w:r>
          </w:p>
        </w:tc>
        <w:tc>
          <w:tcPr>
            <w:shd w:fill="auto" w:val="clear"/>
          </w:tcPr>
          <w:p w:rsidR="00000000" w:rsidDel="00000000" w:rsidP="00000000" w:rsidRDefault="00000000" w:rsidRPr="00000000" w14:paraId="0000001E">
            <w:pPr>
              <w:spacing w:after="120" w:before="120" w:line="240" w:lineRule="auto"/>
              <w:contextualSpacing w:val="0"/>
              <w:jc w:val="both"/>
              <w:rPr>
                <w:b w:val="1"/>
              </w:rPr>
            </w:pPr>
            <w:r w:rsidDel="00000000" w:rsidR="00000000" w:rsidRPr="00000000">
              <w:rPr>
                <w:b w:val="1"/>
                <w:rtl w:val="0"/>
              </w:rPr>
              <w:t xml:space="preserve">Return date of provisional marks &amp; written feedback:</w:t>
            </w:r>
          </w:p>
        </w:tc>
        <w:tc>
          <w:tcPr/>
          <w:p w:rsidR="00000000" w:rsidDel="00000000" w:rsidP="00000000" w:rsidRDefault="00000000" w:rsidRPr="00000000" w14:paraId="0000001F">
            <w:pPr>
              <w:spacing w:after="120" w:before="120" w:line="240" w:lineRule="auto"/>
              <w:contextualSpacing w:val="0"/>
              <w:jc w:val="both"/>
              <w:rPr>
                <w:b w:val="1"/>
              </w:rPr>
            </w:pPr>
            <w:r w:rsidDel="00000000" w:rsidR="00000000" w:rsidRPr="00000000">
              <w:rPr>
                <w:b w:val="1"/>
                <w:rtl w:val="0"/>
              </w:rPr>
              <w:t xml:space="preserve">14/11/18</w:t>
            </w:r>
          </w:p>
        </w:tc>
      </w:tr>
      <w:tr>
        <w:tc>
          <w:tcPr>
            <w:shd w:fill="auto" w:val="clear"/>
          </w:tcPr>
          <w:p w:rsidR="00000000" w:rsidDel="00000000" w:rsidP="00000000" w:rsidRDefault="00000000" w:rsidRPr="00000000" w14:paraId="00000020">
            <w:pPr>
              <w:spacing w:after="120" w:before="120" w:line="240" w:lineRule="auto"/>
              <w:contextualSpacing w:val="0"/>
              <w:jc w:val="both"/>
              <w:rPr>
                <w:b w:val="1"/>
              </w:rPr>
            </w:pPr>
            <w:r w:rsidDel="00000000" w:rsidR="00000000" w:rsidRPr="00000000">
              <w:rPr>
                <w:b w:val="1"/>
                <w:rtl w:val="0"/>
              </w:rPr>
              <w:t xml:space="preserve">Submission method:</w:t>
            </w:r>
          </w:p>
        </w:tc>
        <w:tc>
          <w:tcPr>
            <w:gridSpan w:val="3"/>
            <w:shd w:fill="auto" w:val="clear"/>
          </w:tcPr>
          <w:p w:rsidR="00000000" w:rsidDel="00000000" w:rsidP="00000000" w:rsidRDefault="00000000" w:rsidRPr="00000000" w14:paraId="00000021">
            <w:pPr>
              <w:spacing w:line="240" w:lineRule="auto"/>
              <w:contextualSpacing w:val="0"/>
              <w:rPr/>
            </w:pPr>
            <w:r w:rsidDel="00000000" w:rsidR="00000000" w:rsidRPr="00000000">
              <w:rPr>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2">
            <w:pPr>
              <w:spacing w:after="120" w:before="120" w:line="240" w:lineRule="auto"/>
              <w:contextualSpacing w:val="0"/>
              <w:jc w:val="both"/>
              <w:rPr>
                <w:b w:val="1"/>
              </w:rPr>
            </w:pPr>
            <w:r w:rsidDel="00000000" w:rsidR="00000000" w:rsidRPr="00000000">
              <w:rPr>
                <w:b w:val="1"/>
                <w:rtl w:val="0"/>
              </w:rPr>
              <w:t xml:space="preserve">Alternative submission method (if applicable): </w:t>
            </w:r>
          </w:p>
          <w:p w:rsidR="00000000" w:rsidDel="00000000" w:rsidP="00000000" w:rsidRDefault="00000000" w:rsidRPr="00000000" w14:paraId="00000023">
            <w:pPr>
              <w:spacing w:after="120" w:before="120" w:line="240" w:lineRule="auto"/>
              <w:contextualSpacing w:val="0"/>
              <w:jc w:val="both"/>
              <w:rPr>
                <w:b w:val="1"/>
              </w:rPr>
            </w:pPr>
            <w:r w:rsidDel="00000000" w:rsidR="00000000" w:rsidRPr="00000000">
              <w:rPr>
                <w:b w:val="1"/>
                <w:rtl w:val="0"/>
              </w:rPr>
              <w:t xml:space="preserve">Late submission of the assessment will result in a late penalty mark. </w:t>
            </w:r>
            <w:r w:rsidDel="00000000" w:rsidR="00000000" w:rsidRPr="00000000">
              <w:rPr>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c>
          <w:tcPr>
            <w:shd w:fill="auto" w:val="clear"/>
          </w:tcPr>
          <w:p w:rsidR="00000000" w:rsidDel="00000000" w:rsidP="00000000" w:rsidRDefault="00000000" w:rsidRPr="00000000" w14:paraId="00000026">
            <w:pPr>
              <w:spacing w:after="120" w:before="120" w:line="240" w:lineRule="auto"/>
              <w:contextualSpacing w:val="0"/>
              <w:rPr>
                <w:b w:val="1"/>
              </w:rPr>
            </w:pPr>
            <w:r w:rsidDel="00000000" w:rsidR="00000000" w:rsidRPr="00000000">
              <w:rPr>
                <w:b w:val="1"/>
                <w:rtl w:val="0"/>
              </w:rPr>
              <w:t xml:space="preserve">Academic honesty / referencing:</w:t>
            </w:r>
          </w:p>
        </w:tc>
        <w:tc>
          <w:tcPr>
            <w:gridSpan w:val="3"/>
            <w:shd w:fill="auto" w:val="clear"/>
          </w:tcPr>
          <w:p w:rsidR="00000000" w:rsidDel="00000000" w:rsidP="00000000" w:rsidRDefault="00000000" w:rsidRPr="00000000" w14:paraId="00000027">
            <w:pPr>
              <w:spacing w:after="120" w:before="120" w:line="240" w:lineRule="auto"/>
              <w:contextualSpacing w:val="0"/>
              <w:jc w:val="both"/>
              <w:rPr/>
            </w:pPr>
            <w:r w:rsidDel="00000000" w:rsidR="00000000" w:rsidRPr="00000000">
              <w:rPr>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A">
      <w:pPr>
        <w:spacing w:line="240" w:lineRule="auto"/>
        <w:contextualSpacing w:val="0"/>
        <w:rPr/>
      </w:pPr>
      <w:r w:rsidDel="00000000" w:rsidR="00000000" w:rsidRPr="00000000">
        <w:rPr>
          <w:rtl w:val="0"/>
        </w:rPr>
      </w:r>
    </w:p>
    <w:p w:rsidR="00000000" w:rsidDel="00000000" w:rsidP="00000000" w:rsidRDefault="00000000" w:rsidRPr="00000000" w14:paraId="0000002B">
      <w:pPr>
        <w:spacing w:line="240" w:lineRule="auto"/>
        <w:contextualSpacing w:val="0"/>
        <w:rPr/>
      </w:pP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center"/>
        <w:rPr>
          <w:b w:val="1"/>
          <w:sz w:val="24"/>
          <w:szCs w:val="24"/>
        </w:rPr>
      </w:pPr>
      <w:r w:rsidDel="00000000" w:rsidR="00000000" w:rsidRPr="00000000">
        <w:rPr>
          <w:b w:val="1"/>
          <w:sz w:val="24"/>
          <w:szCs w:val="24"/>
          <w:rtl w:val="0"/>
        </w:rPr>
        <w:t xml:space="preserve">‘Describe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center"/>
        <w:rPr>
          <w:sz w:val="24"/>
          <w:szCs w:val="24"/>
        </w:rPr>
      </w:pPr>
      <w:r w:rsidDel="00000000" w:rsidR="00000000" w:rsidRPr="00000000">
        <w:rPr>
          <w:sz w:val="24"/>
          <w:szCs w:val="24"/>
          <w:rtl w:val="0"/>
        </w:rPr>
        <w:t xml:space="preserve">Word Count: 5,204</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sz w:val="24"/>
          <w:szCs w:val="24"/>
        </w:rPr>
        <w:drawing>
          <wp:inline distB="114300" distT="114300" distL="114300" distR="114300">
            <wp:extent cx="5734050" cy="3225800"/>
            <wp:effectExtent b="0" l="0" r="0" t="0"/>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Teaching and learning go hand in hand where education is concerned. While there are a vast array of different theories depicting how we learn, it is my intention in this assignment to discuss one learning event in particular, and the theories surrounding that. Learning can be described as an active and ongoing process which builds on prior knowledge and is ever changing (Berkeley 2018). In this assignment, I will be delving into both the constructivist and behaviourist styles of teaching. Part of my main focus is the concept of memory, and just how integral it is in the world of education. I intend to discuss and outline how vital it is that children remember information, not because it is outlined in the curriculum, but because children should want to remember and want to learn.</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I had the opportunity to observe several classrooms of varying ages and abilities in an English medium school located in a small town in South Wales. The school’s student population is 471 and is within the Green support category with a free school meal average of 21.5%. They have a two-form entry and have a Flying Start program on site. The latest Estyn report (2018), reveals that they are a pioneer school, part of a wider development plan for professional learning which is being tested out in school all across Wales, incorporating Donaldson’s proposed four purposes of learning (Donaldson, 2015). In accordance with Bera guidelines, I have made the decision to anonymise all participants present in my observations. Pupils and teachers will be given pseudonyms to protect their identities, for the purpose of annonyminity I have not included the Estyn report for this school.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Pr>
        <mc:AlternateContent>
          <mc:Choice Requires="wpg">
            <w:drawing>
              <wp:inline distB="114300" distT="114300" distL="114300" distR="114300">
                <wp:extent cx="5581650" cy="4010025"/>
                <wp:effectExtent b="0" l="0" r="0" t="0"/>
                <wp:docPr id="2" name=""/>
                <a:graphic>
                  <a:graphicData uri="http://schemas.microsoft.com/office/word/2010/wordprocessingGroup">
                    <wpg:wgp>
                      <wpg:cNvGrpSpPr/>
                      <wpg:grpSpPr>
                        <a:xfrm>
                          <a:off x="409575" y="542925"/>
                          <a:ext cx="5581650" cy="4010025"/>
                          <a:chOff x="409575" y="542925"/>
                          <a:chExt cx="5562750" cy="3990975"/>
                        </a:xfrm>
                      </wpg:grpSpPr>
                      <wps:wsp>
                        <wps:cNvSpPr/>
                        <wps:cNvPr id="7" name="Shape 7"/>
                        <wps:spPr>
                          <a:xfrm>
                            <a:off x="3895725" y="542925"/>
                            <a:ext cx="2076600" cy="1295400"/>
                          </a:xfrm>
                          <a:prstGeom prst="wedgeEllipseCallout">
                            <a:avLst>
                              <a:gd fmla="val -56880" name="adj1"/>
                              <a:gd fmla="val 68382"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8" name="Shape 8"/>
                        <wps:spPr>
                          <a:xfrm flipH="1">
                            <a:off x="3895725" y="3238500"/>
                            <a:ext cx="2076600" cy="1295400"/>
                          </a:xfrm>
                          <a:prstGeom prst="wedgeEllipseCallout">
                            <a:avLst>
                              <a:gd fmla="val 56422" name="adj1"/>
                              <a:gd fmla="val -82353"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9" name="Shape 9"/>
                        <wps:spPr>
                          <a:xfrm>
                            <a:off x="409575" y="3238500"/>
                            <a:ext cx="2076600" cy="1295400"/>
                          </a:xfrm>
                          <a:prstGeom prst="wedgeEllipseCallout">
                            <a:avLst>
                              <a:gd fmla="val 50910" name="adj1"/>
                              <a:gd fmla="val -80882"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10" name="Shape 10"/>
                        <wps:spPr>
                          <a:xfrm>
                            <a:off x="409575" y="542925"/>
                            <a:ext cx="2076600" cy="1295400"/>
                          </a:xfrm>
                          <a:prstGeom prst="wedgeEllipseCallout">
                            <a:avLst>
                              <a:gd fmla="val 49075" name="adj1"/>
                              <a:gd fmla="val 70588" name="adj2"/>
                            </a:avLst>
                          </a:prstGeom>
                          <a:solidFill>
                            <a:srgbClr val="B4A7D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txBox="1"/>
                        <wps:cNvPr id="11" name="Shape 11"/>
                        <wps:spPr>
                          <a:xfrm>
                            <a:off x="2038350" y="2028850"/>
                            <a:ext cx="2190900" cy="1019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The four purposes of the new curriculum proposed for Wales will develop:</w:t>
                              </w:r>
                            </w:p>
                          </w:txbxContent>
                        </wps:txbx>
                        <wps:bodyPr anchorCtr="0" anchor="t" bIns="91425" lIns="91425" spcFirstLastPara="1" rIns="91425" wrap="square" tIns="91425"/>
                      </wps:wsp>
                      <wps:wsp>
                        <wps:cNvSpPr txBox="1"/>
                        <wps:cNvPr id="12" name="Shape 12"/>
                        <wps:spPr>
                          <a:xfrm>
                            <a:off x="676425" y="661950"/>
                            <a:ext cx="1542900" cy="962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Enterprising, creative contributors, ready to play a full part in life and work</w:t>
                              </w:r>
                            </w:p>
                          </w:txbxContent>
                        </wps:txbx>
                        <wps:bodyPr anchorCtr="0" anchor="t" bIns="91425" lIns="91425" spcFirstLastPara="1" rIns="91425" wrap="square" tIns="91425"/>
                      </wps:wsp>
                      <wps:wsp>
                        <wps:cNvSpPr txBox="1"/>
                        <wps:cNvPr id="13" name="Shape 13"/>
                        <wps:spPr>
                          <a:xfrm>
                            <a:off x="4043400" y="740475"/>
                            <a:ext cx="1686000" cy="709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Ambitious, capable learners, ready to learn throughout their lives</w:t>
                              </w:r>
                            </w:p>
                          </w:txbxContent>
                        </wps:txbx>
                        <wps:bodyPr anchorCtr="0" anchor="t" bIns="91425" lIns="91425" spcFirstLastPara="1" rIns="91425" wrap="square" tIns="91425"/>
                      </wps:wsp>
                      <wps:wsp>
                        <wps:cNvSpPr txBox="1"/>
                        <wps:cNvPr id="14" name="Shape 14"/>
                        <wps:spPr>
                          <a:xfrm>
                            <a:off x="462075" y="3452750"/>
                            <a:ext cx="1971600" cy="9240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Healthy, confident individuals, ready to lead fulfilling lives as valued members of society</w:t>
                              </w:r>
                            </w:p>
                          </w:txbxContent>
                        </wps:txbx>
                        <wps:bodyPr anchorCtr="0" anchor="t" bIns="91425" lIns="91425" spcFirstLastPara="1" rIns="91425" wrap="square" tIns="91425"/>
                      </wps:wsp>
                      <wps:wsp>
                        <wps:cNvSpPr txBox="1"/>
                        <wps:cNvPr id="15" name="Shape 15"/>
                        <wps:spPr>
                          <a:xfrm>
                            <a:off x="4052925" y="3514800"/>
                            <a:ext cx="1762200" cy="10191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Ethical, informed citizens of Wales and the world</w:t>
                              </w:r>
                            </w:p>
                          </w:txbxContent>
                        </wps:txbx>
                        <wps:bodyPr anchorCtr="0" anchor="t" bIns="91425" lIns="91425" spcFirstLastPara="1" rIns="91425" wrap="square" tIns="91425"/>
                      </wps:wsp>
                    </wpg:wgp>
                  </a:graphicData>
                </a:graphic>
              </wp:inline>
            </w:drawing>
          </mc:Choice>
          <mc:Fallback>
            <w:drawing>
              <wp:inline distB="114300" distT="114300" distL="114300" distR="114300">
                <wp:extent cx="5581650" cy="4010025"/>
                <wp:effectExtent b="0" l="0" r="0" t="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581650" cy="40100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b w:val="1"/>
          <w:sz w:val="24"/>
          <w:szCs w:val="24"/>
          <w:rtl w:val="0"/>
        </w:rPr>
        <w:t xml:space="preserve">Figure 1</w:t>
      </w:r>
      <w:r w:rsidDel="00000000" w:rsidR="00000000" w:rsidRPr="00000000">
        <w:rPr>
          <w:sz w:val="24"/>
          <w:szCs w:val="24"/>
          <w:rtl w:val="0"/>
        </w:rPr>
        <w:t xml:space="preserve">. Donaldson’s four purposes for children in the curriculum. Taken from Donaldson (2015)</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b w:val="1"/>
          <w:sz w:val="24"/>
          <w:szCs w:val="24"/>
          <w:u w:val="single"/>
        </w:rPr>
      </w:pPr>
      <w:r w:rsidDel="00000000" w:rsidR="00000000" w:rsidRPr="00000000">
        <w:rPr>
          <w:b w:val="1"/>
          <w:sz w:val="24"/>
          <w:szCs w:val="24"/>
          <w:u w:val="single"/>
          <w:rtl w:val="0"/>
        </w:rPr>
        <w:t xml:space="preserve">Observation </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The learning event I have chosen to discuss in this assignment occurred in a Year 2 classroom on a Wednesday morning. The class population was 30 children, with one teacher and one teaching assistant present. My observation of this classroom lasted roughly two hours. In such time I saw that the pupils had been split into two groups that had been established at the beginning of term, the ‘smarty pants’ and the ‘clever clogs’. The decision to split the class in half was made to support a behaviourist teaching method, which is called operant conditioning. Both groups had an assigned jar, in which marbles would be placed in lieu of an act of good behaviour, kindness, good work, progress among the many other possibilities. This was a behaviourism technique used across the foundation phase to shape good behaviour, which I will discuss in more detail further into my assignment.  The smarty pants, in smaller groups of three rotated around the room, were given the task of recapping their learning.  They did this by visiting each of the six learning stations around the room, each consisting of activities based on the current curriculum focus using an array of subjects including maths and digital competency. The approach to this task was that of a behaviourist approach of dividing a long task into several smaller and achievable ones (Cox 2018: 18). This term, the focus was The Great Fire of London. Mrs Shilling, the teacher, explained to me that she had introduced the topic to them by way of props and videos, as well as dramatic storytelling and art lessons. Her reasoning for introducing this topic in such a creative way can be supported by research regarding memory, and pairing a topic with little association to the children with a strong visual image (Kyriacou 2009: 33). The clever clogs were set comprehension work to do based on the fire also. It was during the writing where I observed 7 year old Daniel, who sat next to a girl called Ella. Compared to the other children on his table, Ella included, Daniel’s comprehension ability appeared low, as did his writing capability. I noticed he was having trouble writing the word ‘fire’, despite it being written on the page in text. I took this opportunity to encourage him, below is a transcript of the conversation we had.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I’m on the word fire</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Me:</w:t>
            </w:r>
            <w:r w:rsidDel="00000000" w:rsidR="00000000" w:rsidRPr="00000000">
              <w:rPr>
                <w:sz w:val="24"/>
                <w:szCs w:val="24"/>
                <w:rtl w:val="0"/>
              </w:rPr>
              <w:t xml:space="preserve"> That’s an exciting word</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Did you know, we’re learning about the Great Fire of London that happened in 1666?</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Me:</w:t>
            </w:r>
            <w:r w:rsidDel="00000000" w:rsidR="00000000" w:rsidRPr="00000000">
              <w:rPr>
                <w:sz w:val="24"/>
                <w:szCs w:val="24"/>
                <w:rtl w:val="0"/>
              </w:rPr>
              <w:t xml:space="preserve"> No, are you really?</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Yeah and the whole town caught on fire, it started in a baker shop and helped kill a plague</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Ella:</w:t>
            </w:r>
            <w:r w:rsidDel="00000000" w:rsidR="00000000" w:rsidRPr="00000000">
              <w:rPr>
                <w:sz w:val="24"/>
                <w:szCs w:val="24"/>
                <w:rtl w:val="0"/>
              </w:rPr>
              <w:t xml:space="preserve"> It wasn’t a plage, it was something else.</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It was a plague, Ella</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Ella:</w:t>
            </w:r>
            <w:r w:rsidDel="00000000" w:rsidR="00000000" w:rsidRPr="00000000">
              <w:rPr>
                <w:sz w:val="24"/>
                <w:szCs w:val="24"/>
                <w:rtl w:val="0"/>
              </w:rPr>
              <w:t xml:space="preserve"> Oh yeah, it was plague</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And the man who started the fire was called Thomas Farmer, and he left his bread in the oven and it caught on fire, then everything was on fire! Then the fire was put out in all the buildings but not by fire engines though because they didn’t have any. </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Me:</w:t>
            </w:r>
            <w:r w:rsidDel="00000000" w:rsidR="00000000" w:rsidRPr="00000000">
              <w:rPr>
                <w:sz w:val="24"/>
                <w:szCs w:val="24"/>
                <w:rtl w:val="0"/>
              </w:rPr>
              <w:t xml:space="preserve"> Really? They didn’t have fire engines?</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No, they didn’t have them in the olden days, so they threw buckets of water on it, and it rained. And Samuel Pepys was the one who saw the fire and when they put it out everyone was safe.</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Me:</w:t>
            </w:r>
            <w:r w:rsidDel="00000000" w:rsidR="00000000" w:rsidRPr="00000000">
              <w:rPr>
                <w:sz w:val="24"/>
                <w:szCs w:val="24"/>
                <w:rtl w:val="0"/>
              </w:rPr>
              <w:t xml:space="preserve"> and then what happened?</w:t>
            </w:r>
          </w:p>
        </w:tc>
      </w:tr>
      <w:tr>
        <w:tc>
          <w:tcPr>
            <w:tcBorders>
              <w:top w:color="ffe599" w:space="0" w:sz="8" w:val="single"/>
              <w:left w:color="ffe599" w:space="0" w:sz="8" w:val="single"/>
              <w:bottom w:color="ffe599" w:space="0" w:sz="8" w:val="single"/>
              <w:right w:color="ffe599" w:space="0" w:sz="8" w:val="single"/>
            </w:tcBorders>
            <w:shd w:fill="ffe599"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rPr>
                <w:sz w:val="24"/>
                <w:szCs w:val="24"/>
              </w:rPr>
            </w:pPr>
            <w:r w:rsidDel="00000000" w:rsidR="00000000" w:rsidRPr="00000000">
              <w:rPr>
                <w:b w:val="1"/>
                <w:sz w:val="24"/>
                <w:szCs w:val="24"/>
                <w:rtl w:val="0"/>
              </w:rPr>
              <w:t xml:space="preserve">Daniel:</w:t>
            </w:r>
            <w:r w:rsidDel="00000000" w:rsidR="00000000" w:rsidRPr="00000000">
              <w:rPr>
                <w:sz w:val="24"/>
                <w:szCs w:val="24"/>
                <w:rtl w:val="0"/>
              </w:rPr>
              <w:t xml:space="preserve"> Then the King said all the new houses have to be made out of bricks to keep the fire away</w:t>
            </w:r>
          </w:p>
        </w:tc>
      </w:tr>
    </w:tbl>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b w:val="1"/>
          <w:sz w:val="24"/>
          <w:szCs w:val="24"/>
          <w:rtl w:val="0"/>
        </w:rPr>
        <w:t xml:space="preserve">Figure 2</w:t>
      </w:r>
      <w:r w:rsidDel="00000000" w:rsidR="00000000" w:rsidRPr="00000000">
        <w:rPr>
          <w:sz w:val="24"/>
          <w:szCs w:val="24"/>
          <w:rtl w:val="0"/>
        </w:rPr>
        <w:t xml:space="preserve">. A transcript recorded during my observation between myself and two children in a year 2 classroom.</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I decided to use this particular learning event as my focus for this assignment because it is an excellent example of how memory works in young minds. My preferred method of observation in this setting would have been to use a dictaphone in order to audibly capture the enthusiasm and fluidity in his speech. The benefits of recording the event would have provided me with a richer detail of the conversation and allowed me to strengthen the depth of my observation. However due to ethical restrictions of annoniminity (BERA, 2011), my observation method is solely written as a transcript. Had I been talking with more than one student, this method would have been difficult to maintain as I was transcribing while talking. </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Daniel’s recollection of the fire was impressively detailed and accurate. Despite having a low reading and writing level, he was able to convey the entire story to me by outlining the key elements of the story, even using names of people involved, it could be said that he was in a sense of flow, wherein he was almost completely immersed in his story and was both engaged and absorbed within his sense of skill of this particular subject matter (</w:t>
      </w:r>
      <w:r w:rsidDel="00000000" w:rsidR="00000000" w:rsidRPr="00000000">
        <w:rPr>
          <w:sz w:val="24"/>
          <w:szCs w:val="24"/>
          <w:highlight w:val="white"/>
          <w:rtl w:val="0"/>
        </w:rPr>
        <w:t xml:space="preserve">Csikszentmihalyi 1990</w:t>
      </w:r>
      <w:r w:rsidDel="00000000" w:rsidR="00000000" w:rsidRPr="00000000">
        <w:rPr>
          <w:sz w:val="24"/>
          <w:szCs w:val="24"/>
          <w:rtl w:val="0"/>
        </w:rPr>
        <w:t xml:space="preserve">). It is clear that through being taught about The Great Fire of London in a theatrical and visual approach, he has absorbed an abundance of information, which supports the effectiveness of Vygotsky’s Zone of Proximal Development (ZPD), which is a notion referring to the child’s level of development, and the distance in which it is from their potential level of cognitive development which is achievable through facilitation of learning and understanding. Vygotsky believed that directing a child’s attention to the key features of a task can assist in facilitating children who may experience difficulties in learning (Kyriacou 2014: 30). Daniel’s reference to fire engines not being present in 1666 is a classic exemplar of his cognitive development and thinking, which links to the Piagetian idea that children actively seek to make sense of the world around them (Waters 2018). In addition to this, Daniel exhibits a constructed sense of time by comparing an ordinary experience of water extinguishing a fire to the idea of rain helping to douse the fire in 1666, which is one of the first areas that are generally tackled when using a constructivist approach in history teaching (Selley 1999: 62). Daniel’s ability to connect the new information about The Great Fire of London to his prior knowledge of the purpose of a fire engine is a model example of Jean Piaget’s notion of cognitive matching, in which Daniel’s understanding of 1666 has been extended (Kyriacou 1997: 30). What I am most impressed with, is his ability to recall such a huge chunk of information and relay it back to me without needing any prompting, showing that he not only remembered learning about it, but that he understood it (Clark 2015). </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Pr>
        <w:drawing>
          <wp:inline distB="114300" distT="114300" distL="114300" distR="114300">
            <wp:extent cx="5734050" cy="4305300"/>
            <wp:effectExtent b="0" l="0" r="0" t="0"/>
            <wp:docPr id="4"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3405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b w:val="1"/>
          <w:sz w:val="24"/>
          <w:szCs w:val="24"/>
          <w:rtl w:val="0"/>
        </w:rPr>
        <w:t xml:space="preserve">Figure 3</w:t>
      </w:r>
      <w:r w:rsidDel="00000000" w:rsidR="00000000" w:rsidRPr="00000000">
        <w:rPr>
          <w:sz w:val="24"/>
          <w:szCs w:val="24"/>
          <w:rtl w:val="0"/>
        </w:rPr>
        <w:t xml:space="preserve">. Magpie Words, taken from my observed year 2 classroom.</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Within the classroom, there was a small wall display that doubled as a learning station for the children to visit during activity rotations, this wall acted as a prompt for engaging the children’s learning and memory. Though Daniel was not looking at nor facing this wall when he discussed the event to me, he was able to pinpoint many of the key words on this display, revealing to me that he may well have visited this learning station to aid his recollection of the story. It is my belief that memory is one of the most important tools learners have in their arsenal.  The conversation I had with Daniel may have only lasted a few minutes, but it was an excellent way for him to practice his knowledge of the Great Fire of London, thus embedding this knowledge further into his long term memory. Forgetting is known to be a large downfall when it comes to recalling stored information, which can be overcome by repetition and practice, and of course, having those strong visual pairings (Kyriacou 2014: 32)</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I later observed Daniel while the class were having carpet time, where they watched an interactive video about phonics. He seemed to be eager to participate by way of putting his hand up to answer every question posed by the teacher, which made me regret not having more time to ask him questions for my personal observation notes. Had I been given the opportunity to return to this observation, I likely would have had more questions to ask Daniel, such as, “how do you think the people in the fire might have felt?” This question would have allowed me to have gaged where Daniel sits on the scale of historical appreciation. It would have been interesting to know just how far along he was in acquiring the concept of time and mortality. It is in theory that although children may acquire a concept of historical time at an early age, to develop the ability to explain it is much more advanced (Selley 1999: 64). From my observation I am able to recognise some elements of this. When Daniel says “the King said all the new houses have to be made out of bricks to keep the fire away.” If his acquisition of historical time had been more developed, he might have said “The King said all the new houses have to be made of bricks </w:t>
      </w:r>
      <w:r w:rsidDel="00000000" w:rsidR="00000000" w:rsidRPr="00000000">
        <w:rPr>
          <w:i w:val="1"/>
          <w:sz w:val="24"/>
          <w:szCs w:val="24"/>
          <w:rtl w:val="0"/>
        </w:rPr>
        <w:t xml:space="preserve">because </w:t>
      </w:r>
      <w:r w:rsidDel="00000000" w:rsidR="00000000" w:rsidRPr="00000000">
        <w:rPr>
          <w:sz w:val="24"/>
          <w:szCs w:val="24"/>
          <w:rtl w:val="0"/>
        </w:rPr>
        <w:t xml:space="preserve">they will keep the fire away better than wooden houses.</w:t>
      </w:r>
      <w:r w:rsidDel="00000000" w:rsidR="00000000" w:rsidRPr="00000000">
        <w:rPr>
          <w:sz w:val="24"/>
          <w:szCs w:val="24"/>
          <w:rtl w:val="0"/>
        </w:rPr>
        <w:t xml:space="preserve">”</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b w:val="1"/>
          <w:sz w:val="24"/>
          <w:szCs w:val="24"/>
          <w:u w:val="single"/>
        </w:rPr>
      </w:pPr>
      <w:r w:rsidDel="00000000" w:rsidR="00000000" w:rsidRPr="00000000">
        <w:rPr>
          <w:b w:val="1"/>
          <w:sz w:val="24"/>
          <w:szCs w:val="24"/>
          <w:u w:val="single"/>
          <w:rtl w:val="0"/>
        </w:rPr>
        <w:t xml:space="preserve">Learning theories</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When performing under a behaviourist approach in the foundation phase, children can often be motivated to learn by an expected reward, which can be in the form of verbal praise or by other means (Cox 2018: 20). It is evident that within the classroom setting I observed, a behaviourist method of operant conditioning was very much in practice, and was working effectively to shape the student’s behaviour based on rewards. The class, split into two groups, each had a marble jar on a shelf, in order to monitor good behaviour, whenever a child was found to be exhibiting the desired behaviour, or had completed a piece of work exceeding the standard, or spoke Welsh unprovoked, the group he/she was in would receive a marble in their jar.  Creating competition within a classroom has been proved to enhance learning and push students to aim higher. It is a healthy way to maximize the student’s potential and is definitely something to be encouraged in the classroom (Fabien 2018).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However, although I do condone positive reinforcement and operant conditioning to facilitate learning and good behaviour, I lean more towards a constructivist approach of teaching, and find it to be better suited to my own beliefs and styles I wish to implement in my own classroom. Behaviourist approaches can sometimes fail to see children as young learners, but rather empty vessels in need of conditioning. Behaviourism lends itself to the ideology that children can be conditioned into responding to certain stimuli, just like animals. A similar study to this is what is likely Ivan Pavlov’s most famous experiment on classical conditioning. It was conducted in the 1890s using his dogs as the subject focus. He provided a neutral stimulus (a bell), which used alone would provide no reaction from the dogs. He also incorporated a non-neutral stimulus (food), which would inevitably cause the dogs to salivate, which he deemed to be an unconditioned response, a response that is seen in many mammals since saliva is produced by the body to break down food in the digestive system. He combined the food with the sound of a bell to condition the dogs into associating the two together. His reasoning was this, if he were to to pair the noise of a bell with food, but then remove the food (the non-neutral stimulus for salivation), would the dogs still salivate when they only heard the sound of the bell? The answer was yes, they would, thus proving his theory that animals could be conditioned to responding to a neutral stimulus (Cherry 2017). However, just because children can be conditioned, does not mean that they should.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The constructivist approach seeks to engage in active learning rather than passive teacher talk (Cox 2018: 18). This method of teaching has one very central aim, which is to encourage the pupil’s mental capabilities. The constructivist teacher takes into consideration that learning is an ongoing process throughout life, and seeks to continuously encourage the pupil’s creativity, ingenuity and fluency in the application of knowledge (Selley 1999). They don’t seek to stifle creativity, but rather teach children to harness it. This approach is largely composed from revisioning bits and pieces of knowledge - some which will have been obtained by communicating with other people, and some which will have been gathered from first-hand experience - amalgamating together for the learner to have an intelligible and satisfactory picture of the world around them (Selley 1999).  It is this approach that gives children control over their learning, in areas such as physical, emotional, philosophical and emotional by way of us as educators offering them the necessary tools to access this information.  The desired outcome of successful constructivist teaching is for children to end up with a wish to pursue enquiry, to have a wide understanding of diverse topics and a conversational style that is both fluent and articulate (Selley 1999). Inevitably, after being taught by a constructivist approach, the learner will have the capability to rapidly expand their knowledge when necessary (Selley 1999).</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Constructivism puts a great deal of emphasis on the cognitive process and gaining independence and knowledge through experiences that challenge us (Pritchard, 2015). It is vital to progression that learners are given the opportunities to form ideas for themselves and not be completely influenced by someone else’s ideas of what the world looks like. To put a label on this, Piaget referred to children as being like ‘lone scientists’ (Pritchard, 2015). He spoke highly of learning being a process of assimilation and accommodation, meaning that the learner’s existing schemas are used to aid the understanding of a new experience (assimilation), then the learner’s existing schemas are adjusted to heed the new information that has been gained from said new experience (accommodation), both playing integral roles in information processing and requiring a balance between the two (Kyriacou 2014).  In the classroom, Daniel’s existing schema would have been that fire is extinguished by water, usually found in a fire engine or seen falling from the sky. His existing schema was then adjusted when he was faced with new information that in 1666, fire engines were not in existence. Thus, his mind accommodated this information and he was able to process the idea of throwing buckets of water on the flames, as well as keeping the existing concept of rain being present throughout time, hence why he sought to add it in his explanation of the event (see figure 2).</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Athey (1990) believes that a constructivist’s focus is on the process by which children  build their knowledge. While Piaget discusses the importance of a learning environment, he fails to approach learning with a social constructivist view, where in which there is a great emphasis on social interaction. Lev Vygotsky classifies social constructivism as an approach where social interaction is fundamental to learning under a social constructivist way of teaching.  He was intrigued by the idea of memory, and how exactly it could be used as a tool in teaching. It is a tool we are familiar with from everyday experience and are constantly using it in almost everything we do. Jerome Bruner, who had a deep interest in the work of Vygotsky and Piaget, sought to extend this type of thinking regarding memory and the process of how children form concepts. He believed that learning is something that can be initiated and enhanced by someone known as a ‘more knowledgeable other’. This meant that someone (more often than not, a teacher) who had knowledge that the child didn’t yet have, could share that knowledge through guidance, prompting and questioning, expanding the child’s knowledge (Cox 2018: 20). Bruner called this method ‘scaffolding,’ a term he borrowed from the construction industry, since to scaffold something is to provide a temporary support to a building until the building is ready to stand by itself, (Smidt 2009) an appropriate metaphor for the relationship between teacher and student. It is an active process in which learners use their current/past knowledge to construct new ideas or concepts, a style of learning in which there is an exchange of dialogue, usually between an adult and a child to maximise the growth and functioning within a child’s mind (Smidt 2009). With scaffolding, the most important feature is that the pupil is the one who does the work, with the teacher simply aiding in directing the pupil’s cognitive process (Kyriacou 2014). Scaffolding links heavily to memory, and ties in to just how we cache knowledge and information. Memory is the term given to the necessary structures involved in the retrieval and the storage of information. It is something that is embedded at the heart of everything we do and is essential to operating in the present and and thinking about the future (McLeod 2013). Memory in human beings is highly similar to that of a computer memory. In psychology, there is said to be a sequential process of how memory is used. I have outlined this in a figure below and written a brief description of what each term means:</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Pr>
        <mc:AlternateContent>
          <mc:Choice Requires="wpg">
            <w:drawing>
              <wp:inline distB="114300" distT="114300" distL="114300" distR="114300">
                <wp:extent cx="5734050" cy="868071"/>
                <wp:effectExtent b="0" l="0" r="0" t="0"/>
                <wp:docPr id="1" name=""/>
                <a:graphic>
                  <a:graphicData uri="http://schemas.microsoft.com/office/word/2010/wordprocessingGroup">
                    <wpg:wgp>
                      <wpg:cNvGrpSpPr/>
                      <wpg:grpSpPr>
                        <a:xfrm>
                          <a:off x="0" y="495225"/>
                          <a:ext cx="5734050" cy="868071"/>
                          <a:chOff x="0" y="495225"/>
                          <a:chExt cx="6858000" cy="1019175"/>
                        </a:xfrm>
                      </wpg:grpSpPr>
                      <wps:wsp>
                        <wps:cNvSpPr txBox="1"/>
                        <wps:cNvPr id="2" name="Shape 2"/>
                        <wps:spPr>
                          <a:xfrm>
                            <a:off x="0" y="535725"/>
                            <a:ext cx="1866900" cy="978600"/>
                          </a:xfrm>
                          <a:prstGeom prst="rect">
                            <a:avLst/>
                          </a:prstGeom>
                          <a:solidFill>
                            <a:srgbClr val="FFE599"/>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Encoding</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An initial experience of learning </w:t>
                              </w:r>
                            </w:p>
                          </w:txbxContent>
                        </wps:txbx>
                        <wps:bodyPr anchorCtr="0" anchor="t" bIns="91425" lIns="91425" spcFirstLastPara="1" rIns="91425" wrap="square" tIns="91425"/>
                      </wps:wsp>
                      <wps:wsp>
                        <wps:cNvSpPr txBox="1"/>
                        <wps:cNvPr id="3" name="Shape 3"/>
                        <wps:spPr>
                          <a:xfrm>
                            <a:off x="2476500" y="495300"/>
                            <a:ext cx="1581300" cy="1019100"/>
                          </a:xfrm>
                          <a:prstGeom prst="rect">
                            <a:avLst/>
                          </a:prstGeom>
                          <a:solidFill>
                            <a:srgbClr val="EA9999"/>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Storage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Maintains that information in your memory</w:t>
                              </w:r>
                            </w:p>
                          </w:txbxContent>
                        </wps:txbx>
                        <wps:bodyPr anchorCtr="0" anchor="t" bIns="91425" lIns="91425" spcFirstLastPara="1" rIns="91425" wrap="square" tIns="91425"/>
                      </wps:wsp>
                      <wps:wsp>
                        <wps:cNvSpPr txBox="1"/>
                        <wps:cNvPr id="4" name="Shape 4"/>
                        <wps:spPr>
                          <a:xfrm>
                            <a:off x="4857900" y="495225"/>
                            <a:ext cx="2000100" cy="1019100"/>
                          </a:xfrm>
                          <a:prstGeom prst="rect">
                            <a:avLst/>
                          </a:prstGeom>
                          <a:solidFill>
                            <a:srgbClr val="B4A7D6"/>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Retrieval</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The key process: recalling/recognising that information</w:t>
                              </w:r>
                            </w:p>
                          </w:txbxContent>
                        </wps:txbx>
                        <wps:bodyPr anchorCtr="0" anchor="t" bIns="91425" lIns="91425" spcFirstLastPara="1" rIns="91425" wrap="square" tIns="91425"/>
                      </wps:wsp>
                      <wps:wsp>
                        <wps:cNvCnPr/>
                        <wps:spPr>
                          <a:xfrm flipH="1" rot="10800000">
                            <a:off x="1866900" y="1015725"/>
                            <a:ext cx="609600" cy="9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wps:wsp>
                      <wps:wsp>
                        <wps:cNvCnPr/>
                        <wps:spPr>
                          <a:xfrm>
                            <a:off x="4057800" y="1004850"/>
                            <a:ext cx="800100" cy="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wps:wsp>
                    </wpg:wgp>
                  </a:graphicData>
                </a:graphic>
              </wp:inline>
            </w:drawing>
          </mc:Choice>
          <mc:Fallback>
            <w:drawing>
              <wp:inline distB="114300" distT="114300" distL="114300" distR="114300">
                <wp:extent cx="5734050" cy="868071"/>
                <wp:effectExtent b="0" l="0" r="0" t="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5734050" cy="86807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b w:val="1"/>
          <w:sz w:val="24"/>
          <w:szCs w:val="24"/>
          <w:rtl w:val="0"/>
        </w:rPr>
        <w:t xml:space="preserve">Figure 4</w:t>
      </w:r>
      <w:r w:rsidDel="00000000" w:rsidR="00000000" w:rsidRPr="00000000">
        <w:rPr>
          <w:sz w:val="24"/>
          <w:szCs w:val="24"/>
          <w:rtl w:val="0"/>
        </w:rPr>
        <w:t xml:space="preserve">. The Basic Memory Process: taken from </w:t>
      </w:r>
      <w:hyperlink r:id="rId10">
        <w:r w:rsidDel="00000000" w:rsidR="00000000" w:rsidRPr="00000000">
          <w:rPr>
            <w:color w:val="1155cc"/>
            <w:sz w:val="24"/>
            <w:szCs w:val="24"/>
            <w:u w:val="single"/>
            <w:rtl w:val="0"/>
          </w:rPr>
          <w:t xml:space="preserve">https://www.theeducatedbrain.com/memory-defined.html</w:t>
        </w:r>
      </w:hyperlink>
      <w:r w:rsidDel="00000000" w:rsidR="00000000" w:rsidRPr="00000000">
        <w:rPr>
          <w:sz w:val="24"/>
          <w:szCs w:val="24"/>
          <w:rtl w:val="0"/>
        </w:rPr>
        <w:t xml:space="preserve"> [accessed on 12/10/18]</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We have the ability to store vast amounts of information scattered across an array of different forms. I have listed below the three main ones with some examples of what they can include:</w:t>
      </w:r>
    </w:p>
    <w:p w:rsidR="00000000" w:rsidDel="00000000" w:rsidP="00000000" w:rsidRDefault="00000000" w:rsidRPr="00000000" w14:paraId="00000082">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rPr>
          <w:sz w:val="24"/>
          <w:szCs w:val="24"/>
        </w:rPr>
      </w:pPr>
      <w:r w:rsidDel="00000000" w:rsidR="00000000" w:rsidRPr="00000000">
        <w:rPr>
          <w:sz w:val="24"/>
          <w:szCs w:val="24"/>
          <w:rtl w:val="0"/>
        </w:rPr>
        <w:t xml:space="preserve">Visual (the encoding of images, e.g. pictures, videos, performances)</w:t>
      </w:r>
    </w:p>
    <w:p w:rsidR="00000000" w:rsidDel="00000000" w:rsidP="00000000" w:rsidRDefault="00000000" w:rsidRPr="00000000" w14:paraId="00000083">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rPr>
          <w:sz w:val="24"/>
          <w:szCs w:val="24"/>
        </w:rPr>
      </w:pPr>
      <w:r w:rsidDel="00000000" w:rsidR="00000000" w:rsidRPr="00000000">
        <w:rPr>
          <w:sz w:val="24"/>
          <w:szCs w:val="24"/>
          <w:rtl w:val="0"/>
        </w:rPr>
        <w:t xml:space="preserve">Acoustic (the encoding of sound, words in particular)</w:t>
      </w:r>
    </w:p>
    <w:p w:rsidR="00000000" w:rsidDel="00000000" w:rsidP="00000000" w:rsidRDefault="00000000" w:rsidRPr="00000000" w14:paraId="00000084">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720" w:hanging="360"/>
        <w:rPr>
          <w:sz w:val="24"/>
          <w:szCs w:val="24"/>
        </w:rPr>
      </w:pPr>
      <w:r w:rsidDel="00000000" w:rsidR="00000000" w:rsidRPr="00000000">
        <w:rPr>
          <w:sz w:val="24"/>
          <w:szCs w:val="24"/>
          <w:rtl w:val="0"/>
        </w:rPr>
        <w:t xml:space="preserve">Semantic (processing the information on a deeper level)</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(Lumen 2018)</w:t>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The use of the Magpie Words (figure 3) is an example of both the visual and acoustic forms, as in said display, pictures accompanied the relevant words. </w:t>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b w:val="1"/>
          <w:sz w:val="24"/>
          <w:szCs w:val="24"/>
          <w:u w:val="single"/>
          <w:rtl w:val="0"/>
        </w:rPr>
        <w:t xml:space="preserve">My Ideal Learning Environment</w:t>
      </w:r>
      <w:r w:rsidDel="00000000" w:rsidR="00000000" w:rsidRPr="00000000">
        <w:rPr>
          <w:rtl w:val="0"/>
        </w:rPr>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One of the biggest influences of the climate of a classroom can be the layout of the class itself and the overall physical appearance. In an article by the Room 241 Team (2017), they discuss how when students are comfortable, they are more ready to learn. A study carried out by Pye (1988) suggests that teachers were valued more by pupils when they felt that their individuality was being recognised and treated all students fairly with the same level of value. Having several different learning areas within my classroom is a decision I did not make lightly. I wanted my class to be a place of discovery and exploratory learning, by which having multiple learning areas that each have a specific focus on certain areas of learning will aid in giving my learners a more active role in the classroom (Kyriacou 2014). My class is designed primarily for a Year 6 class in mind, however I feel that this particular design could also work for a Year 5 class. </w:t>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b w:val="1"/>
          <w:sz w:val="24"/>
          <w:szCs w:val="24"/>
        </w:rPr>
      </w:pPr>
      <w:r w:rsidDel="00000000" w:rsidR="00000000" w:rsidRPr="00000000">
        <w:rPr>
          <w:rtl w:val="0"/>
        </w:rPr>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The learning zone</w:t>
      </w:r>
      <w:r w:rsidDel="00000000" w:rsidR="00000000" w:rsidRPr="00000000">
        <w:rPr>
          <w:b w:val="1"/>
          <w:sz w:val="24"/>
          <w:szCs w:val="24"/>
          <w:rtl w:val="0"/>
        </w:rPr>
        <w:t xml:space="preserve"> </w:t>
      </w:r>
      <w:r w:rsidDel="00000000" w:rsidR="00000000" w:rsidRPr="00000000">
        <w:rPr>
          <w:sz w:val="24"/>
          <w:szCs w:val="24"/>
          <w:rtl w:val="0"/>
        </w:rPr>
        <w:t xml:space="preserve">will be the hub of learning. I made the decision to organise the desks in an almost semicircle as coming from a theatre background, I’ve found sitting where I can see my peers at all times to be comforting and more natural. By arranging the seating in this way, each child will have the same view of the whiteboard and will not have to turn around in their chair to see me as I teach or have an excuse for not paying attention. It will also eliminate learner’s temptations to chatter and provide me with increased visibility of each child in order to assess them better and easily access their desks when providing one-to one help. Not only that, it is often easy for teachers to expect less from pupils with low motivation and low levels of attainment, however I believe that arranging the students in such a social and open way will allow me to retain a stance of positivity and be able to encourage them better (Kyriacou 2014). </w:t>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The creative zone</w:t>
      </w:r>
      <w:r w:rsidDel="00000000" w:rsidR="00000000" w:rsidRPr="00000000">
        <w:rPr>
          <w:i w:val="1"/>
          <w:sz w:val="24"/>
          <w:szCs w:val="24"/>
          <w:rtl w:val="0"/>
        </w:rPr>
        <w:t xml:space="preserve"> </w:t>
      </w:r>
      <w:r w:rsidDel="00000000" w:rsidR="00000000" w:rsidRPr="00000000">
        <w:rPr>
          <w:sz w:val="24"/>
          <w:szCs w:val="24"/>
          <w:rtl w:val="0"/>
        </w:rPr>
        <w:t xml:space="preserve">will be a place of investigation and exploration. This space will have the necessary resources for activities such as baking, cooking, science and art in order to provide learners with a separate area within the classroom to be creative and messy. It is said that dull teaching combined with unimaginative teachers can often deter young children from pursuing various creative avenues of work (Lytton 2011). I will ensure that all of my students feel free to express who they are by way of being creative, I intend to encourage them to pursue whatever career path they desire and will provide them with the knowledge that anything is possible, just like my teachers did for me when I was their age. By allowing young learners to be creative and letting them partake in practical experiments and activities, we are providing them with a specialised environment in which they can nurture their inherent passion for inquiry and curiosity. The learners will be placed around small tables for these lessons, this way there will be opportunities to work both individually and as part of a smaller group. Whitaker (1995) suggests that small group work gives pupils an opportunity to converse reflectively and promotes an environment of co-operation. Small group work will also aid in their social skills and ability to collaboratively solve problems and reflect on their own work. Undertaking regular, challenging and focused practical science is an excellent way for children to develop problem solving skills, which can be very difficult to learn alone (Sullivan 2015). </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The reading zone will not only be a comfortable place to go during silent reading should the children wish, but it will also be a hub for an end of day story time. In the last 20-30 minutes of class each day, I plan to read to my class. Story time was such a memorable part of my education and I’d very much like to transfer that same experience onto my own class. This particular zone will have bean bags and pillows laid on the floor for my learners to relax and unwind at the end of each day. Michael Morpurgo, the author of War Horse is calling for the government to reinstate story time in schools as he believes that children deserve time within the day to hear stories without being tested (Furness 2013). The stories we read will be based on a number of factors, the current curriculum focus, the student choice and my own personal choices. Class reading has the potential for class discussion and the sharing of opinions and thoughts on characters and how the story might end. Here, there will be no tests or assessments, this will be an environment saved for winding down and just listening to a story, with no hidden agenda or learning objective. In an article by Wesley Sharpe (2009), he says that reading to your class is one of the most important activities you can use with school children to enable them to build visual images from the words you speak to them. Children who have a lower reading ability will also find this beneficial as they will store the images of the story and the words in their imaginations and build on their knowledge without even knowing it. With my background in theatre, I enjoy reading aloud and intend to do so as often as possible and believe that it is one of the best ways to teach children to love reading. </w:t>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There is much concern that in a day and age where technology is dominant in young people’s lives, they have become distanced from nature. Opportunities to experience the outdoors are slim, so it is our job as educators to encourage children to want to learn about the outdoors. I believe my outdoor zone is perfect for that. Growing Schools (2001) seek to encourage schools to take children outdoors. They have found that schools who make regular use of outdoor learning environments find that their learners are highly attentive  and willing to delve in. In an article by The Guardian, schools across England have been reported to be excellent examples of schools bringing together gardening and healthy eating (Riley, 2016). With my allotment, I plan to work with the children to plant and grow fruits and vegetables, so that they are able to have a firsthand experience of just how much work goes into producing the food items they may have previously taken for granted in the supermarket.  In a recent report by Estyn (2018), commitment to education is discussed as a way of enriching the lives of young learners by teaching children to appreciate the importance of agriculture, and other attributes such as positivity towards learning, attributes that are necessary to become lifelong learners. </w:t>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The outdoor zone, as well as having plants and allotments, will also have an outdoor learning area, which will be used as an outdoor classroom when the curriculum will benefit from moving the lesson outside. For example, a school garden can teach so much more than just planting food, it can be used as a tool for cross-curricular learning. There is also so much to be taught about conservation, sustainability and recycling, all of which can be taught in the outdoors (Green Education Foundation 2018). My other reasons for teaching outside are to provide my students with a fresh perspective if the day has become trying. This will be up to me to determine by gaging the level of attention and morale within my pupils. Using the behaviourist method of intermittent reinforcement, I intend to reward the class’ excellent work and behaviour with an agricultural/conservation activity in the outdoor environment at varying intervals throughout the term.</w:t>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Improving digital competency within the classroom is not only part of the curriculum requirements, children must work to develop their skills and be able to confidently and creatively use an array of technologies in this quickly advancing digital world (Welsh Gov 2016). ICT will play a crucial role in my classroom. Not only will there will be a designated area of computers, but in the resource storage shelf will be a space for iPads, which the students will be able to take out and use in all of the zones in the classroom. I plan to embed digital competency in all of my zones, from recording experiments via videotaping and pictures, documenting the progress of plants in the class outdoor zone to free play and research.  I also intend to do this with the Welsh language, embedding it within every zone and lessons as fluidly as possible to encourage bilingualism and confidence to speak more fluently by incorporating the language into both work and my own speech so that we all learn together. </w:t>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09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I will incorporate Assessment for Learning (AFL) into my classroom, the main purpose being that not all children display their best work and their best selves when put under unnecessary stress just to endure an exam or mandatory test. I believe that assessing by way of observation, questioning and discussion promotes learning and is a much simpler way of gaining a better understanding of the progress of each student and makes developing a future improvement plan much easier (Kyriacou 2014). It also will allow me as a teacher to provide my students with constructive comments on how they can improve, and will also allow me to adjust my teaching in accordance with the results of each child’s assessment to hone in on the areas in which the learners are struggling (Black and Wiliam 1998). Black and Wiliam (1998) discussed how AFL is intended to give pupils more time to think and answer questions as well as encourage them to actively assess each other. They also mention that part of AFL is sharing the learning objectives and helping the students recognise their learning objectives. The work that is completed by my students will be displayed in class someway or another, be it verbally recognising their efforts or pinning the work up on a designated display wall for excellence. In doing this they will be empowered to learn, as it will make them feel valued and appreciated (Room 241 Team, 2017)</w:t>
      </w:r>
    </w:p>
    <w:p w:rsidR="00000000" w:rsidDel="00000000" w:rsidP="00000000" w:rsidRDefault="00000000" w:rsidRPr="00000000" w14:paraId="0000009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My findings have shown that the learning event I witnessed has been influenced heavily by a constructivist way of teaching, in a classroom where a diverse collection of theories and styles of learning have been incorporated to ensure the children receive the best possible educational environment to stimulate knowledge progression as well as growth. From my findings it is clear that incorporating behaviourist methods of positive reinforcement are effective, all of which are excellent methods I might be inspired to use in my own future practice. One of which is to teach using strong visual images to maximise knowledge retention. I have discussed how vital memory is to a child’s education. From this, I will endeavour to remember that the process of learning is a long and exciting one, and implementing the method of scaffolding within my classroom will be crucial. From planning my ideal learning environment it is clear that there are an abundance of components that go into creating a successful classroom environment and that through careful planning it can be catered to the needs of the child. Lastly, it is my opinion that using a social constructivist approach to teaching, where social interaction is key, is possibly the paramount to teaching. Social interaction and discussion will be predominant in my classroom in order to arise a fluency of conversational style and a constantly widening understanding of topics through communication and synergy.</w:t>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5">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A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A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sz w:val="24"/>
          <w:szCs w:val="24"/>
          <w:rtl w:val="0"/>
        </w:rPr>
        <w:t xml:space="preserve">Athey, C (1990) </w:t>
      </w:r>
      <w:r w:rsidDel="00000000" w:rsidR="00000000" w:rsidRPr="00000000">
        <w:rPr>
          <w:i w:val="1"/>
          <w:sz w:val="24"/>
          <w:szCs w:val="24"/>
          <w:rtl w:val="0"/>
        </w:rPr>
        <w:t xml:space="preserve">Extending Thought in Young Children: A Parent-Teacher Partnership.</w:t>
      </w:r>
      <w:r w:rsidDel="00000000" w:rsidR="00000000" w:rsidRPr="00000000">
        <w:rPr>
          <w:sz w:val="24"/>
          <w:szCs w:val="24"/>
          <w:rtl w:val="0"/>
        </w:rPr>
        <w:t xml:space="preserve"> London: Paul Chapman</w:t>
      </w:r>
    </w:p>
    <w:p w:rsidR="00000000" w:rsidDel="00000000" w:rsidP="00000000" w:rsidRDefault="00000000" w:rsidRPr="00000000" w14:paraId="000000A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rtl w:val="0"/>
        </w:rPr>
      </w:r>
    </w:p>
    <w:p w:rsidR="00000000" w:rsidDel="00000000" w:rsidP="00000000" w:rsidRDefault="00000000" w:rsidRPr="00000000" w14:paraId="000000B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rPr>
      </w:pPr>
      <w:r w:rsidDel="00000000" w:rsidR="00000000" w:rsidRPr="00000000">
        <w:rPr>
          <w:sz w:val="24"/>
          <w:szCs w:val="24"/>
          <w:rtl w:val="0"/>
        </w:rPr>
        <w:t xml:space="preserve">Black and Wiliam, (1998) </w:t>
      </w:r>
      <w:r w:rsidDel="00000000" w:rsidR="00000000" w:rsidRPr="00000000">
        <w:rPr>
          <w:i w:val="1"/>
          <w:sz w:val="24"/>
          <w:szCs w:val="24"/>
          <w:rtl w:val="0"/>
        </w:rPr>
        <w:t xml:space="preserve">Assessment and Classroom Learning.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http://ld6ela.edublogs.org/files/2008/08/blackandwiliam_ed-5nov03.doc</w:t>
        </w:r>
      </w:hyperlink>
      <w:r w:rsidDel="00000000" w:rsidR="00000000" w:rsidRPr="00000000">
        <w:rPr>
          <w:sz w:val="24"/>
          <w:szCs w:val="24"/>
          <w:rtl w:val="0"/>
        </w:rPr>
        <w:t xml:space="preserve"> [accessed October 14th 2018]</w:t>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B2">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British Educational Research Association (BERA) (2011) </w:t>
      </w:r>
      <w:r w:rsidDel="00000000" w:rsidR="00000000" w:rsidRPr="00000000">
        <w:rPr>
          <w:i w:val="1"/>
          <w:sz w:val="24"/>
          <w:szCs w:val="24"/>
          <w:rtl w:val="0"/>
        </w:rPr>
        <w:t xml:space="preserve">Ethical guidelines for educational research</w:t>
      </w:r>
      <w:r w:rsidDel="00000000" w:rsidR="00000000" w:rsidRPr="00000000">
        <w:rPr>
          <w:sz w:val="24"/>
          <w:szCs w:val="24"/>
          <w:rtl w:val="0"/>
        </w:rPr>
        <w:t xml:space="preserve">. Available at: </w:t>
      </w:r>
      <w:hyperlink r:id="rId12">
        <w:r w:rsidDel="00000000" w:rsidR="00000000" w:rsidRPr="00000000">
          <w:rPr>
            <w:sz w:val="24"/>
            <w:szCs w:val="24"/>
            <w:u w:val="single"/>
            <w:rtl w:val="0"/>
          </w:rPr>
          <w:t xml:space="preserve">https://www.bera.ac.uk/researchers-resources/publications/ethical-guidelines-for-educational-research-2011</w:t>
        </w:r>
      </w:hyperlink>
      <w:r w:rsidDel="00000000" w:rsidR="00000000" w:rsidRPr="00000000">
        <w:rPr>
          <w:rtl w:val="0"/>
        </w:rPr>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Bruner, J (2018) </w:t>
      </w:r>
      <w:r w:rsidDel="00000000" w:rsidR="00000000" w:rsidRPr="00000000">
        <w:rPr>
          <w:i w:val="1"/>
          <w:sz w:val="24"/>
          <w:szCs w:val="24"/>
          <w:rtl w:val="0"/>
        </w:rPr>
        <w:t xml:space="preserve">Learning Theory in Education.</w:t>
      </w:r>
      <w:r w:rsidDel="00000000" w:rsidR="00000000" w:rsidRPr="00000000">
        <w:rPr>
          <w:sz w:val="24"/>
          <w:szCs w:val="24"/>
          <w:rtl w:val="0"/>
        </w:rPr>
        <w:t xml:space="preserve"> Simply Psychology: </w:t>
      </w:r>
      <w:hyperlink r:id="rId13">
        <w:r w:rsidDel="00000000" w:rsidR="00000000" w:rsidRPr="00000000">
          <w:rPr>
            <w:color w:val="1155cc"/>
            <w:sz w:val="24"/>
            <w:szCs w:val="24"/>
            <w:u w:val="single"/>
            <w:rtl w:val="0"/>
          </w:rPr>
          <w:t xml:space="preserve">https://www.simplypsychology.org/bruner.html</w:t>
        </w:r>
      </w:hyperlink>
      <w:r w:rsidDel="00000000" w:rsidR="00000000" w:rsidRPr="00000000">
        <w:rPr>
          <w:sz w:val="24"/>
          <w:szCs w:val="24"/>
          <w:rtl w:val="0"/>
        </w:rPr>
        <w:t xml:space="preserve"> [accessed on October 9th 2018]</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Cherry, K (2017) </w:t>
      </w:r>
      <w:r w:rsidDel="00000000" w:rsidR="00000000" w:rsidRPr="00000000">
        <w:rPr>
          <w:i w:val="1"/>
          <w:sz w:val="24"/>
          <w:szCs w:val="24"/>
          <w:highlight w:val="white"/>
          <w:rtl w:val="0"/>
        </w:rPr>
        <w:t xml:space="preserve">Pavlov’s Dogs and Classical Conditioning: How Ivan Pavlov Discovered Classical Conditioning</w:t>
      </w:r>
      <w:r w:rsidDel="00000000" w:rsidR="00000000" w:rsidRPr="00000000">
        <w:rPr>
          <w:sz w:val="24"/>
          <w:szCs w:val="24"/>
          <w:highlight w:val="white"/>
          <w:rtl w:val="0"/>
        </w:rPr>
        <w:t xml:space="preserve">. Available at: </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hyperlink r:id="rId14">
        <w:r w:rsidDel="00000000" w:rsidR="00000000" w:rsidRPr="00000000">
          <w:rPr>
            <w:color w:val="1155cc"/>
            <w:sz w:val="24"/>
            <w:szCs w:val="24"/>
            <w:highlight w:val="white"/>
            <w:u w:val="single"/>
            <w:rtl w:val="0"/>
          </w:rPr>
          <w:t xml:space="preserve">https://www.verywellmind.com/pavlovs-dogs-2794989</w:t>
        </w:r>
      </w:hyperlink>
      <w:r w:rsidDel="00000000" w:rsidR="00000000" w:rsidRPr="00000000">
        <w:rPr>
          <w:rtl w:val="0"/>
        </w:rPr>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B9">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Chris Kyriacou (2009) </w:t>
      </w:r>
      <w:r w:rsidDel="00000000" w:rsidR="00000000" w:rsidRPr="00000000">
        <w:rPr>
          <w:i w:val="1"/>
          <w:sz w:val="24"/>
          <w:szCs w:val="24"/>
          <w:rtl w:val="0"/>
        </w:rPr>
        <w:t xml:space="preserve">Effective Teaching in Schools: Theory and Practice Second Edition. </w:t>
      </w:r>
      <w:r w:rsidDel="00000000" w:rsidR="00000000" w:rsidRPr="00000000">
        <w:rPr>
          <w:sz w:val="24"/>
          <w:szCs w:val="24"/>
          <w:rtl w:val="0"/>
        </w:rPr>
        <w:t xml:space="preserve">Oxford University Press</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Chris Kyriacou (2014) </w:t>
      </w:r>
      <w:r w:rsidDel="00000000" w:rsidR="00000000" w:rsidRPr="00000000">
        <w:rPr>
          <w:i w:val="1"/>
          <w:sz w:val="24"/>
          <w:szCs w:val="24"/>
          <w:rtl w:val="0"/>
        </w:rPr>
        <w:t xml:space="preserve">Effective Teaching in Schools: Theory and Practice Third Edition.</w:t>
      </w:r>
      <w:r w:rsidDel="00000000" w:rsidR="00000000" w:rsidRPr="00000000">
        <w:rPr>
          <w:sz w:val="24"/>
          <w:szCs w:val="24"/>
          <w:rtl w:val="0"/>
        </w:rPr>
        <w:t xml:space="preserve"> Oxford University Press</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rPr>
      </w:pPr>
      <w:r w:rsidDel="00000000" w:rsidR="00000000" w:rsidRPr="00000000">
        <w:rPr>
          <w:rtl w:val="0"/>
        </w:rPr>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Clark, D. (2015). </w:t>
      </w:r>
      <w:r w:rsidDel="00000000" w:rsidR="00000000" w:rsidRPr="00000000">
        <w:rPr>
          <w:i w:val="1"/>
          <w:sz w:val="24"/>
          <w:szCs w:val="24"/>
          <w:highlight w:val="white"/>
          <w:rtl w:val="0"/>
        </w:rPr>
        <w:t xml:space="preserve">Bloom's Taxonomy of Learning Domains: The Cognitive Domain</w:t>
      </w:r>
      <w:r w:rsidDel="00000000" w:rsidR="00000000" w:rsidRPr="00000000">
        <w:rPr>
          <w:sz w:val="24"/>
          <w:szCs w:val="24"/>
          <w:highlight w:val="white"/>
          <w:rtl w:val="0"/>
        </w:rPr>
        <w:t xml:space="preserve">. Available at: </w:t>
      </w:r>
      <w:hyperlink r:id="rId15">
        <w:r w:rsidDel="00000000" w:rsidR="00000000" w:rsidRPr="00000000">
          <w:rPr>
            <w:color w:val="1155cc"/>
            <w:sz w:val="24"/>
            <w:szCs w:val="24"/>
            <w:highlight w:val="white"/>
            <w:u w:val="single"/>
            <w:rtl w:val="0"/>
          </w:rPr>
          <w:t xml:space="preserve">http://www.nwlink.com/~donclark/hrd/bloom.html</w:t>
        </w:r>
      </w:hyperlink>
      <w:r w:rsidDel="00000000" w:rsidR="00000000" w:rsidRPr="00000000">
        <w:rPr>
          <w:sz w:val="24"/>
          <w:szCs w:val="24"/>
          <w:highlight w:val="white"/>
          <w:rtl w:val="0"/>
        </w:rPr>
        <w:t xml:space="preserve"> [Accessed 3rd October 2018].</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Cox, T (2018: 18) </w:t>
      </w:r>
      <w:r w:rsidDel="00000000" w:rsidR="00000000" w:rsidRPr="00000000">
        <w:rPr>
          <w:i w:val="1"/>
          <w:sz w:val="24"/>
          <w:szCs w:val="24"/>
          <w:highlight w:val="white"/>
          <w:rtl w:val="0"/>
        </w:rPr>
        <w:t xml:space="preserve">Children as Learners</w:t>
      </w:r>
      <w:r w:rsidDel="00000000" w:rsidR="00000000" w:rsidRPr="00000000">
        <w:rPr>
          <w:sz w:val="24"/>
          <w:szCs w:val="24"/>
          <w:highlight w:val="white"/>
          <w:rtl w:val="0"/>
        </w:rPr>
        <w:t xml:space="preserve"> M6X01438-C University of Wales Trinity Saint David 18/09/18</w:t>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Cox, T (2018: 20) </w:t>
      </w:r>
      <w:r w:rsidDel="00000000" w:rsidR="00000000" w:rsidRPr="00000000">
        <w:rPr>
          <w:i w:val="1"/>
          <w:sz w:val="24"/>
          <w:szCs w:val="24"/>
          <w:highlight w:val="white"/>
          <w:rtl w:val="0"/>
        </w:rPr>
        <w:t xml:space="preserve">What is Learning</w:t>
      </w:r>
      <w:r w:rsidDel="00000000" w:rsidR="00000000" w:rsidRPr="00000000">
        <w:rPr>
          <w:sz w:val="24"/>
          <w:szCs w:val="24"/>
          <w:highlight w:val="white"/>
          <w:rtl w:val="0"/>
        </w:rPr>
        <w:t xml:space="preserve"> M6X01438-C University of Wales Trinity Saint David 20/09/18</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spacing w:after="0" w:afterAutospacing="1" w:line="480" w:lineRule="auto"/>
        <w:contextualSpacing w:val="0"/>
        <w:jc w:val="both"/>
        <w:rPr>
          <w:sz w:val="24"/>
          <w:szCs w:val="24"/>
        </w:rPr>
      </w:pPr>
      <w:r w:rsidDel="00000000" w:rsidR="00000000" w:rsidRPr="00000000">
        <w:rPr>
          <w:sz w:val="24"/>
          <w:szCs w:val="24"/>
          <w:rtl w:val="0"/>
        </w:rPr>
        <w:t xml:space="preserve">Csikszentmihalyi, M (2009) </w:t>
      </w:r>
      <w:r w:rsidDel="00000000" w:rsidR="00000000" w:rsidRPr="00000000">
        <w:rPr>
          <w:i w:val="1"/>
          <w:sz w:val="24"/>
          <w:szCs w:val="24"/>
          <w:rtl w:val="0"/>
        </w:rPr>
        <w:t xml:space="preserve">Flow: The Psychology of Happiness: The Classic Work on How to Achieve Happiness</w:t>
      </w:r>
      <w:r w:rsidDel="00000000" w:rsidR="00000000" w:rsidRPr="00000000">
        <w:rPr>
          <w:sz w:val="24"/>
          <w:szCs w:val="24"/>
          <w:rtl w:val="0"/>
        </w:rPr>
        <w:t xml:space="preserve">. Rider Publishing</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spacing w:after="0" w:afterAutospacing="1"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after="0" w:afterAutospacing="1" w:line="480" w:lineRule="auto"/>
        <w:contextualSpacing w:val="0"/>
        <w:jc w:val="both"/>
        <w:rPr>
          <w:sz w:val="24"/>
          <w:szCs w:val="24"/>
        </w:rPr>
      </w:pPr>
      <w:r w:rsidDel="00000000" w:rsidR="00000000" w:rsidRPr="00000000">
        <w:rPr>
          <w:rtl w:val="0"/>
        </w:rPr>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Donaldson, G (2015) </w:t>
      </w:r>
      <w:r w:rsidDel="00000000" w:rsidR="00000000" w:rsidRPr="00000000">
        <w:rPr>
          <w:i w:val="1"/>
          <w:sz w:val="24"/>
          <w:szCs w:val="24"/>
          <w:rtl w:val="0"/>
        </w:rPr>
        <w:t xml:space="preserve">Successful Futures</w:t>
      </w:r>
      <w:r w:rsidDel="00000000" w:rsidR="00000000" w:rsidRPr="00000000">
        <w:rPr>
          <w:sz w:val="24"/>
          <w:szCs w:val="24"/>
          <w:rtl w:val="0"/>
        </w:rPr>
        <w:t xml:space="preserve">  Available at:</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hyperlink r:id="rId16">
        <w:r w:rsidDel="00000000" w:rsidR="00000000" w:rsidRPr="00000000">
          <w:rPr>
            <w:sz w:val="24"/>
            <w:szCs w:val="24"/>
            <w:u w:val="single"/>
            <w:rtl w:val="0"/>
          </w:rPr>
          <w:t xml:space="preserve">https://beta.gov.wales/sites/default/files/publications/2018-03/succesful-futures-a-summary-of-professor-graham-donaldsons-report.pdf</w:t>
        </w:r>
      </w:hyperlink>
      <w:r w:rsidDel="00000000" w:rsidR="00000000" w:rsidRPr="00000000">
        <w:rPr>
          <w:rtl w:val="0"/>
        </w:rPr>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Furness, H (2013) Article. </w:t>
      </w:r>
      <w:r w:rsidDel="00000000" w:rsidR="00000000" w:rsidRPr="00000000">
        <w:rPr>
          <w:i w:val="1"/>
          <w:sz w:val="24"/>
          <w:szCs w:val="24"/>
          <w:highlight w:val="white"/>
          <w:rtl w:val="0"/>
        </w:rPr>
        <w:t xml:space="preserve">Michael Morpurgo: Bring back story time in every school</w:t>
      </w:r>
      <w:r w:rsidDel="00000000" w:rsidR="00000000" w:rsidRPr="00000000">
        <w:rPr>
          <w:sz w:val="24"/>
          <w:szCs w:val="24"/>
          <w:highlight w:val="white"/>
          <w:rtl w:val="0"/>
        </w:rPr>
        <w:t xml:space="preserve">. The Telegraph. Available at: </w:t>
      </w:r>
      <w:hyperlink r:id="rId17">
        <w:r w:rsidDel="00000000" w:rsidR="00000000" w:rsidRPr="00000000">
          <w:rPr>
            <w:color w:val="1155cc"/>
            <w:sz w:val="24"/>
            <w:szCs w:val="24"/>
            <w:highlight w:val="white"/>
            <w:u w:val="single"/>
            <w:rtl w:val="0"/>
          </w:rPr>
          <w:t xml:space="preserve">https://www.telegraph.co.uk/culture/books/booknews/10468670/Michael-Morpurgo-Bring-back-story-time-in-every-school.html</w:t>
        </w:r>
      </w:hyperlink>
      <w:r w:rsidDel="00000000" w:rsidR="00000000" w:rsidRPr="00000000">
        <w:rPr>
          <w:sz w:val="24"/>
          <w:szCs w:val="24"/>
          <w:highlight w:val="white"/>
          <w:rtl w:val="0"/>
        </w:rPr>
        <w:t xml:space="preserve"> [accessed on October 15th 2017]</w:t>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Green Education Foundation (online) </w:t>
      </w:r>
      <w:r w:rsidDel="00000000" w:rsidR="00000000" w:rsidRPr="00000000">
        <w:rPr>
          <w:i w:val="1"/>
          <w:sz w:val="24"/>
          <w:szCs w:val="24"/>
          <w:highlight w:val="white"/>
          <w:rtl w:val="0"/>
        </w:rPr>
        <w:t xml:space="preserve">Creating a Sustainable Future Through Education. </w:t>
      </w:r>
      <w:r w:rsidDel="00000000" w:rsidR="00000000" w:rsidRPr="00000000">
        <w:rPr>
          <w:sz w:val="24"/>
          <w:szCs w:val="24"/>
          <w:highlight w:val="white"/>
          <w:rtl w:val="0"/>
        </w:rPr>
        <w:t xml:space="preserve">Available at: </w:t>
      </w:r>
      <w:hyperlink r:id="rId18">
        <w:r w:rsidDel="00000000" w:rsidR="00000000" w:rsidRPr="00000000">
          <w:rPr>
            <w:color w:val="1155cc"/>
            <w:sz w:val="24"/>
            <w:szCs w:val="24"/>
            <w:highlight w:val="white"/>
            <w:u w:val="single"/>
            <w:rtl w:val="0"/>
          </w:rPr>
          <w:t xml:space="preserve">http://www.greeneducationfoundation.org/greenthumbchallengesub/curriculum-and-activities/garden-as-a-teaching-tool.html</w:t>
        </w:r>
      </w:hyperlink>
      <w:r w:rsidDel="00000000" w:rsidR="00000000" w:rsidRPr="00000000">
        <w:rPr>
          <w:sz w:val="24"/>
          <w:szCs w:val="24"/>
          <w:highlight w:val="white"/>
          <w:rtl w:val="0"/>
        </w:rPr>
        <w:t xml:space="preserve"> [accessed on October 12th 2018]</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Growing Schools: </w:t>
      </w:r>
      <w:r w:rsidDel="00000000" w:rsidR="00000000" w:rsidRPr="00000000">
        <w:rPr>
          <w:i w:val="1"/>
          <w:sz w:val="24"/>
          <w:szCs w:val="24"/>
          <w:highlight w:val="white"/>
          <w:rtl w:val="0"/>
        </w:rPr>
        <w:t xml:space="preserve">Everyone knows that children would rather be out than in. </w:t>
      </w:r>
      <w:r w:rsidDel="00000000" w:rsidR="00000000" w:rsidRPr="00000000">
        <w:rPr>
          <w:sz w:val="24"/>
          <w:szCs w:val="24"/>
          <w:highlight w:val="white"/>
          <w:rtl w:val="0"/>
        </w:rPr>
        <w:t xml:space="preserve">Department for Education and Skills. Available at </w:t>
      </w:r>
      <w:hyperlink r:id="rId19">
        <w:r w:rsidDel="00000000" w:rsidR="00000000" w:rsidRPr="00000000">
          <w:rPr>
            <w:color w:val="1155cc"/>
            <w:sz w:val="24"/>
            <w:szCs w:val="24"/>
            <w:highlight w:val="white"/>
            <w:u w:val="single"/>
            <w:rtl w:val="0"/>
          </w:rPr>
          <w:t xml:space="preserve">http://webarchive.nationalarchives.gov.uk/20130323075343/https://www.education.gov.uk/publications/eOrderingDownload/TGSG%200515MIG29.pdf</w:t>
        </w:r>
      </w:hyperlink>
      <w:r w:rsidDel="00000000" w:rsidR="00000000" w:rsidRPr="00000000">
        <w:rPr>
          <w:sz w:val="24"/>
          <w:szCs w:val="24"/>
          <w:highlight w:val="white"/>
          <w:rtl w:val="0"/>
        </w:rPr>
        <w:t xml:space="preserve"> [Accessed October 11th 2018]</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Joyette Fabien (2018) </w:t>
      </w:r>
      <w:r w:rsidDel="00000000" w:rsidR="00000000" w:rsidRPr="00000000">
        <w:rPr>
          <w:i w:val="1"/>
          <w:sz w:val="24"/>
          <w:szCs w:val="24"/>
          <w:rtl w:val="0"/>
        </w:rPr>
        <w:t xml:space="preserve">The Value of Competition in the Classroom</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https://owlcation.com/academia/studentrivalry</w:t>
        </w:r>
      </w:hyperlink>
      <w:r w:rsidDel="00000000" w:rsidR="00000000" w:rsidRPr="00000000">
        <w:rPr>
          <w:sz w:val="24"/>
          <w:szCs w:val="24"/>
          <w:rtl w:val="0"/>
        </w:rPr>
        <w:t xml:space="preserve"> [accessed October 10th 2018]</w:t>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highlight w:val="white"/>
        </w:rPr>
      </w:pPr>
      <w:r w:rsidDel="00000000" w:rsidR="00000000" w:rsidRPr="00000000">
        <w:rPr>
          <w:sz w:val="24"/>
          <w:szCs w:val="24"/>
          <w:highlight w:val="white"/>
          <w:rtl w:val="0"/>
        </w:rPr>
        <w:t xml:space="preserve">Lumen: Introduction to Psychology 2018. Available at </w:t>
      </w:r>
      <w:hyperlink r:id="rId21">
        <w:r w:rsidDel="00000000" w:rsidR="00000000" w:rsidRPr="00000000">
          <w:rPr>
            <w:color w:val="1155cc"/>
            <w:sz w:val="24"/>
            <w:szCs w:val="24"/>
            <w:highlight w:val="white"/>
            <w:u w:val="single"/>
            <w:rtl w:val="0"/>
          </w:rPr>
          <w:t xml:space="preserve">https://courses.lumenlearning.com/wmopen-psychology/chapter/how-memory-functions/</w:t>
        </w:r>
      </w:hyperlink>
      <w:r w:rsidDel="00000000" w:rsidR="00000000" w:rsidRPr="00000000">
        <w:rPr>
          <w:sz w:val="24"/>
          <w:szCs w:val="24"/>
          <w:highlight w:val="white"/>
          <w:rtl w:val="0"/>
        </w:rPr>
        <w:t xml:space="preserve"> [accessed on October 13th 2018]</w:t>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Lytton, H (2011) </w:t>
      </w:r>
      <w:r w:rsidDel="00000000" w:rsidR="00000000" w:rsidRPr="00000000">
        <w:rPr>
          <w:i w:val="1"/>
          <w:sz w:val="24"/>
          <w:szCs w:val="24"/>
          <w:highlight w:val="white"/>
          <w:rtl w:val="0"/>
        </w:rPr>
        <w:t xml:space="preserve">Creativity and Education. </w:t>
      </w:r>
      <w:r w:rsidDel="00000000" w:rsidR="00000000" w:rsidRPr="00000000">
        <w:rPr>
          <w:sz w:val="24"/>
          <w:szCs w:val="24"/>
          <w:highlight w:val="white"/>
          <w:rtl w:val="0"/>
        </w:rPr>
        <w:t xml:space="preserve">Routledge Library </w:t>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rPr>
      </w:pPr>
      <w:r w:rsidDel="00000000" w:rsidR="00000000" w:rsidRPr="00000000">
        <w:rPr>
          <w:sz w:val="24"/>
          <w:szCs w:val="24"/>
          <w:rtl w:val="0"/>
        </w:rPr>
        <w:t xml:space="preserve">Pavlov,  I.  P.  (1927) Conditioned reflexes: An investigation of the physiological activity of the cerebral cortex. London. Oxford University Press</w:t>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Pritchard, A. (2015) </w:t>
      </w:r>
      <w:r w:rsidDel="00000000" w:rsidR="00000000" w:rsidRPr="00000000">
        <w:rPr>
          <w:i w:val="1"/>
          <w:sz w:val="24"/>
          <w:szCs w:val="24"/>
          <w:highlight w:val="white"/>
          <w:rtl w:val="0"/>
        </w:rPr>
        <w:t xml:space="preserve">Ways of Learning: Learning theories and learning styles in the classroom. </w:t>
      </w:r>
      <w:r w:rsidDel="00000000" w:rsidR="00000000" w:rsidRPr="00000000">
        <w:rPr>
          <w:sz w:val="24"/>
          <w:szCs w:val="24"/>
          <w:highlight w:val="white"/>
          <w:rtl w:val="0"/>
        </w:rPr>
        <w:t xml:space="preserve">London: Routledge</w:t>
      </w:r>
    </w:p>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Pye, J (1988) </w:t>
      </w:r>
      <w:r w:rsidDel="00000000" w:rsidR="00000000" w:rsidRPr="00000000">
        <w:rPr>
          <w:i w:val="1"/>
          <w:sz w:val="24"/>
          <w:szCs w:val="24"/>
          <w:highlight w:val="white"/>
          <w:rtl w:val="0"/>
        </w:rPr>
        <w:t xml:space="preserve">Invisible Children: Who are the real losers at school?</w:t>
      </w:r>
      <w:r w:rsidDel="00000000" w:rsidR="00000000" w:rsidRPr="00000000">
        <w:rPr>
          <w:sz w:val="24"/>
          <w:szCs w:val="24"/>
          <w:highlight w:val="white"/>
          <w:rtl w:val="0"/>
        </w:rPr>
        <w:t xml:space="preserve"> Oxford University Press</w:t>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Room 241 Team (2017): </w:t>
      </w:r>
      <w:r w:rsidDel="00000000" w:rsidR="00000000" w:rsidRPr="00000000">
        <w:rPr>
          <w:i w:val="1"/>
          <w:sz w:val="24"/>
          <w:szCs w:val="24"/>
          <w:highlight w:val="white"/>
          <w:rtl w:val="0"/>
        </w:rPr>
        <w:t xml:space="preserve"> How comfortable classrooms lead to a better student community: </w:t>
      </w:r>
      <w:r w:rsidDel="00000000" w:rsidR="00000000" w:rsidRPr="00000000">
        <w:rPr>
          <w:sz w:val="24"/>
          <w:szCs w:val="24"/>
          <w:highlight w:val="white"/>
          <w:rtl w:val="0"/>
        </w:rPr>
        <w:t xml:space="preserve">Blog by Concordia University, Portland. Available at: </w:t>
      </w:r>
      <w:hyperlink r:id="rId22">
        <w:r w:rsidDel="00000000" w:rsidR="00000000" w:rsidRPr="00000000">
          <w:rPr>
            <w:color w:val="1155cc"/>
            <w:sz w:val="24"/>
            <w:szCs w:val="24"/>
            <w:highlight w:val="white"/>
            <w:u w:val="single"/>
            <w:rtl w:val="0"/>
          </w:rPr>
          <w:t xml:space="preserve">https://education.cu-portland.edu/blog/classroom-resources/welcoming-classrooms-better-students/</w:t>
        </w:r>
      </w:hyperlink>
      <w:r w:rsidDel="00000000" w:rsidR="00000000" w:rsidRPr="00000000">
        <w:rPr>
          <w:sz w:val="24"/>
          <w:szCs w:val="24"/>
          <w:highlight w:val="white"/>
          <w:rtl w:val="0"/>
        </w:rPr>
        <w:t xml:space="preserve"> [accessed on October 14th 2018]</w:t>
      </w:r>
    </w:p>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Sharpe, W (2009) Article. </w:t>
      </w:r>
      <w:r w:rsidDel="00000000" w:rsidR="00000000" w:rsidRPr="00000000">
        <w:rPr>
          <w:i w:val="1"/>
          <w:sz w:val="24"/>
          <w:szCs w:val="24"/>
          <w:highlight w:val="white"/>
          <w:rtl w:val="0"/>
        </w:rPr>
        <w:t xml:space="preserve">Reading Aloud - Is It Worth It?</w:t>
      </w:r>
      <w:r w:rsidDel="00000000" w:rsidR="00000000" w:rsidRPr="00000000">
        <w:rPr>
          <w:sz w:val="24"/>
          <w:szCs w:val="24"/>
          <w:highlight w:val="white"/>
          <w:rtl w:val="0"/>
        </w:rPr>
        <w:t xml:space="preserve"> Education World Available at: </w:t>
      </w:r>
      <w:hyperlink r:id="rId23">
        <w:r w:rsidDel="00000000" w:rsidR="00000000" w:rsidRPr="00000000">
          <w:rPr>
            <w:color w:val="1155cc"/>
            <w:sz w:val="24"/>
            <w:szCs w:val="24"/>
            <w:highlight w:val="white"/>
            <w:u w:val="single"/>
            <w:rtl w:val="0"/>
          </w:rPr>
          <w:t xml:space="preserve">https://www.educationworld.com/a_curr/curr213.shtml</w:t>
        </w:r>
      </w:hyperlink>
      <w:r w:rsidDel="00000000" w:rsidR="00000000" w:rsidRPr="00000000">
        <w:rPr>
          <w:sz w:val="24"/>
          <w:szCs w:val="24"/>
          <w:highlight w:val="white"/>
          <w:rtl w:val="0"/>
        </w:rPr>
        <w:t xml:space="preserve"> [accessed on October 15th 2018]</w:t>
      </w:r>
    </w:p>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sz w:val="24"/>
          <w:szCs w:val="24"/>
          <w:highlight w:val="white"/>
          <w:rtl w:val="0"/>
        </w:rPr>
        <w:t xml:space="preserve">Smidt, S (2009) </w:t>
      </w:r>
      <w:r w:rsidDel="00000000" w:rsidR="00000000" w:rsidRPr="00000000">
        <w:rPr>
          <w:i w:val="1"/>
          <w:sz w:val="24"/>
          <w:szCs w:val="24"/>
          <w:highlight w:val="white"/>
          <w:rtl w:val="0"/>
        </w:rPr>
        <w:t xml:space="preserve">Introducing Vygotsky: A guide for practitioners and students in early years education. </w:t>
      </w:r>
      <w:r w:rsidDel="00000000" w:rsidR="00000000" w:rsidRPr="00000000">
        <w:rPr>
          <w:sz w:val="24"/>
          <w:szCs w:val="24"/>
          <w:highlight w:val="white"/>
          <w:rtl w:val="0"/>
        </w:rPr>
        <w:t xml:space="preserve">London: Routledge</w:t>
      </w:r>
    </w:p>
    <w:p w:rsidR="00000000" w:rsidDel="00000000" w:rsidP="00000000" w:rsidRDefault="00000000" w:rsidRPr="00000000" w14:paraId="000000E0">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E1">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highlight w:val="white"/>
          <w:rtl w:val="0"/>
        </w:rPr>
        <w:t xml:space="preserve">Sullivan, D (2015) </w:t>
      </w:r>
      <w:r w:rsidDel="00000000" w:rsidR="00000000" w:rsidRPr="00000000">
        <w:rPr>
          <w:i w:val="1"/>
          <w:sz w:val="24"/>
          <w:szCs w:val="24"/>
          <w:highlight w:val="white"/>
          <w:rtl w:val="0"/>
        </w:rPr>
        <w:t xml:space="preserve">Practical Science at KS2 </w:t>
      </w:r>
      <w:r w:rsidDel="00000000" w:rsidR="00000000" w:rsidRPr="00000000">
        <w:rPr>
          <w:sz w:val="24"/>
          <w:szCs w:val="24"/>
          <w:highlight w:val="white"/>
          <w:rtl w:val="0"/>
        </w:rPr>
        <w:t xml:space="preserve">Headteacher Update. Available at: </w:t>
      </w:r>
      <w:hyperlink r:id="rId24">
        <w:r w:rsidDel="00000000" w:rsidR="00000000" w:rsidRPr="00000000">
          <w:rPr>
            <w:color w:val="1155cc"/>
            <w:sz w:val="24"/>
            <w:szCs w:val="24"/>
            <w:highlight w:val="white"/>
            <w:u w:val="single"/>
            <w:rtl w:val="0"/>
          </w:rPr>
          <w:t xml:space="preserve">http://www.headteacher-update.com/best-practice-article/practical-science-at-ks2/88920/</w:t>
        </w:r>
      </w:hyperlink>
      <w:r w:rsidDel="00000000" w:rsidR="00000000" w:rsidRPr="00000000">
        <w:rPr>
          <w:sz w:val="24"/>
          <w:szCs w:val="24"/>
          <w:highlight w:val="white"/>
          <w:rtl w:val="0"/>
        </w:rPr>
        <w:t xml:space="preserve"> [Accessed October 11th 2018]</w:t>
      </w:r>
    </w:p>
    <w:p w:rsidR="00000000" w:rsidDel="00000000" w:rsidP="00000000" w:rsidRDefault="00000000" w:rsidRPr="00000000" w14:paraId="000000E2">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E3">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E4">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sz w:val="24"/>
          <w:szCs w:val="24"/>
          <w:highlight w:val="white"/>
          <w:rtl w:val="0"/>
        </w:rPr>
        <w:t xml:space="preserve">UC Berkeley: </w:t>
      </w:r>
      <w:r w:rsidDel="00000000" w:rsidR="00000000" w:rsidRPr="00000000">
        <w:rPr>
          <w:i w:val="1"/>
          <w:sz w:val="24"/>
          <w:szCs w:val="24"/>
          <w:highlight w:val="white"/>
          <w:rtl w:val="0"/>
        </w:rPr>
        <w:t xml:space="preserve">Center for Teaching &amp; Learning: What is Learning? </w:t>
      </w:r>
      <w:r w:rsidDel="00000000" w:rsidR="00000000" w:rsidRPr="00000000">
        <w:rPr>
          <w:sz w:val="24"/>
          <w:szCs w:val="24"/>
          <w:highlight w:val="white"/>
          <w:rtl w:val="0"/>
        </w:rPr>
        <w:t xml:space="preserve">Available at </w:t>
      </w:r>
      <w:hyperlink r:id="rId25">
        <w:r w:rsidDel="00000000" w:rsidR="00000000" w:rsidRPr="00000000">
          <w:rPr>
            <w:color w:val="1155cc"/>
            <w:sz w:val="24"/>
            <w:szCs w:val="24"/>
            <w:highlight w:val="white"/>
            <w:u w:val="single"/>
            <w:rtl w:val="0"/>
          </w:rPr>
          <w:t xml:space="preserve">https://teaching.berkeley.edu/resources/learn/what-learning</w:t>
        </w:r>
      </w:hyperlink>
      <w:r w:rsidDel="00000000" w:rsidR="00000000" w:rsidRPr="00000000">
        <w:rPr>
          <w:sz w:val="24"/>
          <w:szCs w:val="24"/>
          <w:highlight w:val="white"/>
          <w:rtl w:val="0"/>
        </w:rPr>
        <w:t xml:space="preserve"> [accessed on October 13th 2018]</w:t>
      </w:r>
    </w:p>
    <w:p w:rsidR="00000000" w:rsidDel="00000000" w:rsidP="00000000" w:rsidRDefault="00000000" w:rsidRPr="00000000" w14:paraId="000000E5">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rtl w:val="0"/>
        </w:rPr>
      </w:r>
    </w:p>
    <w:p w:rsidR="00000000" w:rsidDel="00000000" w:rsidP="00000000" w:rsidRDefault="00000000" w:rsidRPr="00000000" w14:paraId="000000E6">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jc w:val="both"/>
        <w:rPr>
          <w:sz w:val="24"/>
          <w:szCs w:val="24"/>
          <w:highlight w:val="white"/>
        </w:rPr>
      </w:pPr>
      <w:r w:rsidDel="00000000" w:rsidR="00000000" w:rsidRPr="00000000">
        <w:rPr>
          <w:sz w:val="24"/>
          <w:szCs w:val="24"/>
          <w:rtl w:val="0"/>
        </w:rPr>
        <w:t xml:space="preserve">Waters, J (2018): Welsh Government Theories of Learning. Available at: </w:t>
      </w:r>
      <w:hyperlink r:id="rId26">
        <w:r w:rsidDel="00000000" w:rsidR="00000000" w:rsidRPr="00000000">
          <w:rPr>
            <w:sz w:val="24"/>
            <w:szCs w:val="24"/>
            <w:u w:val="single"/>
            <w:rtl w:val="0"/>
          </w:rPr>
          <w:t xml:space="preserve">http://learning.gov.wales/docs/learningwales/publications/140206-theories-of-learning-en.ppt</w:t>
        </w:r>
      </w:hyperlink>
      <w:r w:rsidDel="00000000" w:rsidR="00000000" w:rsidRPr="00000000">
        <w:rPr>
          <w:rtl w:val="0"/>
        </w:rPr>
      </w:r>
    </w:p>
    <w:p w:rsidR="00000000" w:rsidDel="00000000" w:rsidP="00000000" w:rsidRDefault="00000000" w:rsidRPr="00000000" w14:paraId="000000E7">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shd w:fill="ffffff" w:val="clear"/>
        <w:spacing w:line="480" w:lineRule="auto"/>
        <w:contextualSpacing w:val="0"/>
        <w:rPr>
          <w:sz w:val="24"/>
          <w:szCs w:val="24"/>
        </w:rPr>
      </w:pPr>
      <w:r w:rsidDel="00000000" w:rsidR="00000000" w:rsidRPr="00000000">
        <w:rPr>
          <w:sz w:val="24"/>
          <w:szCs w:val="24"/>
          <w:rtl w:val="0"/>
        </w:rPr>
        <w:t xml:space="preserve">Welsh Government (2016) </w:t>
      </w:r>
      <w:r w:rsidDel="00000000" w:rsidR="00000000" w:rsidRPr="00000000">
        <w:rPr>
          <w:i w:val="1"/>
          <w:sz w:val="24"/>
          <w:szCs w:val="24"/>
          <w:rtl w:val="0"/>
        </w:rPr>
        <w:t xml:space="preserve">Digital Competency Framework</w:t>
      </w:r>
      <w:r w:rsidDel="00000000" w:rsidR="00000000" w:rsidRPr="00000000">
        <w:rPr>
          <w:sz w:val="24"/>
          <w:szCs w:val="24"/>
          <w:rtl w:val="0"/>
        </w:rPr>
        <w:t xml:space="preserve">: Your Questions Answered. Available at: </w:t>
      </w:r>
      <w:hyperlink r:id="rId27">
        <w:r w:rsidDel="00000000" w:rsidR="00000000" w:rsidRPr="00000000">
          <w:rPr>
            <w:color w:val="1155cc"/>
            <w:sz w:val="24"/>
            <w:szCs w:val="24"/>
            <w:u w:val="single"/>
            <w:rtl w:val="0"/>
          </w:rPr>
          <w:t xml:space="preserve">http://learning.gov.wales/docs/learningwales/publications/160831-dcf-your-questions-answered-en.pdf</w:t>
        </w:r>
      </w:hyperlink>
      <w:r w:rsidDel="00000000" w:rsidR="00000000" w:rsidRPr="00000000">
        <w:rPr>
          <w:sz w:val="24"/>
          <w:szCs w:val="24"/>
          <w:rtl w:val="0"/>
        </w:rPr>
        <w:t xml:space="preserve"> [accessed on October 9th 2018]</w:t>
      </w:r>
    </w:p>
    <w:p w:rsidR="00000000" w:rsidDel="00000000" w:rsidP="00000000" w:rsidRDefault="00000000" w:rsidRPr="00000000" w14:paraId="000000E9">
      <w:pPr>
        <w:pBdr>
          <w:top w:color="auto" w:space="0" w:sz="0" w:val="none"/>
          <w:left w:color="auto" w:space="0" w:sz="0" w:val="none"/>
          <w:bottom w:color="auto" w:space="0" w:sz="0" w:val="none"/>
          <w:right w:color="auto" w:space="0" w:sz="0" w:val="none"/>
          <w:between w:color="auto" w:space="0" w:sz="0" w:val="none"/>
        </w:pBdr>
        <w:shd w:fill="ffffff" w:val="clear"/>
        <w:spacing w:line="480" w:lineRule="auto"/>
        <w:ind w:left="0" w:firstLine="0"/>
        <w:contextualSpacing w:val="0"/>
        <w:rPr>
          <w:sz w:val="24"/>
          <w:szCs w:val="24"/>
          <w:highlight w:val="white"/>
        </w:rPr>
      </w:pPr>
      <w:r w:rsidDel="00000000" w:rsidR="00000000" w:rsidRPr="00000000">
        <w:rPr>
          <w:rtl w:val="0"/>
        </w:rPr>
      </w:r>
    </w:p>
    <w:sectPr>
      <w:headerReference r:id="rId28" w:type="default"/>
      <w:footerReference r:id="rId29" w:type="default"/>
      <w:footerReference r:id="rId30" w:type="first"/>
      <w:pgSz w:h="16834" w:w="11909"/>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B">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C">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A">
    <w:pPr>
      <w:contextualSpacing w:val="0"/>
      <w:rPr>
        <w:color w:val="666666"/>
      </w:rPr>
    </w:pPr>
    <w:r w:rsidDel="00000000" w:rsidR="00000000" w:rsidRPr="00000000">
      <w:rPr>
        <w:color w:val="666666"/>
        <w:rtl w:val="0"/>
      </w:rPr>
      <w:t xml:space="preserve">1401449 - Group 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owlcation.com/academia/studentrivalry" TargetMode="External"/><Relationship Id="rId22" Type="http://schemas.openxmlformats.org/officeDocument/2006/relationships/hyperlink" Target="https://education.cu-portland.edu/blog/classroom-resources/welcoming-classrooms-better-students/" TargetMode="External"/><Relationship Id="rId21" Type="http://schemas.openxmlformats.org/officeDocument/2006/relationships/hyperlink" Target="https://courses.lumenlearning.com/wmopen-psychology/chapter/how-memory-functions/" TargetMode="External"/><Relationship Id="rId24" Type="http://schemas.openxmlformats.org/officeDocument/2006/relationships/hyperlink" Target="http://www.headteacher-update.com/best-practice-article/practical-science-at-ks2/88920/" TargetMode="External"/><Relationship Id="rId23" Type="http://schemas.openxmlformats.org/officeDocument/2006/relationships/hyperlink" Target="https://www.educationworld.com/a_curr/curr213.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learning.gov.wales/docs/learningwales/publications/140206-theories-of-learning-en.ppt" TargetMode="External"/><Relationship Id="rId25" Type="http://schemas.openxmlformats.org/officeDocument/2006/relationships/hyperlink" Target="https://teaching.berkeley.edu/resources/learn/what-learning" TargetMode="External"/><Relationship Id="rId28" Type="http://schemas.openxmlformats.org/officeDocument/2006/relationships/header" Target="header1.xml"/><Relationship Id="rId27" Type="http://schemas.openxmlformats.org/officeDocument/2006/relationships/hyperlink" Target="http://learning.gov.wales/docs/learningwales/publications/160831-dcf-your-questions-answered-en.pdf" TargetMode="External"/><Relationship Id="rId5" Type="http://schemas.openxmlformats.org/officeDocument/2006/relationships/styles" Target="styles.xml"/><Relationship Id="rId6" Type="http://schemas.openxmlformats.org/officeDocument/2006/relationships/image" Target="media/image3.jpg"/><Relationship Id="rId29" Type="http://schemas.openxmlformats.org/officeDocument/2006/relationships/footer" Target="footer2.xml"/><Relationship Id="rId7" Type="http://schemas.openxmlformats.org/officeDocument/2006/relationships/image" Target="media/image2.png"/><Relationship Id="rId8" Type="http://schemas.openxmlformats.org/officeDocument/2006/relationships/image" Target="media/image4.jpg"/><Relationship Id="rId30" Type="http://schemas.openxmlformats.org/officeDocument/2006/relationships/footer" Target="footer1.xml"/><Relationship Id="rId11" Type="http://schemas.openxmlformats.org/officeDocument/2006/relationships/hyperlink" Target="http://ld6ela.edublogs.org/files/2008/08/blackandwiliam_ed-5nov03.doc" TargetMode="External"/><Relationship Id="rId10" Type="http://schemas.openxmlformats.org/officeDocument/2006/relationships/hyperlink" Target="https://www.theeducatedbrain.com/memory-defined.html" TargetMode="External"/><Relationship Id="rId13" Type="http://schemas.openxmlformats.org/officeDocument/2006/relationships/hyperlink" Target="https://www.simplypsychology.org/bruner.html" TargetMode="External"/><Relationship Id="rId12" Type="http://schemas.openxmlformats.org/officeDocument/2006/relationships/hyperlink" Target="https://www.bera.ac.uk/researchers-resources/publications/ethical-guidelines-for-educational-research-2011" TargetMode="External"/><Relationship Id="rId15" Type="http://schemas.openxmlformats.org/officeDocument/2006/relationships/hyperlink" Target="http://www.nwlink.com/~donclark/hrd/bloom.html" TargetMode="External"/><Relationship Id="rId14" Type="http://schemas.openxmlformats.org/officeDocument/2006/relationships/hyperlink" Target="https://www.verywellmind.com/pavlovs-dogs-2794989" TargetMode="External"/><Relationship Id="rId17" Type="http://schemas.openxmlformats.org/officeDocument/2006/relationships/hyperlink" Target="https://www.telegraph.co.uk/culture/books/booknews/10468670/Michael-Morpurgo-Bring-back-story-time-in-every-school.html" TargetMode="External"/><Relationship Id="rId16" Type="http://schemas.openxmlformats.org/officeDocument/2006/relationships/hyperlink" Target="https://beta.gov.wales/sites/default/files/publications/2018-03/succesful-futures-a-summary-of-professor-graham-donaldsons-report.pdf" TargetMode="External"/><Relationship Id="rId19" Type="http://schemas.openxmlformats.org/officeDocument/2006/relationships/hyperlink" Target="http://webarchive.nationalarchives.gov.uk/20130323075343/https://www.education.gov.uk/publications/eOrderingDownload/TGSG%200515MIG29.pdf" TargetMode="External"/><Relationship Id="rId18" Type="http://schemas.openxmlformats.org/officeDocument/2006/relationships/hyperlink" Target="http://www.greeneducationfoundation.org/greenthumbchallengesub/curriculum-and-activities/garden-as-a-teaching-too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