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C57F3" w14:textId="2BB7DC86" w:rsidR="00117BF9" w:rsidRDefault="00117BF9" w:rsidP="00117BF9">
      <w:pPr>
        <w:spacing w:line="360" w:lineRule="auto"/>
        <w:jc w:val="center"/>
      </w:pPr>
      <w:r>
        <w:object w:dxaOrig="9600" w:dyaOrig="5401" w14:anchorId="15A6F6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01251420" r:id="rId5"/>
        </w:object>
      </w:r>
    </w:p>
    <w:p w14:paraId="15427B0A" w14:textId="3276EBED" w:rsidR="00117BF9" w:rsidRDefault="00117BF9" w:rsidP="00117BF9">
      <w:pPr>
        <w:spacing w:line="360" w:lineRule="auto"/>
      </w:pPr>
    </w:p>
    <w:p w14:paraId="1745ACE8" w14:textId="6B2B948A" w:rsidR="00117BF9" w:rsidRDefault="00117BF9" w:rsidP="00117BF9">
      <w:pPr>
        <w:spacing w:line="360" w:lineRule="auto"/>
        <w:jc w:val="center"/>
      </w:pPr>
      <w:r>
        <w:object w:dxaOrig="9600" w:dyaOrig="5401" w14:anchorId="428DFF7F">
          <v:shape id="_x0000_i1031"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1" DrawAspect="Content" ObjectID="_1701251421" r:id="rId7"/>
        </w:object>
      </w:r>
    </w:p>
    <w:p w14:paraId="01EE5771" w14:textId="2F9D2D58" w:rsidR="00117BF9" w:rsidRDefault="00117BF9" w:rsidP="00117BF9">
      <w:pPr>
        <w:spacing w:line="360" w:lineRule="auto"/>
        <w:jc w:val="center"/>
      </w:pPr>
    </w:p>
    <w:p w14:paraId="3BE151A7" w14:textId="4E06457D" w:rsidR="00117BF9" w:rsidRDefault="00117BF9" w:rsidP="00117BF9">
      <w:pPr>
        <w:spacing w:line="360" w:lineRule="auto"/>
      </w:pPr>
    </w:p>
    <w:p w14:paraId="61A4B3BC" w14:textId="06901FA6" w:rsidR="00117BF9" w:rsidRDefault="00117BF9">
      <w:r>
        <w:br w:type="page"/>
      </w:r>
    </w:p>
    <w:p w14:paraId="52C526D0" w14:textId="30339509" w:rsidR="00117BF9" w:rsidRDefault="00117BF9" w:rsidP="00117BF9">
      <w:pPr>
        <w:spacing w:line="360" w:lineRule="auto"/>
        <w:jc w:val="center"/>
      </w:pPr>
      <w:r>
        <w:object w:dxaOrig="9600" w:dyaOrig="5401" w14:anchorId="12D3A5C5">
          <v:shape id="_x0000_i1037"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7" DrawAspect="Content" ObjectID="_1701251422" r:id="rId9"/>
        </w:object>
      </w:r>
    </w:p>
    <w:p w14:paraId="45E93503" w14:textId="1EA39D84" w:rsidR="00117BF9" w:rsidRDefault="00117BF9" w:rsidP="00117BF9">
      <w:pPr>
        <w:spacing w:line="360" w:lineRule="auto"/>
        <w:jc w:val="center"/>
      </w:pPr>
    </w:p>
    <w:p w14:paraId="5FED4BE2"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Mondelez International, based in Chicago, Illinois, is a worldwide confectionery, food, holding, beverage, and snack food company. Mondelez has over $26 billion annual sales and operates in approximately 160 countries. It was placed 117th by total revenue on the Fortune 500 list of the top companies in the United States in 2018. Mondelez is the world's most prosperous firm. Kraft Foods Inc., the company's forerunner, was formed in Chicago in 1923. When Kraft Foods was rebranded Mondelez in 2012, its snack food division was retained while the grocery section was spun off as Kraft Foods Group, founded the new firm. Mondelez International is a company that produces chocolate, cookies, biscuits, gum, confectionery, and powdered beverages. Its name combines the Latin words Mundus, which means "world,</w:t>
      </w:r>
      <w:proofErr w:type="gramStart"/>
      <w:r>
        <w:rPr>
          <w:rFonts w:ascii="Arial" w:eastAsia="Times New Roman" w:hAnsi="Arial" w:cs="Arial"/>
          <w:color w:val="000000"/>
          <w:kern w:val="24"/>
          <w:sz w:val="24"/>
          <w:szCs w:val="24"/>
          <w:lang w:val="en-GB"/>
        </w:rPr>
        <w:t>"  which</w:t>
      </w:r>
      <w:proofErr w:type="gramEnd"/>
      <w:r>
        <w:rPr>
          <w:rFonts w:ascii="Arial" w:eastAsia="Times New Roman" w:hAnsi="Arial" w:cs="Arial"/>
          <w:color w:val="000000"/>
          <w:kern w:val="24"/>
          <w:sz w:val="24"/>
          <w:szCs w:val="24"/>
          <w:lang w:val="en-GB"/>
        </w:rPr>
        <w:t xml:space="preserve"> means "sweet." The portfolio of Mondelez International includes a variety of multibillion-dollar assets. Some of the most well-known brands include </w:t>
      </w:r>
      <w:proofErr w:type="spellStart"/>
      <w:r>
        <w:rPr>
          <w:rFonts w:ascii="Arial" w:eastAsia="Times New Roman" w:hAnsi="Arial" w:cs="Arial"/>
          <w:color w:val="000000"/>
          <w:kern w:val="24"/>
          <w:sz w:val="24"/>
          <w:szCs w:val="24"/>
          <w:lang w:val="en-GB"/>
        </w:rPr>
        <w:t>Belvita</w:t>
      </w:r>
      <w:proofErr w:type="spellEnd"/>
      <w:r>
        <w:rPr>
          <w:rFonts w:ascii="Arial" w:eastAsia="Times New Roman" w:hAnsi="Arial" w:cs="Arial"/>
          <w:color w:val="000000"/>
          <w:kern w:val="24"/>
          <w:sz w:val="24"/>
          <w:szCs w:val="24"/>
          <w:lang w:val="en-GB"/>
        </w:rPr>
        <w:t xml:space="preserve">, Chips </w:t>
      </w:r>
      <w:proofErr w:type="gramStart"/>
      <w:r>
        <w:rPr>
          <w:rFonts w:ascii="Arial" w:eastAsia="Times New Roman" w:hAnsi="Arial" w:cs="Arial"/>
          <w:color w:val="000000"/>
          <w:kern w:val="24"/>
          <w:sz w:val="24"/>
          <w:szCs w:val="24"/>
          <w:lang w:val="en-GB"/>
        </w:rPr>
        <w:t>Ahoy!,</w:t>
      </w:r>
      <w:proofErr w:type="gramEnd"/>
      <w:r>
        <w:rPr>
          <w:rFonts w:ascii="Arial" w:eastAsia="Times New Roman" w:hAnsi="Arial" w:cs="Arial"/>
          <w:color w:val="000000"/>
          <w:kern w:val="24"/>
          <w:sz w:val="24"/>
          <w:szCs w:val="24"/>
          <w:lang w:val="en-GB"/>
        </w:rPr>
        <w:t xml:space="preserve"> Oreo, Ritz, TUC, </w:t>
      </w:r>
      <w:proofErr w:type="spellStart"/>
      <w:r>
        <w:rPr>
          <w:rFonts w:ascii="Arial" w:eastAsia="Times New Roman" w:hAnsi="Arial" w:cs="Arial"/>
          <w:color w:val="000000"/>
          <w:kern w:val="24"/>
          <w:sz w:val="24"/>
          <w:szCs w:val="24"/>
          <w:lang w:val="en-GB"/>
        </w:rPr>
        <w:t>Triscuit</w:t>
      </w:r>
      <w:proofErr w:type="spellEnd"/>
      <w:r>
        <w:rPr>
          <w:rFonts w:ascii="Arial" w:eastAsia="Times New Roman" w:hAnsi="Arial" w:cs="Arial"/>
          <w:color w:val="000000"/>
          <w:kern w:val="24"/>
          <w:sz w:val="24"/>
          <w:szCs w:val="24"/>
          <w:lang w:val="en-GB"/>
        </w:rPr>
        <w:t xml:space="preserve">, LU, Club Social, Sour Patch Kids, Barny, and Peek. </w:t>
      </w:r>
      <w:proofErr w:type="spellStart"/>
      <w:r>
        <w:rPr>
          <w:rFonts w:ascii="Arial" w:eastAsia="Times New Roman" w:hAnsi="Arial" w:cs="Arial"/>
          <w:color w:val="000000"/>
          <w:kern w:val="24"/>
          <w:sz w:val="24"/>
          <w:szCs w:val="24"/>
          <w:lang w:val="en-GB"/>
        </w:rPr>
        <w:t>Milka</w:t>
      </w:r>
      <w:proofErr w:type="spellEnd"/>
      <w:r>
        <w:rPr>
          <w:rFonts w:ascii="Arial" w:eastAsia="Times New Roman" w:hAnsi="Arial" w:cs="Arial"/>
          <w:color w:val="000000"/>
          <w:kern w:val="24"/>
          <w:sz w:val="24"/>
          <w:szCs w:val="24"/>
          <w:lang w:val="en-GB"/>
        </w:rPr>
        <w:t xml:space="preserve">, Côte d'Or, Toblerone, Cadbury, Green &amp; Black's, Freia, Marabou, Fry's, and </w:t>
      </w:r>
      <w:proofErr w:type="spellStart"/>
      <w:r>
        <w:rPr>
          <w:rFonts w:ascii="Arial" w:eastAsia="Times New Roman" w:hAnsi="Arial" w:cs="Arial"/>
          <w:color w:val="000000"/>
          <w:kern w:val="24"/>
          <w:sz w:val="24"/>
          <w:szCs w:val="24"/>
          <w:lang w:val="en-GB"/>
        </w:rPr>
        <w:t>Lacta</w:t>
      </w:r>
      <w:proofErr w:type="spellEnd"/>
      <w:r>
        <w:rPr>
          <w:rFonts w:ascii="Arial" w:eastAsia="Times New Roman" w:hAnsi="Arial" w:cs="Arial"/>
          <w:color w:val="000000"/>
          <w:kern w:val="24"/>
          <w:sz w:val="24"/>
          <w:szCs w:val="24"/>
          <w:lang w:val="en-GB"/>
        </w:rPr>
        <w:t xml:space="preserve">. </w:t>
      </w:r>
    </w:p>
    <w:p w14:paraId="2D850002"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xml:space="preserve">The distinction between meals and snacks is becoming blurred around the world. Snacking, or reaching for a tasty bite to eat in between meals, is growing more common. There is, nevertheless, a global cultural gap. People prefer not to have to choose between good meals and snacks. Because of this, </w:t>
      </w:r>
      <w:proofErr w:type="spellStart"/>
      <w:r>
        <w:rPr>
          <w:rFonts w:ascii="Arial" w:eastAsia="Times New Roman" w:hAnsi="Arial" w:cs="Arial"/>
          <w:color w:val="000000"/>
          <w:kern w:val="24"/>
          <w:sz w:val="24"/>
          <w:szCs w:val="24"/>
          <w:lang w:val="en-GB"/>
        </w:rPr>
        <w:t>Mondelz</w:t>
      </w:r>
      <w:proofErr w:type="spellEnd"/>
      <w:r>
        <w:rPr>
          <w:rFonts w:ascii="Arial" w:eastAsia="Times New Roman" w:hAnsi="Arial" w:cs="Arial"/>
          <w:color w:val="000000"/>
          <w:kern w:val="24"/>
          <w:sz w:val="24"/>
          <w:szCs w:val="24"/>
          <w:lang w:val="en-GB"/>
        </w:rPr>
        <w:t xml:space="preserve"> International encourages consumers to have healthy snacks.</w:t>
      </w:r>
    </w:p>
    <w:p w14:paraId="625E1D93"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Mondelez International Inc's mission statement is a public document that defines the company's principles and strategic ambitions. Mondelez's mission statement, which emphasises the company's services and goods, clearly states why the company exists. In addition, Mondelez International Inc's operational aims, the firm's tactics to attain those goals, the target customer groups, and the company's location are all listed in the mission statement.</w:t>
      </w:r>
    </w:p>
    <w:p w14:paraId="4FA169DE"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proofErr w:type="spellStart"/>
      <w:r>
        <w:rPr>
          <w:rFonts w:ascii="Arial" w:eastAsia="Times New Roman" w:hAnsi="Arial" w:cs="Arial"/>
          <w:color w:val="000000"/>
          <w:kern w:val="24"/>
          <w:sz w:val="24"/>
          <w:szCs w:val="24"/>
          <w:lang w:val="en-GB"/>
        </w:rPr>
        <w:t>Moderez</w:t>
      </w:r>
      <w:proofErr w:type="spellEnd"/>
      <w:r>
        <w:rPr>
          <w:rFonts w:ascii="Arial" w:eastAsia="Times New Roman" w:hAnsi="Arial" w:cs="Arial"/>
          <w:color w:val="000000"/>
          <w:kern w:val="24"/>
          <w:sz w:val="24"/>
          <w:szCs w:val="24"/>
          <w:lang w:val="en-GB"/>
        </w:rPr>
        <w:t xml:space="preserve"> aspires to be the best snacking company globally, and they put their customers first in everything they do. They are focusing on driving growth by investing in both global and local legacy brands while keeping the needs of their customers in mind. In addition, they are putting new ideas and practices into action at all levels to serve their </w:t>
      </w:r>
      <w:r>
        <w:rPr>
          <w:rFonts w:ascii="Arial" w:eastAsia="Times New Roman" w:hAnsi="Arial" w:cs="Arial"/>
          <w:color w:val="000000"/>
          <w:kern w:val="24"/>
          <w:sz w:val="24"/>
          <w:szCs w:val="24"/>
          <w:lang w:val="en-GB"/>
        </w:rPr>
        <w:lastRenderedPageBreak/>
        <w:t>customers better, pushing growth in new channels and creating new and existing partnerships.</w:t>
      </w:r>
    </w:p>
    <w:p w14:paraId="7E673ED7"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Everything they do, from developing a world-class supply chain to achieving marketing and sales excellence, is based on continuous development. Moreover, their operational performance is dependent on our digital transformation: their broad culture and vast range of skills aids in identifying and facilitating future growth prospects.</w:t>
      </w:r>
    </w:p>
    <w:p w14:paraId="59E2AC19"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proofErr w:type="spellStart"/>
      <w:r>
        <w:rPr>
          <w:rFonts w:ascii="Arial" w:eastAsia="Times New Roman" w:hAnsi="Arial" w:cs="Arial"/>
          <w:color w:val="000000"/>
          <w:kern w:val="24"/>
          <w:sz w:val="24"/>
          <w:szCs w:val="24"/>
          <w:lang w:val="en-GB"/>
        </w:rPr>
        <w:t>Moderez</w:t>
      </w:r>
      <w:proofErr w:type="spellEnd"/>
      <w:r>
        <w:rPr>
          <w:rFonts w:ascii="Arial" w:eastAsia="Times New Roman" w:hAnsi="Arial" w:cs="Arial"/>
          <w:color w:val="000000"/>
          <w:kern w:val="24"/>
          <w:sz w:val="24"/>
          <w:szCs w:val="24"/>
          <w:lang w:val="en-GB"/>
        </w:rPr>
        <w:t xml:space="preserve"> helps them achieve their growth goals by empowering their local teams to develop and meet the snacking demands of their clients while also taking advantage of larger-scale opportunities. In addition, Mondelez International is committed to attracting and retaining a diverse and talented staff that will help the company expand more quickly and efficiently.</w:t>
      </w:r>
    </w:p>
    <w:p w14:paraId="67F12DCC" w14:textId="77777777" w:rsidR="00117BF9" w:rsidRDefault="00117BF9" w:rsidP="00117BF9">
      <w:pPr>
        <w:autoSpaceDE w:val="0"/>
        <w:autoSpaceDN w:val="0"/>
        <w:adjustRightInd w:val="0"/>
        <w:spacing w:after="0" w:line="240" w:lineRule="auto"/>
        <w:rPr>
          <w:rFonts w:ascii="Calibri" w:hAnsi="Calibri" w:cs="Calibri"/>
          <w:kern w:val="24"/>
          <w:sz w:val="24"/>
          <w:szCs w:val="24"/>
        </w:rPr>
      </w:pPr>
    </w:p>
    <w:p w14:paraId="2A76C879" w14:textId="77777777" w:rsidR="00117BF9" w:rsidRDefault="00117BF9" w:rsidP="00117BF9">
      <w:pPr>
        <w:autoSpaceDE w:val="0"/>
        <w:autoSpaceDN w:val="0"/>
        <w:adjustRightInd w:val="0"/>
        <w:spacing w:after="0" w:line="240" w:lineRule="auto"/>
        <w:rPr>
          <w:rFonts w:ascii="Arial" w:hAnsi="Arial" w:cs="Arial"/>
          <w:sz w:val="24"/>
          <w:szCs w:val="24"/>
        </w:rPr>
      </w:pPr>
    </w:p>
    <w:p w14:paraId="4C1851AC" w14:textId="5E391A62" w:rsidR="00117BF9" w:rsidRDefault="00117BF9" w:rsidP="00117BF9">
      <w:pPr>
        <w:spacing w:line="360" w:lineRule="auto"/>
        <w:jc w:val="center"/>
      </w:pPr>
      <w:r>
        <w:object w:dxaOrig="9600" w:dyaOrig="5401" w14:anchorId="27EBB4F1">
          <v:shape id="_x0000_i1043"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3" DrawAspect="Content" ObjectID="_1701251423" r:id="rId11"/>
        </w:object>
      </w:r>
    </w:p>
    <w:p w14:paraId="4FB609D4" w14:textId="15A3D6E5" w:rsidR="00117BF9" w:rsidRDefault="00117BF9" w:rsidP="00117BF9">
      <w:pPr>
        <w:spacing w:line="360" w:lineRule="auto"/>
        <w:jc w:val="center"/>
      </w:pPr>
    </w:p>
    <w:p w14:paraId="7391F22B"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Human resource management is a systematic, detailed, and consistent approach to the employment, growth, and well-being of people in businesses (Armstrong, 2016).</w:t>
      </w:r>
    </w:p>
    <w:p w14:paraId="41045C33"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The process by which a company's leadership trains and develops its people to meet the firm's human performance goals is known as human resource management (Boxall and Purcell, 2016).</w:t>
      </w:r>
    </w:p>
    <w:p w14:paraId="5F51DEAD"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Human resource management is a systematic, detailed, and consistent approach to the employment, growth, and well-being of people in businesses (Armstrong, 2016:7). The process by which a company's leadership trains and develops its people to meet the firm's human performance goals is known as human resource management (Boxall and Purcell 2016).</w:t>
      </w:r>
    </w:p>
    <w:p w14:paraId="62D87DFE"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xml:space="preserve">Human resource management has traditionally been centred on a managerial and commercial mindset. While the interests of the organization's members are recognised, they are subordinated to the organization's goals. </w:t>
      </w:r>
      <w:proofErr w:type="spellStart"/>
      <w:r>
        <w:rPr>
          <w:rFonts w:ascii="Arial" w:eastAsia="Times New Roman" w:hAnsi="Arial" w:cs="Arial"/>
          <w:color w:val="000000"/>
          <w:kern w:val="24"/>
          <w:sz w:val="24"/>
          <w:szCs w:val="24"/>
          <w:lang w:val="en-GB"/>
        </w:rPr>
        <w:t>HRM</w:t>
      </w:r>
      <w:proofErr w:type="spellEnd"/>
      <w:r>
        <w:rPr>
          <w:rFonts w:ascii="Arial" w:eastAsia="Times New Roman" w:hAnsi="Arial" w:cs="Arial"/>
          <w:color w:val="000000"/>
          <w:kern w:val="24"/>
          <w:sz w:val="24"/>
          <w:szCs w:val="24"/>
          <w:lang w:val="en-GB"/>
        </w:rPr>
        <w:t xml:space="preserve"> theory in this field, on the other hand, is changing. While </w:t>
      </w:r>
      <w:proofErr w:type="gramStart"/>
      <w:r>
        <w:rPr>
          <w:rFonts w:ascii="Arial" w:eastAsia="Times New Roman" w:hAnsi="Arial" w:cs="Arial"/>
          <w:color w:val="000000"/>
          <w:kern w:val="24"/>
          <w:sz w:val="24"/>
          <w:szCs w:val="24"/>
          <w:lang w:val="en-GB"/>
        </w:rPr>
        <w:t>it is clear that HR</w:t>
      </w:r>
      <w:proofErr w:type="gramEnd"/>
      <w:r>
        <w:rPr>
          <w:rFonts w:ascii="Arial" w:eastAsia="Times New Roman" w:hAnsi="Arial" w:cs="Arial"/>
          <w:color w:val="000000"/>
          <w:kern w:val="24"/>
          <w:sz w:val="24"/>
          <w:szCs w:val="24"/>
          <w:lang w:val="en-GB"/>
        </w:rPr>
        <w:t xml:space="preserve"> is critical to accomplishing organisational goals, there is a growing recognition that </w:t>
      </w:r>
      <w:proofErr w:type="spellStart"/>
      <w:r>
        <w:rPr>
          <w:rFonts w:ascii="Arial" w:eastAsia="Times New Roman" w:hAnsi="Arial" w:cs="Arial"/>
          <w:color w:val="000000"/>
          <w:kern w:val="24"/>
          <w:sz w:val="24"/>
          <w:szCs w:val="24"/>
          <w:lang w:val="en-GB"/>
        </w:rPr>
        <w:t>HRM</w:t>
      </w:r>
      <w:proofErr w:type="spellEnd"/>
      <w:r>
        <w:rPr>
          <w:rFonts w:ascii="Arial" w:eastAsia="Times New Roman" w:hAnsi="Arial" w:cs="Arial"/>
          <w:color w:val="000000"/>
          <w:kern w:val="24"/>
          <w:sz w:val="24"/>
          <w:szCs w:val="24"/>
          <w:lang w:val="en-GB"/>
        </w:rPr>
        <w:t xml:space="preserve"> requires more. HR</w:t>
      </w:r>
      <w:proofErr w:type="gramStart"/>
      <w:r>
        <w:rPr>
          <w:rFonts w:ascii="Arial" w:eastAsia="Times New Roman" w:hAnsi="Arial" w:cs="Arial"/>
          <w:color w:val="000000"/>
          <w:kern w:val="24"/>
          <w:sz w:val="24"/>
          <w:szCs w:val="24"/>
          <w:lang w:val="en-GB"/>
        </w:rPr>
        <w:t>, in particular, must</w:t>
      </w:r>
      <w:proofErr w:type="gramEnd"/>
      <w:r>
        <w:rPr>
          <w:rFonts w:ascii="Arial" w:eastAsia="Times New Roman" w:hAnsi="Arial" w:cs="Arial"/>
          <w:color w:val="000000"/>
          <w:kern w:val="24"/>
          <w:sz w:val="24"/>
          <w:szCs w:val="24"/>
          <w:lang w:val="en-GB"/>
        </w:rPr>
        <w:t xml:space="preserve"> </w:t>
      </w:r>
      <w:r>
        <w:rPr>
          <w:rFonts w:ascii="Arial" w:eastAsia="Times New Roman" w:hAnsi="Arial" w:cs="Arial"/>
          <w:color w:val="000000"/>
          <w:kern w:val="24"/>
          <w:sz w:val="24"/>
          <w:szCs w:val="24"/>
          <w:lang w:val="en-GB"/>
        </w:rPr>
        <w:lastRenderedPageBreak/>
        <w:t>consider all stakeholders' interests and the principles and standards that society expects to be upheld at work.</w:t>
      </w:r>
    </w:p>
    <w:p w14:paraId="26666FBD"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w:t>
      </w:r>
    </w:p>
    <w:p w14:paraId="42D95FCE"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xml:space="preserve">According to Armstrong and Taylor (2015), </w:t>
      </w:r>
      <w:proofErr w:type="spellStart"/>
      <w:r>
        <w:rPr>
          <w:rFonts w:ascii="Arial" w:eastAsia="Times New Roman" w:hAnsi="Arial" w:cs="Arial"/>
          <w:color w:val="000000"/>
          <w:kern w:val="24"/>
          <w:sz w:val="24"/>
          <w:szCs w:val="24"/>
          <w:lang w:val="en-GB"/>
        </w:rPr>
        <w:t>HRM's</w:t>
      </w:r>
      <w:proofErr w:type="spellEnd"/>
      <w:r>
        <w:rPr>
          <w:rFonts w:ascii="Arial" w:eastAsia="Times New Roman" w:hAnsi="Arial" w:cs="Arial"/>
          <w:color w:val="000000"/>
          <w:kern w:val="24"/>
          <w:sz w:val="24"/>
          <w:szCs w:val="24"/>
          <w:lang w:val="en-GB"/>
        </w:rPr>
        <w:t xml:space="preserve"> aims are to</w:t>
      </w:r>
    </w:p>
    <w:p w14:paraId="283D39E1"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xml:space="preserve"> • Assist the organisation in accomplishing its goals by designing and implementing HR strategies in line with business strategy.</w:t>
      </w:r>
    </w:p>
    <w:p w14:paraId="4FE2309F"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Assist in the creation of a high-performance culture.</w:t>
      </w:r>
    </w:p>
    <w:p w14:paraId="33703355"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Ensure that the organisation has the talent, skills, and engagement required.</w:t>
      </w:r>
    </w:p>
    <w:p w14:paraId="726E091C"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Create a positive working environment for management and employees and a climate of mutual trust.</w:t>
      </w:r>
    </w:p>
    <w:p w14:paraId="02607116"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Encourage the use of an ethical approach to human resource management.</w:t>
      </w:r>
    </w:p>
    <w:p w14:paraId="48DEFA7C" w14:textId="77777777" w:rsidR="00117BF9" w:rsidRDefault="00117BF9" w:rsidP="00117BF9">
      <w:pPr>
        <w:autoSpaceDE w:val="0"/>
        <w:autoSpaceDN w:val="0"/>
        <w:adjustRightInd w:val="0"/>
        <w:spacing w:after="0" w:line="240" w:lineRule="auto"/>
        <w:rPr>
          <w:rFonts w:ascii="Calibri" w:hAnsi="Calibri" w:cs="Calibri"/>
          <w:kern w:val="24"/>
          <w:sz w:val="24"/>
          <w:szCs w:val="24"/>
        </w:rPr>
      </w:pPr>
    </w:p>
    <w:p w14:paraId="2D3C484F" w14:textId="77777777" w:rsidR="00117BF9" w:rsidRDefault="00117BF9" w:rsidP="00117BF9">
      <w:pPr>
        <w:autoSpaceDE w:val="0"/>
        <w:autoSpaceDN w:val="0"/>
        <w:adjustRightInd w:val="0"/>
        <w:spacing w:after="0" w:line="240" w:lineRule="auto"/>
        <w:rPr>
          <w:rFonts w:ascii="Arial" w:hAnsi="Arial" w:cs="Arial"/>
          <w:sz w:val="24"/>
          <w:szCs w:val="24"/>
        </w:rPr>
      </w:pPr>
    </w:p>
    <w:p w14:paraId="27CFE169" w14:textId="413139C9" w:rsidR="00117BF9" w:rsidRDefault="00117BF9" w:rsidP="00117BF9">
      <w:pPr>
        <w:spacing w:line="360" w:lineRule="auto"/>
        <w:jc w:val="center"/>
      </w:pPr>
      <w:r>
        <w:object w:dxaOrig="9600" w:dyaOrig="5401" w14:anchorId="47029690">
          <v:shape id="_x0000_i1049"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9" DrawAspect="Content" ObjectID="_1701251424" r:id="rId13"/>
        </w:object>
      </w:r>
    </w:p>
    <w:p w14:paraId="1882AD09" w14:textId="68350404" w:rsidR="00117BF9" w:rsidRDefault="00117BF9" w:rsidP="00117BF9">
      <w:pPr>
        <w:spacing w:line="360" w:lineRule="auto"/>
        <w:jc w:val="center"/>
      </w:pPr>
    </w:p>
    <w:p w14:paraId="5F5833DA"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proofErr w:type="spellStart"/>
      <w:r>
        <w:rPr>
          <w:rFonts w:ascii="Arial" w:eastAsia="Times New Roman" w:hAnsi="Arial" w:cs="Arial"/>
          <w:color w:val="000000"/>
          <w:kern w:val="24"/>
          <w:sz w:val="24"/>
          <w:szCs w:val="24"/>
          <w:lang w:val="en-GB"/>
        </w:rPr>
        <w:t>Monderez</w:t>
      </w:r>
      <w:proofErr w:type="spellEnd"/>
      <w:r>
        <w:rPr>
          <w:rFonts w:ascii="Arial" w:eastAsia="Times New Roman" w:hAnsi="Arial" w:cs="Arial"/>
          <w:color w:val="000000"/>
          <w:kern w:val="24"/>
          <w:sz w:val="24"/>
          <w:szCs w:val="24"/>
          <w:lang w:val="en-GB"/>
        </w:rPr>
        <w:t xml:space="preserve"> International is working on a variety of important projects. HR's six primary responsibilities include recruitment, workplace safety, employee relations, compensation planning, labour law compliance, and training.</w:t>
      </w:r>
    </w:p>
    <w:p w14:paraId="55CA212A"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w:t>
      </w:r>
    </w:p>
    <w:p w14:paraId="46672279"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Choosing the Most Qualified Candidates for the Job</w:t>
      </w:r>
    </w:p>
    <w:p w14:paraId="7DA24A1B"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A recruiter's or employment specialist's performance is measured by the number of positions filled and the time it takes to fill those positions. In-house recruiters are critical to an organization's people growth instead of organisations that provide recruiting and staffing services. They advertise job openings, screen candidates, conduct preliminary interviews, and collaborate on final candidate selection with hiring managers.</w:t>
      </w:r>
    </w:p>
    <w:p w14:paraId="5601D8F4"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w:t>
      </w:r>
    </w:p>
    <w:p w14:paraId="1FECFF41"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Protection of the environment</w:t>
      </w:r>
    </w:p>
    <w:p w14:paraId="620928B1"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xml:space="preserve">It is impossible to overestimate the importance of workplace safety. The Occupational Safety and Health Act of 1970 requires employers to provide a safe working environment for their employees. HR's main tasks include assisting with workplace safety training and keeping legally necessary logs for reporting workplace injuries and fatalities. </w:t>
      </w:r>
      <w:proofErr w:type="gramStart"/>
      <w:r>
        <w:rPr>
          <w:rFonts w:ascii="Arial" w:eastAsia="Times New Roman" w:hAnsi="Arial" w:cs="Arial"/>
          <w:color w:val="000000"/>
          <w:kern w:val="24"/>
          <w:sz w:val="24"/>
          <w:szCs w:val="24"/>
          <w:lang w:val="en-GB"/>
        </w:rPr>
        <w:t>In order to</w:t>
      </w:r>
      <w:proofErr w:type="gramEnd"/>
      <w:r>
        <w:rPr>
          <w:rFonts w:ascii="Arial" w:eastAsia="Times New Roman" w:hAnsi="Arial" w:cs="Arial"/>
          <w:color w:val="000000"/>
          <w:kern w:val="24"/>
          <w:sz w:val="24"/>
          <w:szCs w:val="24"/>
          <w:lang w:val="en-GB"/>
        </w:rPr>
        <w:t xml:space="preserve"> </w:t>
      </w:r>
      <w:r>
        <w:rPr>
          <w:rFonts w:ascii="Arial" w:eastAsia="Times New Roman" w:hAnsi="Arial" w:cs="Arial"/>
          <w:color w:val="000000"/>
          <w:kern w:val="24"/>
          <w:sz w:val="24"/>
          <w:szCs w:val="24"/>
          <w:lang w:val="en-GB"/>
        </w:rPr>
        <w:lastRenderedPageBreak/>
        <w:t>handle the company's workers compensation issues, HR safety and risk professionals engage with HR benefits specialists regularly.</w:t>
      </w:r>
    </w:p>
    <w:p w14:paraId="146B0477"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w:t>
      </w:r>
    </w:p>
    <w:p w14:paraId="68970DDD"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Employer-employee relationships are essential.</w:t>
      </w:r>
    </w:p>
    <w:p w14:paraId="05FBBFD0" w14:textId="77777777" w:rsidR="00117BF9" w:rsidRDefault="00117BF9" w:rsidP="00117BF9">
      <w:pPr>
        <w:autoSpaceDE w:val="0"/>
        <w:autoSpaceDN w:val="0"/>
        <w:adjustRightInd w:val="0"/>
        <w:spacing w:after="0" w:line="240" w:lineRule="auto"/>
        <w:rPr>
          <w:rFonts w:ascii="Calibri" w:hAnsi="Calibri" w:cs="Calibri"/>
          <w:kern w:val="24"/>
          <w:sz w:val="24"/>
          <w:szCs w:val="24"/>
        </w:rPr>
      </w:pPr>
      <w:r>
        <w:rPr>
          <w:rFonts w:ascii="Arial" w:eastAsia="Times New Roman" w:hAnsi="Arial" w:cs="Arial"/>
          <w:color w:val="000000"/>
          <w:kern w:val="24"/>
          <w:sz w:val="24"/>
          <w:szCs w:val="24"/>
          <w:lang w:val="en-GB"/>
        </w:rPr>
        <w:t xml:space="preserve">Employee and labour relations operations in </w:t>
      </w:r>
      <w:proofErr w:type="gramStart"/>
      <w:r>
        <w:rPr>
          <w:rFonts w:ascii="Arial" w:eastAsia="Times New Roman" w:hAnsi="Arial" w:cs="Arial"/>
          <w:color w:val="000000"/>
          <w:kern w:val="24"/>
          <w:sz w:val="24"/>
          <w:szCs w:val="24"/>
          <w:lang w:val="en-GB"/>
        </w:rPr>
        <w:t>an</w:t>
      </w:r>
      <w:proofErr w:type="gramEnd"/>
      <w:r>
        <w:rPr>
          <w:rFonts w:ascii="Arial" w:eastAsia="Times New Roman" w:hAnsi="Arial" w:cs="Arial"/>
          <w:color w:val="000000"/>
          <w:kern w:val="24"/>
          <w:sz w:val="24"/>
          <w:szCs w:val="24"/>
          <w:lang w:val="en-GB"/>
        </w:rPr>
        <w:t xml:space="preserve"> unionised firm may be combined and directed by one person or two HR experts with specialised knowledge in each sector. In order to strengthen the employer-employee connection, employee relations </w:t>
      </w:r>
      <w:proofErr w:type="gramStart"/>
      <w:r>
        <w:rPr>
          <w:rFonts w:ascii="Arial" w:eastAsia="Times New Roman" w:hAnsi="Arial" w:cs="Arial"/>
          <w:color w:val="000000"/>
          <w:kern w:val="24"/>
          <w:sz w:val="24"/>
          <w:szCs w:val="24"/>
          <w:lang w:val="en-GB"/>
        </w:rPr>
        <w:t>is</w:t>
      </w:r>
      <w:proofErr w:type="gramEnd"/>
      <w:r>
        <w:rPr>
          <w:rFonts w:ascii="Arial" w:eastAsia="Times New Roman" w:hAnsi="Arial" w:cs="Arial"/>
          <w:color w:val="000000"/>
          <w:kern w:val="24"/>
          <w:sz w:val="24"/>
          <w:szCs w:val="24"/>
          <w:lang w:val="en-GB"/>
        </w:rPr>
        <w:t xml:space="preserve"> a department of human resources that analyses job satisfaction, employee engagement, and workplace conflict resolution. In addition, labour relations activities include developing management responses to union organising drives, drafting collective bargaining agreements, and providing interpretations of labour union contract disputes</w:t>
      </w:r>
    </w:p>
    <w:p w14:paraId="2F7DA94B" w14:textId="241074B6" w:rsidR="00117BF9" w:rsidRDefault="00117BF9" w:rsidP="00117BF9">
      <w:pPr>
        <w:spacing w:line="360" w:lineRule="auto"/>
      </w:pPr>
    </w:p>
    <w:p w14:paraId="2A0819ED" w14:textId="13D7757D" w:rsidR="00117BF9" w:rsidRDefault="00117BF9" w:rsidP="00117BF9">
      <w:pPr>
        <w:spacing w:line="360" w:lineRule="auto"/>
      </w:pPr>
    </w:p>
    <w:p w14:paraId="4BC2EE76" w14:textId="7BB65A98" w:rsidR="00117BF9" w:rsidRDefault="00117BF9" w:rsidP="00117BF9">
      <w:pPr>
        <w:spacing w:line="360" w:lineRule="auto"/>
        <w:jc w:val="center"/>
      </w:pPr>
      <w:r>
        <w:object w:dxaOrig="9600" w:dyaOrig="5401" w14:anchorId="3C19BE6E">
          <v:shape id="_x0000_i1055"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5" DrawAspect="Content" ObjectID="_1701251425" r:id="rId15"/>
        </w:object>
      </w:r>
    </w:p>
    <w:p w14:paraId="1DBE698A" w14:textId="2CE39166" w:rsidR="00117BF9" w:rsidRDefault="00117BF9" w:rsidP="00117BF9">
      <w:pPr>
        <w:spacing w:line="360" w:lineRule="auto"/>
        <w:jc w:val="center"/>
      </w:pPr>
    </w:p>
    <w:p w14:paraId="14B189F0"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Compensation and Benefits</w:t>
      </w:r>
    </w:p>
    <w:p w14:paraId="7A058B9C"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A single HR professional with dual specialisation often handles employee and labour relations and salary and benefits. HR is responsible for creating compensation structures and analysing competitive pay practices in terms of remuneration. A pay and benefits specialist may also collaborate with a retirement savings plan administrator to coordinate operations and negotiate group health insurance pricing with insurers. Although payroll can be included in HR's compensation and benefits area, many businesses outsource administrative responsibilities such as payroll.</w:t>
      </w:r>
    </w:p>
    <w:p w14:paraId="41C9CE31"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w:t>
      </w:r>
    </w:p>
    <w:p w14:paraId="75F804A4"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At all times, labour regulations must be followed.</w:t>
      </w:r>
    </w:p>
    <w:p w14:paraId="46D6F56C"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xml:space="preserve">Compliance with labour and employment laws is a critical HR obligation. Noncompliance can result in workplace complaints about unfair labour practices, hazardous working conditions, and general dissatisfaction, all of which can reduce productivity and, ultimately, profitability. Therefore, human resource professionals must know various </w:t>
      </w:r>
      <w:r>
        <w:rPr>
          <w:rFonts w:ascii="Arial" w:eastAsia="Times New Roman" w:hAnsi="Arial" w:cs="Arial"/>
          <w:color w:val="000000"/>
          <w:kern w:val="24"/>
          <w:sz w:val="24"/>
          <w:szCs w:val="24"/>
          <w:lang w:val="en-GB"/>
        </w:rPr>
        <w:lastRenderedPageBreak/>
        <w:t xml:space="preserve">federal and state employment laws, including Title VII of the Civil Rights Act, the Fair </w:t>
      </w:r>
      <w:proofErr w:type="spellStart"/>
      <w:r>
        <w:rPr>
          <w:rFonts w:ascii="Arial" w:eastAsia="Times New Roman" w:hAnsi="Arial" w:cs="Arial"/>
          <w:color w:val="000000"/>
          <w:kern w:val="24"/>
          <w:sz w:val="24"/>
          <w:szCs w:val="24"/>
          <w:lang w:val="en-GB"/>
        </w:rPr>
        <w:t>Labor</w:t>
      </w:r>
      <w:proofErr w:type="spellEnd"/>
      <w:r>
        <w:rPr>
          <w:rFonts w:ascii="Arial" w:eastAsia="Times New Roman" w:hAnsi="Arial" w:cs="Arial"/>
          <w:color w:val="000000"/>
          <w:kern w:val="24"/>
          <w:sz w:val="24"/>
          <w:szCs w:val="24"/>
          <w:lang w:val="en-GB"/>
        </w:rPr>
        <w:t xml:space="preserve"> Standards Act, the National </w:t>
      </w:r>
      <w:proofErr w:type="spellStart"/>
      <w:r>
        <w:rPr>
          <w:rFonts w:ascii="Arial" w:eastAsia="Times New Roman" w:hAnsi="Arial" w:cs="Arial"/>
          <w:color w:val="000000"/>
          <w:kern w:val="24"/>
          <w:sz w:val="24"/>
          <w:szCs w:val="24"/>
          <w:lang w:val="en-GB"/>
        </w:rPr>
        <w:t>Labor</w:t>
      </w:r>
      <w:proofErr w:type="spellEnd"/>
      <w:r>
        <w:rPr>
          <w:rFonts w:ascii="Arial" w:eastAsia="Times New Roman" w:hAnsi="Arial" w:cs="Arial"/>
          <w:color w:val="000000"/>
          <w:kern w:val="24"/>
          <w:sz w:val="24"/>
          <w:szCs w:val="24"/>
          <w:lang w:val="en-GB"/>
        </w:rPr>
        <w:t xml:space="preserve"> Relations Act, and others.</w:t>
      </w:r>
    </w:p>
    <w:p w14:paraId="3F92152A"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w:t>
      </w:r>
    </w:p>
    <w:p w14:paraId="6242B96F"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Training and Development</w:t>
      </w:r>
    </w:p>
    <w:p w14:paraId="34D0B49C"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Employers must provide employees with the skills they need to succeed, including full orientation training to help new hires adjust to their new work environment. Specific human resources departments also provide leadership development and training. Supervisors and managers who are newly hired or promoted may be required to complete leadership training on performance management and dealing with employee relations issues at the department level.</w:t>
      </w:r>
    </w:p>
    <w:p w14:paraId="45ADA3FB"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w:t>
      </w:r>
    </w:p>
    <w:p w14:paraId="3178AFD2"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Employees who want to advance their jobs or achieve personal goals like getting a college education might benefit from professional development programmes. The HR training and development department regularly deals with tuition assistance and tuition reimbursement plans.</w:t>
      </w:r>
    </w:p>
    <w:p w14:paraId="49C2625E" w14:textId="37F35E4E" w:rsidR="00117BF9" w:rsidRDefault="00117BF9" w:rsidP="00117BF9">
      <w:pPr>
        <w:autoSpaceDE w:val="0"/>
        <w:autoSpaceDN w:val="0"/>
        <w:adjustRightInd w:val="0"/>
        <w:spacing w:after="0" w:line="240" w:lineRule="auto"/>
      </w:pPr>
      <w:r>
        <w:rPr>
          <w:rFonts w:ascii="Arial" w:eastAsia="Times New Roman" w:hAnsi="Arial" w:cs="Arial"/>
          <w:color w:val="000000"/>
          <w:kern w:val="24"/>
          <w:sz w:val="24"/>
          <w:szCs w:val="24"/>
          <w:lang w:val="en-GB"/>
        </w:rPr>
        <w:t> </w:t>
      </w:r>
    </w:p>
    <w:p w14:paraId="7E93B363" w14:textId="62691842" w:rsidR="00117BF9" w:rsidRDefault="00117BF9" w:rsidP="00117BF9">
      <w:pPr>
        <w:spacing w:line="360" w:lineRule="auto"/>
        <w:jc w:val="center"/>
      </w:pPr>
      <w:r>
        <w:object w:dxaOrig="9600" w:dyaOrig="5401" w14:anchorId="63782E27">
          <v:shape id="_x0000_i1061" type="#_x0000_t75" style="width:5in;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61" DrawAspect="Content" ObjectID="_1701251426" r:id="rId17"/>
        </w:object>
      </w:r>
    </w:p>
    <w:p w14:paraId="74D492CF" w14:textId="1A11128D" w:rsidR="00117BF9" w:rsidRDefault="00117BF9" w:rsidP="00117BF9">
      <w:pPr>
        <w:spacing w:line="360" w:lineRule="auto"/>
        <w:jc w:val="center"/>
      </w:pPr>
    </w:p>
    <w:p w14:paraId="61F40046"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xml:space="preserve">The goals of </w:t>
      </w:r>
      <w:proofErr w:type="spellStart"/>
      <w:r>
        <w:rPr>
          <w:rFonts w:ascii="Arial" w:eastAsia="Times New Roman" w:hAnsi="Arial" w:cs="Arial"/>
          <w:color w:val="000000"/>
          <w:kern w:val="24"/>
          <w:sz w:val="24"/>
          <w:szCs w:val="24"/>
          <w:lang w:val="en-GB"/>
        </w:rPr>
        <w:t>Monderez</w:t>
      </w:r>
      <w:proofErr w:type="spellEnd"/>
      <w:r>
        <w:rPr>
          <w:rFonts w:ascii="Arial" w:eastAsia="Times New Roman" w:hAnsi="Arial" w:cs="Arial"/>
          <w:color w:val="000000"/>
          <w:kern w:val="24"/>
          <w:sz w:val="24"/>
          <w:szCs w:val="24"/>
          <w:lang w:val="en-GB"/>
        </w:rPr>
        <w:t xml:space="preserve"> Human Resources are to: </w:t>
      </w:r>
    </w:p>
    <w:p w14:paraId="68BB73E4"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1. Identify the appropriate people for the right jobs at the right time. None of those mentioned above strategic objectives can be achieved unless the right people are in the right places at the right times, doing the right jobs. Therefore, the company must recruit the right people at the right time for the right tasks.</w:t>
      </w:r>
    </w:p>
    <w:p w14:paraId="7A59D255"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 xml:space="preserve">2. Retrain the most (or at least more), appropriate employees in the organisation (who achieve desired results). After a while has passed, </w:t>
      </w:r>
      <w:proofErr w:type="gramStart"/>
      <w:r>
        <w:rPr>
          <w:rFonts w:ascii="Arial" w:eastAsia="Times New Roman" w:hAnsi="Arial" w:cs="Arial"/>
          <w:color w:val="000000"/>
          <w:kern w:val="24"/>
          <w:sz w:val="24"/>
          <w:szCs w:val="24"/>
          <w:lang w:val="en-GB"/>
        </w:rPr>
        <w:t>all of</w:t>
      </w:r>
      <w:proofErr w:type="gramEnd"/>
      <w:r>
        <w:rPr>
          <w:rFonts w:ascii="Arial" w:eastAsia="Times New Roman" w:hAnsi="Arial" w:cs="Arial"/>
          <w:color w:val="000000"/>
          <w:kern w:val="24"/>
          <w:sz w:val="24"/>
          <w:szCs w:val="24"/>
          <w:lang w:val="en-GB"/>
        </w:rPr>
        <w:t xml:space="preserve"> the persons employed at the start of the job may no longer be the best performers. Employees who are unproductive or bad at their jobs will not be retained by a firm that wants to grow and advance, and they may be forced to leave. Of course, until that time arrives, the organisation must continue to hire the most qualified employees who excel at their jobs (ideally until they retire). </w:t>
      </w:r>
    </w:p>
    <w:p w14:paraId="62E70548"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lastRenderedPageBreak/>
        <w:t>3. Increase employee loyalty to the company and keep it there. Organizational commitment is defined as the proportional strength of an individual's affiliation and involvement in a particular organisation (</w:t>
      </w:r>
      <w:proofErr w:type="spellStart"/>
      <w:r>
        <w:rPr>
          <w:rFonts w:ascii="Arial" w:eastAsia="Times New Roman" w:hAnsi="Arial" w:cs="Arial"/>
          <w:color w:val="000000"/>
          <w:kern w:val="24"/>
          <w:sz w:val="24"/>
          <w:szCs w:val="24"/>
          <w:lang w:val="en-GB"/>
        </w:rPr>
        <w:t>Keliman</w:t>
      </w:r>
      <w:proofErr w:type="spellEnd"/>
      <w:r>
        <w:rPr>
          <w:rFonts w:ascii="Arial" w:eastAsia="Times New Roman" w:hAnsi="Arial" w:cs="Arial"/>
          <w:color w:val="000000"/>
          <w:kern w:val="24"/>
          <w:sz w:val="24"/>
          <w:szCs w:val="24"/>
          <w:lang w:val="en-GB"/>
        </w:rPr>
        <w:t>, 2000). When a person is passionate about his or her work, he or she becomes emotionally invested in and identifies with the organisation.</w:t>
      </w:r>
    </w:p>
    <w:p w14:paraId="53C2857B" w14:textId="77777777" w:rsidR="00117BF9" w:rsidRDefault="00117BF9" w:rsidP="00117BF9">
      <w:pPr>
        <w:autoSpaceDE w:val="0"/>
        <w:autoSpaceDN w:val="0"/>
        <w:adjustRightInd w:val="0"/>
        <w:spacing w:after="0" w:line="240" w:lineRule="auto"/>
        <w:rPr>
          <w:rFonts w:ascii="Arial" w:eastAsia="Times New Roman" w:hAnsi="Arial" w:cs="Arial"/>
          <w:color w:val="000000"/>
          <w:kern w:val="24"/>
          <w:sz w:val="24"/>
          <w:szCs w:val="24"/>
          <w:lang w:val="en-GB"/>
        </w:rPr>
      </w:pPr>
      <w:r>
        <w:rPr>
          <w:rFonts w:ascii="Arial" w:eastAsia="Times New Roman" w:hAnsi="Arial" w:cs="Arial"/>
          <w:color w:val="000000"/>
          <w:kern w:val="24"/>
          <w:sz w:val="24"/>
          <w:szCs w:val="24"/>
          <w:lang w:val="en-GB"/>
        </w:rPr>
        <w:t>4. Encourage employee participation and corporate citizenship at work. Job participation is defined as the degree to which a person chooses to participate in a specific employment experience, believes the job to be a basic life interest, and considers the job significant to his or her self-concept (Dunham, 1984).</w:t>
      </w:r>
    </w:p>
    <w:p w14:paraId="68878FDB"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5. Maintaining employee motivation. Employee motivation is defined as a person's willingness to put up the effort necessary to complete a task successfully (</w:t>
      </w:r>
      <w:proofErr w:type="spellStart"/>
      <w:r>
        <w:rPr>
          <w:rFonts w:ascii="Arial" w:eastAsia="Times New Roman" w:hAnsi="Arial" w:cs="Arial"/>
          <w:color w:val="000000"/>
          <w:kern w:val="24"/>
          <w:sz w:val="24"/>
          <w:szCs w:val="24"/>
          <w:lang w:val="en-GB"/>
        </w:rPr>
        <w:t>Keliman</w:t>
      </w:r>
      <w:proofErr w:type="spellEnd"/>
      <w:r>
        <w:rPr>
          <w:rFonts w:ascii="Arial" w:eastAsia="Times New Roman" w:hAnsi="Arial" w:cs="Arial"/>
          <w:color w:val="000000"/>
          <w:kern w:val="24"/>
          <w:sz w:val="24"/>
          <w:szCs w:val="24"/>
          <w:lang w:val="en-GB"/>
        </w:rPr>
        <w:t xml:space="preserve">, 2000). </w:t>
      </w:r>
      <w:proofErr w:type="spellStart"/>
      <w:r>
        <w:rPr>
          <w:rFonts w:ascii="Arial" w:eastAsia="Times New Roman" w:hAnsi="Arial" w:cs="Arial"/>
          <w:color w:val="000000"/>
          <w:kern w:val="24"/>
          <w:sz w:val="24"/>
          <w:szCs w:val="24"/>
          <w:lang w:val="en-GB"/>
        </w:rPr>
        <w:t>HRM</w:t>
      </w:r>
      <w:proofErr w:type="spellEnd"/>
      <w:r>
        <w:rPr>
          <w:rFonts w:ascii="Arial" w:eastAsia="Times New Roman" w:hAnsi="Arial" w:cs="Arial"/>
          <w:color w:val="000000"/>
          <w:kern w:val="24"/>
          <w:sz w:val="24"/>
          <w:szCs w:val="24"/>
          <w:lang w:val="en-GB"/>
        </w:rPr>
        <w:t xml:space="preserve"> </w:t>
      </w:r>
      <w:proofErr w:type="gramStart"/>
      <w:r>
        <w:rPr>
          <w:rFonts w:ascii="Arial" w:eastAsia="Times New Roman" w:hAnsi="Arial" w:cs="Arial"/>
          <w:color w:val="000000"/>
          <w:kern w:val="24"/>
          <w:sz w:val="24"/>
          <w:szCs w:val="24"/>
          <w:lang w:val="en-GB"/>
        </w:rPr>
        <w:t>is in charge of</w:t>
      </w:r>
      <w:proofErr w:type="gramEnd"/>
      <w:r>
        <w:rPr>
          <w:rFonts w:ascii="Arial" w:eastAsia="Times New Roman" w:hAnsi="Arial" w:cs="Arial"/>
          <w:color w:val="000000"/>
          <w:kern w:val="24"/>
          <w:sz w:val="24"/>
          <w:szCs w:val="24"/>
          <w:lang w:val="en-GB"/>
        </w:rPr>
        <w:t xml:space="preserve"> inspiring staff to execute tasks on time and efficiently.</w:t>
      </w:r>
    </w:p>
    <w:p w14:paraId="33A6AC09"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6. Job satisfaction among employees should be improved. Job satisfaction is the level of delight with which a person completes his or her work. A high level of job satisfaction is likely if an employee is content with their employment because it meets their requirements and wants. Human resource management aims to make employees satisfied in their jobs.</w:t>
      </w:r>
    </w:p>
    <w:p w14:paraId="1C22A931"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r>
        <w:rPr>
          <w:rFonts w:ascii="Arial" w:eastAsia="Times New Roman" w:hAnsi="Arial" w:cs="Arial"/>
          <w:color w:val="000000"/>
          <w:kern w:val="24"/>
          <w:sz w:val="24"/>
          <w:szCs w:val="24"/>
          <w:lang w:val="en-GB"/>
        </w:rPr>
        <w:t>7. Keeping a close check on employee costs. Employee compensation, benefits, and incentives, among other things, will need a large financial outlay. Individual recruiting costs account for a sizable portion of a company's total operational costs. Therefore, it is critical not to underestimate or overestimate the cost of their project.</w:t>
      </w:r>
    </w:p>
    <w:p w14:paraId="78C1810F" w14:textId="77777777" w:rsidR="00117BF9" w:rsidRDefault="00117BF9" w:rsidP="00117BF9">
      <w:pPr>
        <w:autoSpaceDE w:val="0"/>
        <w:autoSpaceDN w:val="0"/>
        <w:adjustRightInd w:val="0"/>
        <w:spacing w:after="0" w:line="240" w:lineRule="auto"/>
        <w:rPr>
          <w:rFonts w:ascii="Calibri" w:hAnsi="Calibri" w:cs="Calibri"/>
          <w:kern w:val="24"/>
          <w:sz w:val="24"/>
          <w:szCs w:val="24"/>
        </w:rPr>
      </w:pPr>
    </w:p>
    <w:p w14:paraId="3281087F" w14:textId="77777777" w:rsidR="00117BF9" w:rsidRDefault="00117BF9" w:rsidP="00117BF9">
      <w:pPr>
        <w:autoSpaceDE w:val="0"/>
        <w:autoSpaceDN w:val="0"/>
        <w:adjustRightInd w:val="0"/>
        <w:spacing w:after="0" w:line="240" w:lineRule="auto"/>
        <w:rPr>
          <w:rFonts w:ascii="Calibri" w:eastAsia="Times New Roman" w:hAnsi="Calibri" w:cs="Calibri"/>
          <w:kern w:val="24"/>
          <w:sz w:val="24"/>
          <w:szCs w:val="24"/>
        </w:rPr>
      </w:pPr>
    </w:p>
    <w:p w14:paraId="1B2FC748" w14:textId="77777777" w:rsidR="00117BF9" w:rsidRDefault="00117BF9" w:rsidP="00117BF9">
      <w:pPr>
        <w:autoSpaceDE w:val="0"/>
        <w:autoSpaceDN w:val="0"/>
        <w:adjustRightInd w:val="0"/>
        <w:spacing w:after="0" w:line="240" w:lineRule="auto"/>
        <w:rPr>
          <w:rFonts w:ascii="Calibri" w:hAnsi="Calibri" w:cs="Calibri"/>
          <w:kern w:val="24"/>
          <w:sz w:val="24"/>
          <w:szCs w:val="24"/>
        </w:rPr>
      </w:pPr>
    </w:p>
    <w:p w14:paraId="35D998F4" w14:textId="1D5E1CFB" w:rsidR="00117BF9" w:rsidRDefault="00117BF9" w:rsidP="00117BF9">
      <w:pPr>
        <w:spacing w:line="360" w:lineRule="auto"/>
        <w:jc w:val="center"/>
      </w:pPr>
      <w:r>
        <w:object w:dxaOrig="9600" w:dyaOrig="5401" w14:anchorId="74EFC8A9">
          <v:shape id="_x0000_i1067" type="#_x0000_t75" style="width:5in;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7" DrawAspect="Content" ObjectID="_1701251427" r:id="rId19"/>
        </w:object>
      </w:r>
    </w:p>
    <w:p w14:paraId="3E8A808E" w14:textId="6272AA57" w:rsidR="00117BF9" w:rsidRDefault="00117BF9" w:rsidP="00117BF9">
      <w:pPr>
        <w:spacing w:line="360" w:lineRule="auto"/>
        <w:jc w:val="center"/>
      </w:pPr>
    </w:p>
    <w:p w14:paraId="63FDB4E1" w14:textId="1710FD73" w:rsidR="00117BF9" w:rsidRDefault="00117BF9" w:rsidP="00117BF9">
      <w:pPr>
        <w:spacing w:line="360" w:lineRule="auto"/>
      </w:pPr>
    </w:p>
    <w:p w14:paraId="01D7D2DD" w14:textId="4FC11099" w:rsidR="00117BF9" w:rsidRDefault="00117BF9">
      <w:r>
        <w:br w:type="page"/>
      </w:r>
    </w:p>
    <w:p w14:paraId="7C5A9D8E" w14:textId="2D6B50B7" w:rsidR="00117BF9" w:rsidRDefault="00117BF9" w:rsidP="00117BF9">
      <w:pPr>
        <w:spacing w:line="360" w:lineRule="auto"/>
        <w:jc w:val="center"/>
      </w:pPr>
      <w:r>
        <w:object w:dxaOrig="9600" w:dyaOrig="5401" w14:anchorId="219909E7">
          <v:shape id="_x0000_i1073"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73" DrawAspect="Content" ObjectID="_1701251428" r:id="rId21"/>
        </w:object>
      </w:r>
    </w:p>
    <w:p w14:paraId="0904368E" w14:textId="01AD904D" w:rsidR="00117BF9" w:rsidRDefault="00117BF9" w:rsidP="00117BF9">
      <w:pPr>
        <w:spacing w:line="360" w:lineRule="auto"/>
        <w:jc w:val="center"/>
      </w:pPr>
    </w:p>
    <w:p w14:paraId="135C0FE4" w14:textId="69A93586" w:rsidR="00117BF9" w:rsidRDefault="00117BF9" w:rsidP="00117BF9">
      <w:pPr>
        <w:spacing w:line="360" w:lineRule="auto"/>
        <w:jc w:val="center"/>
      </w:pPr>
      <w:r>
        <w:object w:dxaOrig="9600" w:dyaOrig="5401" w14:anchorId="5A4C2AB3">
          <v:shape id="_x0000_i1100" type="#_x0000_t75" style="width:5in;height:20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100" DrawAspect="Content" ObjectID="_1701251429" r:id="rId23"/>
        </w:object>
      </w:r>
    </w:p>
    <w:p w14:paraId="20CABD21" w14:textId="1CC658A8" w:rsidR="00117BF9" w:rsidRDefault="00117BF9" w:rsidP="00117BF9">
      <w:pPr>
        <w:spacing w:line="360" w:lineRule="auto"/>
        <w:jc w:val="center"/>
      </w:pPr>
    </w:p>
    <w:p w14:paraId="32CA5F9C" w14:textId="45109F16" w:rsidR="00117BF9" w:rsidRDefault="00117BF9" w:rsidP="00117BF9">
      <w:pPr>
        <w:spacing w:line="360" w:lineRule="auto"/>
        <w:jc w:val="center"/>
      </w:pPr>
      <w:r>
        <w:object w:dxaOrig="9600" w:dyaOrig="5401" w14:anchorId="1DB3A74F">
          <v:shape id="_x0000_i1085" type="#_x0000_t75" style="width:5in;height:20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85" DrawAspect="Content" ObjectID="_1701251430" r:id="rId25"/>
        </w:object>
      </w:r>
    </w:p>
    <w:p w14:paraId="29B3DB59" w14:textId="73F29C54" w:rsidR="00117BF9" w:rsidRDefault="00117BF9" w:rsidP="00117BF9">
      <w:pPr>
        <w:spacing w:line="360" w:lineRule="auto"/>
        <w:jc w:val="center"/>
      </w:pPr>
    </w:p>
    <w:p w14:paraId="3D6428CB" w14:textId="467DCB56" w:rsidR="00117BF9" w:rsidRDefault="00117BF9" w:rsidP="00117BF9">
      <w:pPr>
        <w:spacing w:line="360" w:lineRule="auto"/>
      </w:pPr>
    </w:p>
    <w:p w14:paraId="0C324B0C" w14:textId="315553F9" w:rsidR="00117BF9" w:rsidRDefault="00117BF9" w:rsidP="00117BF9"/>
    <w:p w14:paraId="3E246090" w14:textId="73C0BA0D" w:rsidR="00117BF9" w:rsidRDefault="00117BF9" w:rsidP="00117BF9">
      <w:pPr>
        <w:spacing w:line="360" w:lineRule="auto"/>
        <w:jc w:val="center"/>
      </w:pPr>
      <w:r>
        <w:object w:dxaOrig="9600" w:dyaOrig="5401" w14:anchorId="6A27A386">
          <v:shape id="_x0000_i1091" type="#_x0000_t75" style="width:5in;height:20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91" DrawAspect="Content" ObjectID="_1701251431" r:id="rId27"/>
        </w:object>
      </w:r>
    </w:p>
    <w:p w14:paraId="43AE879F" w14:textId="1995C531" w:rsidR="00117BF9" w:rsidRDefault="00117BF9" w:rsidP="00117BF9">
      <w:pPr>
        <w:spacing w:line="360" w:lineRule="auto"/>
        <w:jc w:val="center"/>
      </w:pPr>
    </w:p>
    <w:p w14:paraId="21BAA7E5" w14:textId="10C7AD6C" w:rsidR="00117BF9" w:rsidRDefault="00117BF9" w:rsidP="00117BF9">
      <w:pPr>
        <w:spacing w:line="360" w:lineRule="auto"/>
      </w:pPr>
    </w:p>
    <w:p w14:paraId="5754C8AC" w14:textId="77777777" w:rsidR="00117BF9" w:rsidRDefault="00117BF9" w:rsidP="00117BF9">
      <w:pPr>
        <w:spacing w:line="360" w:lineRule="auto"/>
      </w:pPr>
    </w:p>
    <w:sectPr w:rsidR="00117BF9" w:rsidSect="00BA7C7E">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BF9"/>
    <w:rsid w:val="00117BF9"/>
    <w:rsid w:val="00413F7B"/>
    <w:rsid w:val="006725F9"/>
    <w:rsid w:val="006C3FED"/>
    <w:rsid w:val="007C1B74"/>
    <w:rsid w:val="007C3976"/>
    <w:rsid w:val="00916597"/>
    <w:rsid w:val="00AE698A"/>
    <w:rsid w:val="00B52293"/>
    <w:rsid w:val="00BA7C7E"/>
    <w:rsid w:val="00BE54AE"/>
    <w:rsid w:val="00E1230C"/>
    <w:rsid w:val="00E8235B"/>
    <w:rsid w:val="00F20A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C6824"/>
  <w15:chartTrackingRefBased/>
  <w15:docId w15:val="{D65054BA-2053-4FE9-ADFC-D233EA0D7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 Type="http://schemas.openxmlformats.org/officeDocument/2006/relationships/webSettings" Target="webSettings.xml"/><Relationship Id="rId21" Type="http://schemas.openxmlformats.org/officeDocument/2006/relationships/package" Target="embeddings/Microsoft_PowerPoint_Slide8.sldx"/><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package" Target="embeddings/Microsoft_PowerPoint_Slide7.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1717</Words>
  <Characters>9822</Characters>
  <Application>Microsoft Office Word</Application>
  <DocSecurity>0</DocSecurity>
  <Lines>245</Lines>
  <Paragraphs>60</Paragraphs>
  <ScaleCrop>false</ScaleCrop>
  <Company/>
  <LinksUpToDate>false</LinksUpToDate>
  <CharactersWithSpaces>11479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2021-12-17T11:01:00Z</dcterms:created>
  <dcterms:modified xsi:type="dcterms:W3CDTF">2021-12-17T11:03:00Z</dcterms:modified>
</cp:coreProperties>
</file>