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E1CD5" w14:textId="77777777" w:rsidR="00B053AE" w:rsidRDefault="00B053AE" w:rsidP="00B053AE">
      <w:pPr>
        <w:rPr>
          <w:sz w:val="24"/>
          <w:szCs w:val="24"/>
        </w:rPr>
      </w:pPr>
      <w:r w:rsidRPr="000F5876">
        <w:rPr>
          <w:sz w:val="24"/>
          <w:szCs w:val="24"/>
        </w:rPr>
        <w:t xml:space="preserve">The police play a crucial role in responding to incidents where a joint emergency service response is required. The police are responsible for important roles within these incidents, these include providing law enforcement expertise, maintaining public safety, co-ordinating responses and assisting with various emergency situations. As part of their role the police work alongside other agencies such as the Ambulance service, Fire and rescue, coast guard etc. Working in tandem with these organisations is important to ensure an efficient and comprehensive response to </w:t>
      </w:r>
      <w:r>
        <w:rPr>
          <w:sz w:val="24"/>
          <w:szCs w:val="24"/>
        </w:rPr>
        <w:t>mass fatality incidents</w:t>
      </w:r>
      <w:r w:rsidRPr="000F5876">
        <w:rPr>
          <w:sz w:val="24"/>
          <w:szCs w:val="24"/>
        </w:rPr>
        <w:t xml:space="preserve"> such as natural disasters, threats to national security, terrorist attacks and accidental emergency situations involving multiple casualties such as large scale, multiple vehicle collisions.</w:t>
      </w:r>
      <w:r>
        <w:rPr>
          <w:sz w:val="24"/>
          <w:szCs w:val="24"/>
        </w:rPr>
        <w:t xml:space="preserve"> During these incidents the police will appoint a commanding officer, commonly referred to as “Gold” who will assume overall command of the incident and has ultimate accountability and responsibility for the police response. (College Of Policing, Oct 2023a) GOLD, SILVER, and BRONZE Commanders are set by their role, not rank. Therefor the GOLD officer may not always be the highest-ranking officer on scene. </w:t>
      </w:r>
    </w:p>
    <w:p w14:paraId="5AA4EA53" w14:textId="77777777" w:rsidR="00B053AE" w:rsidRDefault="00B053AE" w:rsidP="00B053AE">
      <w:pPr>
        <w:rPr>
          <w:sz w:val="24"/>
          <w:szCs w:val="24"/>
        </w:rPr>
      </w:pPr>
    </w:p>
    <w:p w14:paraId="03BE4EEB" w14:textId="77777777" w:rsidR="00B053AE" w:rsidRPr="000F5876" w:rsidRDefault="00B053AE" w:rsidP="00B053AE">
      <w:pPr>
        <w:rPr>
          <w:sz w:val="24"/>
          <w:szCs w:val="24"/>
        </w:rPr>
      </w:pPr>
      <w:r w:rsidRPr="000F5876">
        <w:rPr>
          <w:sz w:val="24"/>
          <w:szCs w:val="24"/>
        </w:rPr>
        <w:t xml:space="preserve">Some of the tasks the police are responsible whilst in attendance include traffic management, preservation of evidence and scene, crowd control, gathering information and intelligence, conducting investigations, identifying witnesses, and providing support to the other emergency responders. Collaborative working is essential to ensure an effective response to a wide range of crises and incidents. (London Borough of Tower Hamlets Safety &amp; Civil Protection Unit, </w:t>
      </w:r>
      <w:proofErr w:type="spellStart"/>
      <w:r w:rsidRPr="000F5876">
        <w:rPr>
          <w:sz w:val="24"/>
          <w:szCs w:val="24"/>
        </w:rPr>
        <w:t>N.d</w:t>
      </w:r>
      <w:proofErr w:type="spellEnd"/>
      <w:r w:rsidRPr="000F5876">
        <w:rPr>
          <w:sz w:val="24"/>
          <w:szCs w:val="24"/>
        </w:rPr>
        <w:t>)</w:t>
      </w:r>
    </w:p>
    <w:p w14:paraId="36E63BE7" w14:textId="77777777" w:rsidR="00B053AE" w:rsidRPr="000F5876" w:rsidRDefault="00B053AE" w:rsidP="00B053AE">
      <w:pPr>
        <w:rPr>
          <w:sz w:val="24"/>
          <w:szCs w:val="24"/>
        </w:rPr>
      </w:pPr>
    </w:p>
    <w:p w14:paraId="3994DF0A" w14:textId="77777777" w:rsidR="00B053AE" w:rsidRDefault="00B053AE" w:rsidP="00B053AE">
      <w:pPr>
        <w:pStyle w:val="NormalWeb"/>
        <w:shd w:val="clear" w:color="auto" w:fill="FFFFFF"/>
        <w:spacing w:before="0" w:beforeAutospacing="0"/>
        <w:textAlignment w:val="baseline"/>
        <w:rPr>
          <w:rFonts w:asciiTheme="minorHAnsi" w:hAnsiTheme="minorHAnsi" w:cstheme="minorHAnsi"/>
          <w:color w:val="000000"/>
        </w:rPr>
      </w:pPr>
      <w:r>
        <w:rPr>
          <w:rFonts w:asciiTheme="minorHAnsi" w:hAnsiTheme="minorHAnsi" w:cstheme="minorHAnsi"/>
        </w:rPr>
        <w:t xml:space="preserve">JESIP, the Joint Emergency Services Interoperability Program, provides guidelines to police when dealing with incidents requiring a response which requires more than one service to respond and deal with the incident. </w:t>
      </w:r>
    </w:p>
    <w:p w14:paraId="1F3D5F79" w14:textId="77777777" w:rsidR="00B053AE" w:rsidRDefault="00B053AE" w:rsidP="00B053AE">
      <w:pPr>
        <w:pStyle w:val="NormalWeb"/>
        <w:shd w:val="clear" w:color="auto" w:fill="FFFFFF"/>
        <w:spacing w:before="0" w:beforeAutospacing="0"/>
        <w:textAlignment w:val="baseline"/>
        <w:rPr>
          <w:rFonts w:asciiTheme="minorHAnsi" w:hAnsiTheme="minorHAnsi" w:cstheme="minorHAnsi"/>
          <w:color w:val="000000"/>
        </w:rPr>
      </w:pPr>
    </w:p>
    <w:p w14:paraId="10845A76" w14:textId="77777777" w:rsidR="00B053AE" w:rsidRDefault="00B053AE" w:rsidP="00B053AE">
      <w:pPr>
        <w:pStyle w:val="NormalWeb"/>
        <w:shd w:val="clear" w:color="auto" w:fill="FFFFFF"/>
        <w:spacing w:before="0" w:beforeAutospacing="0"/>
        <w:textAlignment w:val="baseline"/>
        <w:rPr>
          <w:rFonts w:asciiTheme="minorHAnsi" w:hAnsiTheme="minorHAnsi" w:cstheme="minorHAnsi"/>
        </w:rPr>
      </w:pPr>
      <w:r w:rsidRPr="000F5876">
        <w:rPr>
          <w:rFonts w:asciiTheme="minorHAnsi" w:hAnsiTheme="minorHAnsi" w:cstheme="minorHAnsi"/>
        </w:rPr>
        <w:t xml:space="preserve">Often the police will be the first service to arrive on scene at an incident requiring a joint service response. When this is the case, it is essential to complete an initial incident assessment to enable other services to provide the correct response by having a better understanding of which resources it will be required to deploy to the incident. The mnemonic </w:t>
      </w:r>
      <w:r w:rsidRPr="000F5876">
        <w:rPr>
          <w:rFonts w:asciiTheme="minorHAnsi" w:hAnsiTheme="minorHAnsi" w:cstheme="minorHAnsi"/>
          <w:b/>
          <w:bCs/>
        </w:rPr>
        <w:t>M</w:t>
      </w:r>
      <w:r>
        <w:rPr>
          <w:rFonts w:asciiTheme="minorHAnsi" w:hAnsiTheme="minorHAnsi" w:cstheme="minorHAnsi"/>
          <w:b/>
          <w:bCs/>
        </w:rPr>
        <w:t>/</w:t>
      </w:r>
      <w:r w:rsidRPr="000F5876">
        <w:rPr>
          <w:rFonts w:asciiTheme="minorHAnsi" w:hAnsiTheme="minorHAnsi" w:cstheme="minorHAnsi"/>
          <w:b/>
          <w:bCs/>
        </w:rPr>
        <w:t>ETHANE</w:t>
      </w:r>
      <w:r>
        <w:rPr>
          <w:rFonts w:asciiTheme="minorHAnsi" w:hAnsiTheme="minorHAnsi" w:cstheme="minorHAnsi"/>
          <w:b/>
          <w:bCs/>
        </w:rPr>
        <w:t xml:space="preserve"> </w:t>
      </w:r>
      <w:r>
        <w:rPr>
          <w:rFonts w:asciiTheme="minorHAnsi" w:hAnsiTheme="minorHAnsi" w:cstheme="minorHAnsi"/>
        </w:rPr>
        <w:t>(College of Policing, Oct 2023b)</w:t>
      </w:r>
      <w:r w:rsidRPr="000F5876">
        <w:rPr>
          <w:rFonts w:asciiTheme="minorHAnsi" w:hAnsiTheme="minorHAnsi" w:cstheme="minorHAnsi"/>
        </w:rPr>
        <w:t xml:space="preserve"> is an established framework used to provide a common structure or format for responders and control rooms to understand and share information to respond effectively to an incident. </w:t>
      </w:r>
      <w:r>
        <w:rPr>
          <w:rFonts w:asciiTheme="minorHAnsi" w:hAnsiTheme="minorHAnsi" w:cstheme="minorHAnsi"/>
        </w:rPr>
        <w:t>(JESIP, 2022)</w:t>
      </w:r>
    </w:p>
    <w:p w14:paraId="408F0881" w14:textId="77777777" w:rsidR="00B053AE" w:rsidRDefault="00B053AE" w:rsidP="00B053AE">
      <w:pPr>
        <w:pStyle w:val="NormalWeb"/>
        <w:shd w:val="clear" w:color="auto" w:fill="FFFFFF"/>
        <w:spacing w:before="0" w:beforeAutospacing="0"/>
        <w:textAlignment w:val="baseline"/>
        <w:rPr>
          <w:rFonts w:asciiTheme="minorHAnsi" w:hAnsiTheme="minorHAnsi" w:cstheme="minorHAnsi"/>
        </w:rPr>
      </w:pPr>
    </w:p>
    <w:p w14:paraId="4A461A13" w14:textId="77777777" w:rsidR="00B053AE" w:rsidRDefault="00B053AE" w:rsidP="00B053AE">
      <w:pPr>
        <w:pStyle w:val="NormalWeb"/>
        <w:numPr>
          <w:ilvl w:val="0"/>
          <w:numId w:val="1"/>
        </w:numPr>
        <w:shd w:val="clear" w:color="auto" w:fill="FFFFFF"/>
        <w:spacing w:before="0" w:beforeAutospacing="0"/>
        <w:textAlignment w:val="baseline"/>
        <w:rPr>
          <w:rFonts w:asciiTheme="minorHAnsi" w:hAnsiTheme="minorHAnsi" w:cstheme="minorHAnsi"/>
        </w:rPr>
      </w:pPr>
      <w:r>
        <w:rPr>
          <w:rFonts w:asciiTheme="minorHAnsi" w:hAnsiTheme="minorHAnsi" w:cstheme="minorHAnsi"/>
        </w:rPr>
        <w:t xml:space="preserve">M – Major incident? The first officer on scene must first make an initial assessment to decide whether the incident they have arrived at is to be declared a major incident. </w:t>
      </w:r>
    </w:p>
    <w:p w14:paraId="7E63233D" w14:textId="77777777" w:rsidR="00B053AE" w:rsidRDefault="00B053AE" w:rsidP="00B053AE">
      <w:pPr>
        <w:pStyle w:val="NormalWeb"/>
        <w:numPr>
          <w:ilvl w:val="0"/>
          <w:numId w:val="1"/>
        </w:numPr>
        <w:shd w:val="clear" w:color="auto" w:fill="FFFFFF"/>
        <w:spacing w:before="0" w:beforeAutospacing="0"/>
        <w:textAlignment w:val="baseline"/>
        <w:rPr>
          <w:rFonts w:asciiTheme="minorHAnsi" w:hAnsiTheme="minorHAnsi" w:cstheme="minorHAnsi"/>
        </w:rPr>
      </w:pPr>
      <w:r>
        <w:rPr>
          <w:rFonts w:asciiTheme="minorHAnsi" w:hAnsiTheme="minorHAnsi" w:cstheme="minorHAnsi"/>
        </w:rPr>
        <w:lastRenderedPageBreak/>
        <w:t xml:space="preserve">E – Exact location. It is important to relay the precise location of the incident. Often officers utilise GPS data, third party apps such as </w:t>
      </w:r>
      <w:proofErr w:type="spellStart"/>
      <w:r>
        <w:rPr>
          <w:rFonts w:asciiTheme="minorHAnsi" w:hAnsiTheme="minorHAnsi" w:cstheme="minorHAnsi"/>
        </w:rPr>
        <w:t>WhatThreeWords</w:t>
      </w:r>
      <w:proofErr w:type="spellEnd"/>
      <w:r>
        <w:rPr>
          <w:rFonts w:asciiTheme="minorHAnsi" w:hAnsiTheme="minorHAnsi" w:cstheme="minorHAnsi"/>
        </w:rPr>
        <w:t xml:space="preserve"> and using expert local knowledge.</w:t>
      </w:r>
    </w:p>
    <w:p w14:paraId="3C4BE148" w14:textId="77777777" w:rsidR="00B053AE" w:rsidRDefault="00B053AE" w:rsidP="00B053AE">
      <w:pPr>
        <w:pStyle w:val="NormalWeb"/>
        <w:numPr>
          <w:ilvl w:val="0"/>
          <w:numId w:val="1"/>
        </w:numPr>
        <w:shd w:val="clear" w:color="auto" w:fill="FFFFFF"/>
        <w:spacing w:before="0" w:beforeAutospacing="0"/>
        <w:textAlignment w:val="baseline"/>
        <w:rPr>
          <w:rFonts w:asciiTheme="minorHAnsi" w:hAnsiTheme="minorHAnsi" w:cstheme="minorHAnsi"/>
        </w:rPr>
      </w:pPr>
      <w:r>
        <w:rPr>
          <w:rFonts w:asciiTheme="minorHAnsi" w:hAnsiTheme="minorHAnsi" w:cstheme="minorHAnsi"/>
        </w:rPr>
        <w:t>T – Type of incident. It is important that the control room and other agencies understand the exact nature of the incident that the police officer has attended, whether it be a road traffic collision, natural disaster, terrorist incident or building collapse for example.</w:t>
      </w:r>
    </w:p>
    <w:p w14:paraId="460E6664" w14:textId="77777777" w:rsidR="00B053AE" w:rsidRDefault="00B053AE" w:rsidP="00B053AE">
      <w:pPr>
        <w:pStyle w:val="NormalWeb"/>
        <w:numPr>
          <w:ilvl w:val="0"/>
          <w:numId w:val="1"/>
        </w:numPr>
        <w:shd w:val="clear" w:color="auto" w:fill="FFFFFF"/>
        <w:spacing w:before="0" w:beforeAutospacing="0"/>
        <w:textAlignment w:val="baseline"/>
        <w:rPr>
          <w:rFonts w:asciiTheme="minorHAnsi" w:hAnsiTheme="minorHAnsi" w:cstheme="minorHAnsi"/>
        </w:rPr>
      </w:pPr>
      <w:r>
        <w:rPr>
          <w:rFonts w:asciiTheme="minorHAnsi" w:hAnsiTheme="minorHAnsi" w:cstheme="minorHAnsi"/>
        </w:rPr>
        <w:t>H – Hazards. The officer should describe which hazards they can see, and what hazards could develop because of the incident unfolding. This is important to enable overseeing incident commanders to ensure the correct resources are deployed with the correct PPE to ensure their safety.</w:t>
      </w:r>
    </w:p>
    <w:p w14:paraId="317ADF00" w14:textId="77777777" w:rsidR="00B053AE" w:rsidRDefault="00B053AE" w:rsidP="00B053AE">
      <w:pPr>
        <w:pStyle w:val="NormalWeb"/>
        <w:numPr>
          <w:ilvl w:val="0"/>
          <w:numId w:val="1"/>
        </w:numPr>
        <w:shd w:val="clear" w:color="auto" w:fill="FFFFFF"/>
        <w:spacing w:before="0" w:beforeAutospacing="0"/>
        <w:textAlignment w:val="baseline"/>
        <w:rPr>
          <w:rFonts w:asciiTheme="minorHAnsi" w:hAnsiTheme="minorHAnsi" w:cstheme="minorHAnsi"/>
        </w:rPr>
      </w:pPr>
      <w:r>
        <w:rPr>
          <w:rFonts w:asciiTheme="minorHAnsi" w:hAnsiTheme="minorHAnsi" w:cstheme="minorHAnsi"/>
        </w:rPr>
        <w:t>A – Access. Entry/egress routes should be clearly defined to ensure other services know where they can gain entry to the incident location to be able to implement their assistance. It is also crucial to consider exclusion or safe zones where incidents involve volatile or harmful substances, for example in case of a chemical incident, or biological incident.</w:t>
      </w:r>
    </w:p>
    <w:p w14:paraId="51C9C037" w14:textId="77777777" w:rsidR="00B053AE" w:rsidRDefault="00B053AE" w:rsidP="00B053AE">
      <w:pPr>
        <w:pStyle w:val="NormalWeb"/>
        <w:numPr>
          <w:ilvl w:val="0"/>
          <w:numId w:val="1"/>
        </w:numPr>
        <w:shd w:val="clear" w:color="auto" w:fill="FFFFFF"/>
        <w:spacing w:before="0" w:beforeAutospacing="0"/>
        <w:textAlignment w:val="baseline"/>
        <w:rPr>
          <w:rFonts w:asciiTheme="minorHAnsi" w:hAnsiTheme="minorHAnsi" w:cstheme="minorHAnsi"/>
        </w:rPr>
      </w:pPr>
      <w:r>
        <w:rPr>
          <w:rFonts w:asciiTheme="minorHAnsi" w:hAnsiTheme="minorHAnsi" w:cstheme="minorHAnsi"/>
        </w:rPr>
        <w:t>N – Number of casualties. The officer should identify how many people are involved in the incident that require help and try to identify what injuries they have sustained and the level of injury.</w:t>
      </w:r>
    </w:p>
    <w:p w14:paraId="43DFE72E" w14:textId="77777777" w:rsidR="00B053AE" w:rsidRDefault="00B053AE" w:rsidP="00B053AE">
      <w:pPr>
        <w:pStyle w:val="NormalWeb"/>
        <w:numPr>
          <w:ilvl w:val="0"/>
          <w:numId w:val="1"/>
        </w:numPr>
        <w:shd w:val="clear" w:color="auto" w:fill="FFFFFF"/>
        <w:spacing w:before="0" w:beforeAutospacing="0"/>
        <w:textAlignment w:val="baseline"/>
        <w:rPr>
          <w:rFonts w:asciiTheme="minorHAnsi" w:hAnsiTheme="minorHAnsi" w:cstheme="minorHAnsi"/>
        </w:rPr>
      </w:pPr>
      <w:r>
        <w:rPr>
          <w:rFonts w:asciiTheme="minorHAnsi" w:hAnsiTheme="minorHAnsi" w:cstheme="minorHAnsi"/>
        </w:rPr>
        <w:t xml:space="preserve">E – Emergency Services. Which emergency services are already on scene, and what other services are required. This may include other services that do not include the standard emergency services, but may involve military, bomb disposal experts for example. </w:t>
      </w:r>
    </w:p>
    <w:p w14:paraId="7FB4AA72" w14:textId="77777777" w:rsidR="00B053AE" w:rsidRDefault="00B053AE" w:rsidP="00B053AE">
      <w:pPr>
        <w:pStyle w:val="NormalWeb"/>
        <w:shd w:val="clear" w:color="auto" w:fill="FFFFFF"/>
        <w:spacing w:before="0" w:beforeAutospacing="0"/>
        <w:textAlignment w:val="baseline"/>
        <w:rPr>
          <w:rFonts w:asciiTheme="minorHAnsi" w:hAnsiTheme="minorHAnsi" w:cstheme="minorHAnsi"/>
        </w:rPr>
      </w:pPr>
    </w:p>
    <w:p w14:paraId="50FBD658" w14:textId="77777777" w:rsidR="00B053AE" w:rsidRPr="001F1F8F" w:rsidRDefault="00B053AE" w:rsidP="00B053AE">
      <w:pPr>
        <w:rPr>
          <w:sz w:val="24"/>
          <w:szCs w:val="24"/>
        </w:rPr>
      </w:pPr>
      <w:r w:rsidRPr="001F1F8F">
        <w:rPr>
          <w:sz w:val="24"/>
          <w:szCs w:val="24"/>
        </w:rPr>
        <w:t>A major incident is defined as a sudden event which can be traumatic, life threatening and overwhelming, and can have a massive impact on the organisation, its employees, the public and wider communities. Often, where an incident is of such a large scale it’s effects can be felt for decades and can have worldwide implications. (Block, 2023)</w:t>
      </w:r>
      <w:r>
        <w:rPr>
          <w:sz w:val="24"/>
          <w:szCs w:val="24"/>
        </w:rPr>
        <w:t xml:space="preserve"> Examples of major incidents include the 2019 London bridge terrorist attack, and the 2020 floods in England and Wales. </w:t>
      </w:r>
    </w:p>
    <w:p w14:paraId="685ABC6B" w14:textId="77777777" w:rsidR="00B053AE" w:rsidRDefault="00B053AE" w:rsidP="00B053AE"/>
    <w:p w14:paraId="7BFB3586" w14:textId="77777777" w:rsidR="00B053AE" w:rsidRDefault="00B053AE" w:rsidP="00B053AE">
      <w:pPr>
        <w:rPr>
          <w:sz w:val="24"/>
          <w:szCs w:val="24"/>
        </w:rPr>
      </w:pPr>
      <w:r w:rsidRPr="001F1F8F">
        <w:rPr>
          <w:sz w:val="24"/>
          <w:szCs w:val="24"/>
        </w:rPr>
        <w:t>A critical incident is defined as a major incident which, when attended by police is likely to have a significant impact on the confidence of the public, the victims, and their families.</w:t>
      </w:r>
      <w:r>
        <w:rPr>
          <w:sz w:val="24"/>
          <w:szCs w:val="24"/>
        </w:rPr>
        <w:t xml:space="preserve"> (College of Policing, Jan 2021)</w:t>
      </w:r>
      <w:r w:rsidRPr="001F1F8F">
        <w:rPr>
          <w:sz w:val="24"/>
          <w:szCs w:val="24"/>
        </w:rPr>
        <w:t xml:space="preserve"> </w:t>
      </w:r>
      <w:r>
        <w:rPr>
          <w:sz w:val="24"/>
          <w:szCs w:val="24"/>
        </w:rPr>
        <w:t>Examples of critical incidents include the 1993 murder of Stephen Lawrence which led to institutional changes in how murder enquiries are handled by the police, following massive public backlash.</w:t>
      </w:r>
    </w:p>
    <w:p w14:paraId="6F416205" w14:textId="77777777" w:rsidR="00B053AE" w:rsidRDefault="00B053AE" w:rsidP="00B053AE">
      <w:pPr>
        <w:rPr>
          <w:sz w:val="24"/>
          <w:szCs w:val="24"/>
        </w:rPr>
      </w:pPr>
    </w:p>
    <w:p w14:paraId="3A5A3BE6" w14:textId="77777777" w:rsidR="00B053AE" w:rsidRDefault="00B053AE" w:rsidP="00B053AE">
      <w:pPr>
        <w:rPr>
          <w:sz w:val="24"/>
          <w:szCs w:val="24"/>
        </w:rPr>
      </w:pPr>
      <w:r>
        <w:rPr>
          <w:sz w:val="24"/>
          <w:szCs w:val="24"/>
        </w:rPr>
        <w:t>On 22</w:t>
      </w:r>
      <w:r w:rsidRPr="00761E51">
        <w:rPr>
          <w:sz w:val="24"/>
          <w:szCs w:val="24"/>
          <w:vertAlign w:val="superscript"/>
        </w:rPr>
        <w:t>nd</w:t>
      </w:r>
      <w:r>
        <w:rPr>
          <w:sz w:val="24"/>
          <w:szCs w:val="24"/>
        </w:rPr>
        <w:t xml:space="preserve"> May 2017 A mass casualty incident occurred and was the deadliest suicide attack on the United Kingdom since the 2005 London bombings. In Manchester’s arena, Salman Abedi committed the atrocity by detonating an improvised explosive device causing his, and the deaths of 22 others, as well as injuring over a hundred others. (Lowe, D, 2020). A call was made to Greater Manchester Police’ force control room and initially four British Transport </w:t>
      </w:r>
      <w:r>
        <w:rPr>
          <w:sz w:val="24"/>
          <w:szCs w:val="24"/>
        </w:rPr>
        <w:lastRenderedPageBreak/>
        <w:t xml:space="preserve">Police officers attended. Shortly after arrival and having made an initial assessment Greater Manchester Police dispatched additional officers and an inspector became the bronze commander at scene. Operation PLATO (National Protective Security Authority, 2023) was then declared following counter terrorism guidelines. However, the inspector failed to convey the message to other emergency services that </w:t>
      </w:r>
      <w:proofErr w:type="spellStart"/>
      <w:r>
        <w:rPr>
          <w:sz w:val="24"/>
          <w:szCs w:val="24"/>
        </w:rPr>
        <w:t>plato</w:t>
      </w:r>
      <w:proofErr w:type="spellEnd"/>
      <w:r>
        <w:rPr>
          <w:sz w:val="24"/>
          <w:szCs w:val="24"/>
        </w:rPr>
        <w:t xml:space="preserve"> had been declared – which is the guidelines and plan set out to deal with a suspected marauding terrorist incident such as the Manchester bombings was believed to be. As outlined by JESIP guidelines, it is crucial to declare a major incident at the earliest opportunity so that all emergency responders and their commanding officers can respond to the incident effectively. It was not declared a major incident until more than two and a half hours after the blast. (Stanley, 2022) </w:t>
      </w:r>
    </w:p>
    <w:p w14:paraId="32B8B78E" w14:textId="77777777" w:rsidR="00B053AE" w:rsidRDefault="00B053AE" w:rsidP="00B053AE">
      <w:pPr>
        <w:rPr>
          <w:sz w:val="24"/>
          <w:szCs w:val="24"/>
        </w:rPr>
      </w:pPr>
    </w:p>
    <w:p w14:paraId="7366839F" w14:textId="77777777" w:rsidR="00B053AE" w:rsidRPr="001F1F8F" w:rsidRDefault="00B053AE" w:rsidP="00B053AE">
      <w:pPr>
        <w:rPr>
          <w:sz w:val="24"/>
          <w:szCs w:val="24"/>
        </w:rPr>
      </w:pPr>
      <w:r>
        <w:rPr>
          <w:sz w:val="24"/>
          <w:szCs w:val="24"/>
        </w:rPr>
        <w:t xml:space="preserve">In a report written by Sir John Saunders, It was found that Greater Manchester Police was not sufficiently prepared for such an incident, and had failed to embed JESIP guidelines in its staff and officers, it had failed to train unarmed officers in what operation </w:t>
      </w:r>
      <w:proofErr w:type="spellStart"/>
      <w:r>
        <w:rPr>
          <w:sz w:val="24"/>
          <w:szCs w:val="24"/>
        </w:rPr>
        <w:t>plato</w:t>
      </w:r>
      <w:proofErr w:type="spellEnd"/>
      <w:r>
        <w:rPr>
          <w:sz w:val="24"/>
          <w:szCs w:val="24"/>
        </w:rPr>
        <w:t xml:space="preserve"> was and, crucially, the operational Bronze and Silver commanders on the night also were not aware of what operation </w:t>
      </w:r>
      <w:proofErr w:type="spellStart"/>
      <w:r>
        <w:rPr>
          <w:sz w:val="24"/>
          <w:szCs w:val="24"/>
        </w:rPr>
        <w:t>plato</w:t>
      </w:r>
      <w:proofErr w:type="spellEnd"/>
      <w:r>
        <w:rPr>
          <w:sz w:val="24"/>
          <w:szCs w:val="24"/>
        </w:rPr>
        <w:t xml:space="preserve"> was, therefore were unable to adequately respond liaise with other emergency responders to effectively manage the incident. It also found that officers lacked the level of first aid training required to deal with the casualties. (Saunders, J. Nov 2022)</w:t>
      </w:r>
    </w:p>
    <w:p w14:paraId="3ED45E14" w14:textId="77777777" w:rsidR="00B053AE" w:rsidRDefault="00B053AE" w:rsidP="00B053AE"/>
    <w:p w14:paraId="7429EDB8" w14:textId="77777777" w:rsidR="00B053AE" w:rsidRDefault="00B053AE" w:rsidP="00B053AE">
      <w:pPr>
        <w:rPr>
          <w:rFonts w:cstheme="minorHAnsi"/>
          <w:sz w:val="24"/>
          <w:szCs w:val="24"/>
        </w:rPr>
      </w:pPr>
      <w:r w:rsidRPr="001871BE">
        <w:rPr>
          <w:rFonts w:cstheme="minorHAnsi"/>
          <w:sz w:val="24"/>
          <w:szCs w:val="24"/>
        </w:rPr>
        <w:t xml:space="preserve">Police officers and other emergency service workers are at a heightened risk of developing mental disorders </w:t>
      </w:r>
      <w:proofErr w:type="gramStart"/>
      <w:r w:rsidRPr="001871BE">
        <w:rPr>
          <w:rFonts w:cstheme="minorHAnsi"/>
          <w:sz w:val="24"/>
          <w:szCs w:val="24"/>
        </w:rPr>
        <w:t>during</w:t>
      </w:r>
      <w:r>
        <w:rPr>
          <w:rFonts w:cstheme="minorHAnsi"/>
          <w:sz w:val="24"/>
          <w:szCs w:val="24"/>
        </w:rPr>
        <w:t xml:space="preserve"> the course of</w:t>
      </w:r>
      <w:proofErr w:type="gramEnd"/>
      <w:r w:rsidRPr="001871BE">
        <w:rPr>
          <w:rFonts w:cstheme="minorHAnsi"/>
          <w:sz w:val="24"/>
          <w:szCs w:val="24"/>
        </w:rPr>
        <w:t xml:space="preserve"> their </w:t>
      </w:r>
      <w:r>
        <w:rPr>
          <w:rFonts w:cstheme="minorHAnsi"/>
          <w:sz w:val="24"/>
          <w:szCs w:val="24"/>
        </w:rPr>
        <w:t>careers</w:t>
      </w:r>
      <w:r w:rsidRPr="001871BE">
        <w:rPr>
          <w:rFonts w:cstheme="minorHAnsi"/>
          <w:sz w:val="24"/>
          <w:szCs w:val="24"/>
        </w:rPr>
        <w:t xml:space="preserve"> as first responders due to the traumatic incidents they attend. (</w:t>
      </w:r>
      <w:proofErr w:type="spellStart"/>
      <w:r w:rsidRPr="001871BE">
        <w:rPr>
          <w:rFonts w:cstheme="minorHAnsi"/>
          <w:sz w:val="24"/>
          <w:szCs w:val="24"/>
        </w:rPr>
        <w:t>Benedek</w:t>
      </w:r>
      <w:proofErr w:type="spellEnd"/>
      <w:r w:rsidRPr="001871BE">
        <w:rPr>
          <w:rFonts w:cstheme="minorHAnsi"/>
          <w:sz w:val="24"/>
          <w:szCs w:val="24"/>
        </w:rPr>
        <w:t xml:space="preserve"> at </w:t>
      </w:r>
      <w:proofErr w:type="spellStart"/>
      <w:r w:rsidRPr="001871BE">
        <w:rPr>
          <w:rFonts w:cstheme="minorHAnsi"/>
          <w:sz w:val="24"/>
          <w:szCs w:val="24"/>
        </w:rPr>
        <w:t>al</w:t>
      </w:r>
      <w:proofErr w:type="spellEnd"/>
      <w:r w:rsidRPr="001871BE">
        <w:rPr>
          <w:rFonts w:cstheme="minorHAnsi"/>
          <w:sz w:val="24"/>
          <w:szCs w:val="24"/>
        </w:rPr>
        <w:t>,.2007) Operational staff are</w:t>
      </w:r>
      <w:r>
        <w:rPr>
          <w:rFonts w:cstheme="minorHAnsi"/>
          <w:sz w:val="24"/>
          <w:szCs w:val="24"/>
        </w:rPr>
        <w:t xml:space="preserve"> </w:t>
      </w:r>
      <w:r w:rsidRPr="001871BE">
        <w:rPr>
          <w:rFonts w:cstheme="minorHAnsi"/>
          <w:sz w:val="24"/>
          <w:szCs w:val="24"/>
        </w:rPr>
        <w:t xml:space="preserve">regularly exposed to traumatic situations such as violent crimes, severe road traffic collisions, fatalities, murders, rapes etc. These are all incidents that can provoke high levels of stress and trauma. Officers attending these incidents can suffer from a deterioration of mental health wellbeing, and this can manifest in various ways. </w:t>
      </w:r>
      <w:r w:rsidRPr="001C76A3">
        <w:rPr>
          <w:rFonts w:cstheme="minorHAnsi"/>
          <w:color w:val="333333"/>
          <w:sz w:val="24"/>
          <w:szCs w:val="24"/>
        </w:rPr>
        <w:t>(</w:t>
      </w:r>
      <w:proofErr w:type="spellStart"/>
      <w:r w:rsidRPr="001C76A3">
        <w:rPr>
          <w:rFonts w:cstheme="minorHAnsi"/>
          <w:color w:val="333333"/>
          <w:sz w:val="24"/>
          <w:szCs w:val="24"/>
        </w:rPr>
        <w:t>Damou</w:t>
      </w:r>
      <w:proofErr w:type="spellEnd"/>
      <w:r w:rsidRPr="001C76A3">
        <w:rPr>
          <w:rFonts w:cstheme="minorHAnsi"/>
          <w:color w:val="333333"/>
          <w:sz w:val="24"/>
          <w:szCs w:val="24"/>
        </w:rPr>
        <w:t>, et al. 2020)</w:t>
      </w:r>
      <w:r>
        <w:rPr>
          <w:rFonts w:cstheme="minorHAnsi"/>
          <w:sz w:val="24"/>
          <w:szCs w:val="24"/>
        </w:rPr>
        <w:t xml:space="preserve">. </w:t>
      </w:r>
    </w:p>
    <w:p w14:paraId="07919E7D" w14:textId="77777777" w:rsidR="00B053AE" w:rsidRDefault="00B053AE" w:rsidP="00B053AE">
      <w:pPr>
        <w:rPr>
          <w:rFonts w:cstheme="minorHAnsi"/>
          <w:sz w:val="24"/>
          <w:szCs w:val="24"/>
        </w:rPr>
      </w:pPr>
    </w:p>
    <w:p w14:paraId="7879D196" w14:textId="77777777" w:rsidR="00B053AE" w:rsidRPr="00D9284C" w:rsidRDefault="00B053AE" w:rsidP="00B053AE">
      <w:pPr>
        <w:pStyle w:val="ListParagraph"/>
        <w:numPr>
          <w:ilvl w:val="0"/>
          <w:numId w:val="2"/>
        </w:numPr>
        <w:rPr>
          <w:rFonts w:cstheme="minorHAnsi"/>
          <w:color w:val="333333"/>
          <w:sz w:val="24"/>
          <w:szCs w:val="24"/>
        </w:rPr>
      </w:pPr>
      <w:r w:rsidRPr="001C76A3">
        <w:rPr>
          <w:rFonts w:cstheme="minorHAnsi"/>
          <w:b/>
          <w:bCs/>
          <w:i/>
          <w:iCs/>
          <w:sz w:val="24"/>
          <w:szCs w:val="24"/>
        </w:rPr>
        <w:t>Burnout and compassion fatigue</w:t>
      </w:r>
      <w:r>
        <w:rPr>
          <w:rFonts w:cstheme="minorHAnsi"/>
          <w:sz w:val="24"/>
          <w:szCs w:val="24"/>
        </w:rPr>
        <w:t xml:space="preserve"> – Responding to major incidents repeatedly can lead to a burnout, a state of emotional, mental, and physical exhaustion. Compassion fatigue is also referred to as secondary traumatic stress and is a direct result of repeated exposure to witnessing traumatic incidents. (Figley, 2013) Officers who experience burnout can find it difficult to fully engage in activities they would normally find meaningful, and feel they no longer care about things that are important to them or are important for their role. (Darling Downs Health, 2021)</w:t>
      </w:r>
    </w:p>
    <w:p w14:paraId="746A5FD3" w14:textId="77777777" w:rsidR="00B053AE" w:rsidRPr="001C76A3" w:rsidRDefault="00B053AE" w:rsidP="00B053AE">
      <w:pPr>
        <w:rPr>
          <w:rFonts w:cstheme="minorHAnsi"/>
          <w:color w:val="333333"/>
          <w:sz w:val="24"/>
          <w:szCs w:val="24"/>
        </w:rPr>
      </w:pPr>
    </w:p>
    <w:p w14:paraId="2FEB1711" w14:textId="77777777" w:rsidR="00B053AE" w:rsidRDefault="00B053AE" w:rsidP="00B053AE">
      <w:pPr>
        <w:pStyle w:val="ListParagraph"/>
        <w:numPr>
          <w:ilvl w:val="0"/>
          <w:numId w:val="2"/>
        </w:numPr>
        <w:rPr>
          <w:rFonts w:cstheme="minorHAnsi"/>
          <w:sz w:val="24"/>
          <w:szCs w:val="24"/>
        </w:rPr>
      </w:pPr>
      <w:r w:rsidRPr="00D9284C">
        <w:rPr>
          <w:rFonts w:cstheme="minorHAnsi"/>
          <w:b/>
          <w:bCs/>
          <w:i/>
          <w:iCs/>
          <w:sz w:val="24"/>
          <w:szCs w:val="24"/>
        </w:rPr>
        <w:t>Depression and anxiety</w:t>
      </w:r>
      <w:r>
        <w:rPr>
          <w:rFonts w:cstheme="minorHAnsi"/>
          <w:sz w:val="24"/>
          <w:szCs w:val="24"/>
        </w:rPr>
        <w:t xml:space="preserve"> – Depression and anxiety can have substantial and long-lasting effects on emergency workers following repeated exposure to major incidents. Depression is manifested in many ways. Emotional manifestations such as a dejected mood, negative feelings towards self, and crying spells. Cognitive manifestations such as low self-esteem, self-blame, and self-criticism. Physical </w:t>
      </w:r>
      <w:r>
        <w:rPr>
          <w:rFonts w:cstheme="minorHAnsi"/>
          <w:sz w:val="24"/>
          <w:szCs w:val="24"/>
        </w:rPr>
        <w:lastRenderedPageBreak/>
        <w:t>manifestations such as low libido, sleep disturbance, fatigability, and loss of appetite. (</w:t>
      </w:r>
      <w:proofErr w:type="spellStart"/>
      <w:r>
        <w:rPr>
          <w:rFonts w:cstheme="minorHAnsi"/>
          <w:sz w:val="24"/>
          <w:szCs w:val="24"/>
        </w:rPr>
        <w:t>Beck&amp;Alford</w:t>
      </w:r>
      <w:proofErr w:type="spellEnd"/>
      <w:r>
        <w:rPr>
          <w:rFonts w:cstheme="minorHAnsi"/>
          <w:sz w:val="24"/>
          <w:szCs w:val="24"/>
        </w:rPr>
        <w:t>, 2008)</w:t>
      </w:r>
    </w:p>
    <w:p w14:paraId="68E0B2ED" w14:textId="77777777" w:rsidR="00B053AE" w:rsidRPr="00B86561" w:rsidRDefault="00B053AE" w:rsidP="00B053AE">
      <w:pPr>
        <w:rPr>
          <w:rFonts w:cstheme="minorHAnsi"/>
          <w:sz w:val="24"/>
          <w:szCs w:val="24"/>
        </w:rPr>
      </w:pPr>
    </w:p>
    <w:p w14:paraId="0F3D2071" w14:textId="77777777" w:rsidR="00B053AE" w:rsidRPr="001C76A3" w:rsidRDefault="00B053AE" w:rsidP="00B053AE">
      <w:pPr>
        <w:pStyle w:val="ListParagraph"/>
        <w:rPr>
          <w:rFonts w:cstheme="minorHAnsi"/>
          <w:color w:val="333333"/>
          <w:sz w:val="24"/>
          <w:szCs w:val="24"/>
        </w:rPr>
      </w:pPr>
    </w:p>
    <w:p w14:paraId="37124992" w14:textId="77777777" w:rsidR="00B053AE" w:rsidRPr="00A10D21" w:rsidRDefault="00B053AE" w:rsidP="00B053AE">
      <w:pPr>
        <w:pStyle w:val="ListParagraph"/>
        <w:numPr>
          <w:ilvl w:val="0"/>
          <w:numId w:val="2"/>
        </w:numPr>
        <w:rPr>
          <w:rFonts w:cstheme="minorHAnsi"/>
          <w:color w:val="333333"/>
          <w:sz w:val="24"/>
          <w:szCs w:val="24"/>
        </w:rPr>
      </w:pPr>
      <w:r w:rsidRPr="008C4209">
        <w:rPr>
          <w:rFonts w:cstheme="minorHAnsi"/>
          <w:b/>
          <w:bCs/>
          <w:i/>
          <w:iCs/>
          <w:sz w:val="24"/>
          <w:szCs w:val="24"/>
        </w:rPr>
        <w:t>Post-Traumatic Stress Disorder (PTSD)</w:t>
      </w:r>
      <w:r>
        <w:rPr>
          <w:rFonts w:cstheme="minorHAnsi"/>
          <w:sz w:val="24"/>
          <w:szCs w:val="24"/>
        </w:rPr>
        <w:t xml:space="preserve"> – Witnessing or being involved in critical and major incidents can lead to officers suffering with PTSD. The resilience or vulnerability of an officer can determine the severity and duration of symptoms. Officers suffering with PTSD often have disturbing and intense thoughts and feelings relating to the experience(s). Often, they can feel as though they are reliving the experience in the form of nightmares or flashbacks, this can lead to sleep deprivation, which in turn affects their ability to perform their duty whilst on duty, PTSD affects the officer’s ability in everyday life, as well as during their career and role and can last for years. (What happens in the brain during PTSD? 2023)</w:t>
      </w:r>
    </w:p>
    <w:p w14:paraId="539D3A8F" w14:textId="77777777" w:rsidR="00B053AE" w:rsidRDefault="00B053AE" w:rsidP="00B053AE">
      <w:pPr>
        <w:rPr>
          <w:rFonts w:cstheme="minorHAnsi"/>
          <w:color w:val="333333"/>
          <w:sz w:val="24"/>
          <w:szCs w:val="24"/>
        </w:rPr>
      </w:pPr>
    </w:p>
    <w:p w14:paraId="51DC5597" w14:textId="77777777" w:rsidR="00B053AE" w:rsidRDefault="00B053AE" w:rsidP="00B053AE">
      <w:r>
        <w:t>Officers who are repeatedly exposed to traumatic events and suffer mental health deterioration and prolonged exposure to symptoms that are chronically traumatising are often anxious, hypervigilant, aggressive and have little to no baseline for psychological calmness, and these effects can remain present long after exposure to traumatic events has ceased. The effects of repeated exposure to major and critical incidents can have detrimental effects that continue beyond the career of the officer. Prolonged symptoms of depression, anxiety, stress and general worry contributes to a heightened level of morbidity after police officer retirement (</w:t>
      </w:r>
      <w:proofErr w:type="spellStart"/>
      <w:r>
        <w:t>Violanti</w:t>
      </w:r>
      <w:proofErr w:type="spellEnd"/>
      <w:r>
        <w:t xml:space="preserve">, J.M. </w:t>
      </w:r>
      <w:proofErr w:type="spellStart"/>
      <w:proofErr w:type="gramStart"/>
      <w:r>
        <w:t>Et,al</w:t>
      </w:r>
      <w:proofErr w:type="spellEnd"/>
      <w:proofErr w:type="gramEnd"/>
      <w:r>
        <w:t>, 1999)</w:t>
      </w:r>
    </w:p>
    <w:p w14:paraId="0CCC734D" w14:textId="77777777" w:rsidR="00B053AE" w:rsidRDefault="00B053AE" w:rsidP="00B053AE"/>
    <w:p w14:paraId="1A70049A" w14:textId="77777777" w:rsidR="00B053AE" w:rsidRDefault="00B053AE" w:rsidP="00B053AE">
      <w:r>
        <w:t xml:space="preserve">When dealing with multiple casualty incidents, both major and critical the police play a vital role in the success of the operation, and the effectiveness of their response can have a huge impact on the families of those involved, the community around the incident location, the perception of the organisation and can have impacts that reach a global audience. There is clear guidance set out by JESIP on how to deal with multi casualty incidents, these guidelines help first responders make initial assessments, which are fed back to force control rooms, and to incident commanders so that informed decisions can be made to better implement a joint emergency service response. Major and critical incidents are similar in nature; however, the outcome of these incidents differ greatly. In 2017, the Manchester arena attack took place in the Greater Manchester Police force area and was defined as a critical incident and reports were published outlining the response from GMP and the other emergency services. From this report there were several failings found which led to a substandard response which may have impacted the lives lost that day. The report found that staff had not been adequately trained in the guidance provided to GMP when dealing with marauding terrorist incidents, nor were officers adequately trained in first aid. </w:t>
      </w:r>
    </w:p>
    <w:p w14:paraId="566D4131" w14:textId="77777777" w:rsidR="00B053AE" w:rsidRDefault="00B053AE" w:rsidP="00B053AE"/>
    <w:p w14:paraId="386AC5F3" w14:textId="77777777" w:rsidR="00B053AE" w:rsidRDefault="00B053AE" w:rsidP="00B053AE">
      <w:r>
        <w:t xml:space="preserve">Police officers regularly deal with traumatic incidents, such as road traffic collisions, violent crimes and incidents involving fatalities. Over time this can lead to significant mental health deterioration and research shows that poor mental health because of attending these incidents frequently can manifest in many ways. Officers can suffer from burnout and compassion fatigue, depression and anxiety, post-traumatic stress disorder. Whilst attending incidents can have short term effects which </w:t>
      </w:r>
      <w:r>
        <w:lastRenderedPageBreak/>
        <w:t xml:space="preserve">can be immediately recognisable, there are also long-term factors and it is believed that prolonged symptoms of depression, anxiety and stress can lead to heightened levels of morbidity following officers retiring from their career.  </w:t>
      </w:r>
    </w:p>
    <w:p w14:paraId="7338CA40" w14:textId="77777777" w:rsidR="00B053AE" w:rsidRDefault="00B053AE" w:rsidP="00B053AE"/>
    <w:p w14:paraId="64B3E452" w14:textId="77777777" w:rsidR="00B053AE" w:rsidRDefault="00B053AE" w:rsidP="00B053AE">
      <w:r>
        <w:t>Word count: 1872</w:t>
      </w:r>
    </w:p>
    <w:p w14:paraId="03B8B5B0" w14:textId="03501D65" w:rsidR="00B052F7" w:rsidRDefault="00B052F7"/>
    <w:p w14:paraId="6FE75D8A" w14:textId="77777777" w:rsidR="00B053AE" w:rsidRPr="00546927" w:rsidRDefault="00B053AE" w:rsidP="00B053AE">
      <w:pPr>
        <w:rPr>
          <w:sz w:val="24"/>
          <w:szCs w:val="24"/>
        </w:rPr>
      </w:pPr>
      <w:r w:rsidRPr="00546927">
        <w:rPr>
          <w:sz w:val="24"/>
          <w:szCs w:val="24"/>
        </w:rPr>
        <w:t xml:space="preserve">At the heart of any investigation is the gathering of information. Police officers are tasked with investigating crimes and expanding on the accounts given by witnesses, victims and suspects who are arrested or brought in for interviews at police stations on a voluntary basis. A key component in gathering this information is the interview process where an officer asks questions and seeks to collect as much information as possible to fully gather the facts to prove or disprove the offence(s) being investigated. (College of Policing, Oct 23) Often, interviewee’s do not remember, or require encouragement and guidance to fully recall the events they have witnessed. To assist in recalling these events, officers are trained in the use of interview techniques, and by applying this training makes them more effective as an interviewer. (Dando, </w:t>
      </w:r>
      <w:proofErr w:type="gramStart"/>
      <w:r w:rsidRPr="00546927">
        <w:rPr>
          <w:sz w:val="24"/>
          <w:szCs w:val="24"/>
        </w:rPr>
        <w:t>Wilcock</w:t>
      </w:r>
      <w:proofErr w:type="gramEnd"/>
      <w:r w:rsidRPr="00546927">
        <w:rPr>
          <w:sz w:val="24"/>
          <w:szCs w:val="24"/>
        </w:rPr>
        <w:t xml:space="preserve"> and Milne, 2008)</w:t>
      </w:r>
    </w:p>
    <w:p w14:paraId="19FC76E3" w14:textId="77777777" w:rsidR="00B053AE" w:rsidRPr="00546927" w:rsidRDefault="00B053AE" w:rsidP="00B053AE">
      <w:pPr>
        <w:rPr>
          <w:sz w:val="24"/>
          <w:szCs w:val="24"/>
        </w:rPr>
      </w:pPr>
    </w:p>
    <w:p w14:paraId="0569B0C5" w14:textId="77777777" w:rsidR="00B053AE" w:rsidRPr="00546927" w:rsidRDefault="00B053AE" w:rsidP="00B053AE">
      <w:pPr>
        <w:rPr>
          <w:sz w:val="24"/>
          <w:szCs w:val="24"/>
        </w:rPr>
      </w:pPr>
      <w:r w:rsidRPr="00546927">
        <w:rPr>
          <w:sz w:val="24"/>
          <w:szCs w:val="24"/>
        </w:rPr>
        <w:t xml:space="preserve">The interview process is governed by set legislation to ensure it is conducted with fairness and integrity. PACE code C sets specific rules for the detention and questioning of witnesses and subjects in police custody. This includes the legal right to free and independent legal advice and representation by a solicitor, support from appropriate adults where necessary. (Home Office, 2023). Interviewees are also protected by the Human Rights Act 1998, specifically articles 5 – Right to liberty and security. And article 6 – Right to a fair trial. These articles under the act dictate that a person shall not be unlawfully deprived of their liberty or detained unless there is reasonable suspicion that the person has committed an offence, or there is the necessity to prevent them from committing an offence, and having been detained, have the right to free and independent legal advice, adequate time to prepare their defence after having the allegations fully explained and understood by them. (Human Rights act, 1998)  </w:t>
      </w:r>
      <w:r w:rsidRPr="00546927">
        <w:rPr>
          <w:sz w:val="24"/>
          <w:szCs w:val="24"/>
        </w:rPr>
        <w:br/>
      </w:r>
    </w:p>
    <w:p w14:paraId="42AF21ED" w14:textId="77777777" w:rsidR="00B053AE" w:rsidRPr="00546927" w:rsidRDefault="00B053AE" w:rsidP="00B053AE">
      <w:pPr>
        <w:rPr>
          <w:b/>
          <w:bCs/>
          <w:sz w:val="24"/>
          <w:szCs w:val="24"/>
        </w:rPr>
      </w:pPr>
      <w:proofErr w:type="spellStart"/>
      <w:r w:rsidRPr="00546927">
        <w:rPr>
          <w:sz w:val="24"/>
          <w:szCs w:val="24"/>
        </w:rPr>
        <w:t>Gieselman</w:t>
      </w:r>
      <w:proofErr w:type="spellEnd"/>
      <w:r w:rsidRPr="00546927">
        <w:rPr>
          <w:sz w:val="24"/>
          <w:szCs w:val="24"/>
        </w:rPr>
        <w:t xml:space="preserve"> et.al (1985) developed the cognitive interview as an alternative to the Standard Interview. It was designed to encourage the witness to reconstruct the contexts, whether physical or personal which existed at the time of the crime/incident. By asking the interviewee to form an image or impression of the aspects of the original scene, describe sounds, feelings to better recall the events and the surroundings. This makes for better memory of events compared to the standard police interview. (</w:t>
      </w:r>
      <w:proofErr w:type="spellStart"/>
      <w:r w:rsidRPr="00546927">
        <w:rPr>
          <w:sz w:val="24"/>
          <w:szCs w:val="24"/>
        </w:rPr>
        <w:t>Mcleod</w:t>
      </w:r>
      <w:proofErr w:type="spellEnd"/>
      <w:r w:rsidRPr="00546927">
        <w:rPr>
          <w:sz w:val="24"/>
          <w:szCs w:val="24"/>
        </w:rPr>
        <w:t>, 2022)</w:t>
      </w:r>
    </w:p>
    <w:p w14:paraId="53B548F4" w14:textId="77777777" w:rsidR="00B053AE" w:rsidRPr="00546927" w:rsidRDefault="00B053AE" w:rsidP="00B053AE">
      <w:pPr>
        <w:rPr>
          <w:sz w:val="24"/>
          <w:szCs w:val="24"/>
        </w:rPr>
      </w:pPr>
    </w:p>
    <w:p w14:paraId="6CBC99E5" w14:textId="77777777" w:rsidR="00B053AE" w:rsidRPr="00546927" w:rsidRDefault="00B053AE" w:rsidP="00B053AE">
      <w:pPr>
        <w:rPr>
          <w:sz w:val="24"/>
          <w:szCs w:val="24"/>
        </w:rPr>
      </w:pPr>
      <w:r w:rsidRPr="00546927">
        <w:rPr>
          <w:sz w:val="24"/>
          <w:szCs w:val="24"/>
        </w:rPr>
        <w:t>The PEACE model:</w:t>
      </w:r>
    </w:p>
    <w:p w14:paraId="1A68DD8E" w14:textId="77777777" w:rsidR="00B053AE" w:rsidRPr="00546927" w:rsidRDefault="00B053AE" w:rsidP="00B053AE">
      <w:pPr>
        <w:rPr>
          <w:sz w:val="24"/>
          <w:szCs w:val="24"/>
        </w:rPr>
      </w:pPr>
      <w:r w:rsidRPr="00546927">
        <w:rPr>
          <w:sz w:val="24"/>
          <w:szCs w:val="24"/>
        </w:rPr>
        <w:lastRenderedPageBreak/>
        <w:t xml:space="preserve">Interviewers have been trained in the use of the PEACE model of interviewing since it was introduced in 1992 as a framework to guide interviewers through the interview process. The PEACE model of interviewing is an example of </w:t>
      </w:r>
      <w:r w:rsidRPr="00546927">
        <w:rPr>
          <w:b/>
          <w:bCs/>
          <w:i/>
          <w:iCs/>
          <w:sz w:val="24"/>
          <w:szCs w:val="24"/>
        </w:rPr>
        <w:t>cognitive</w:t>
      </w:r>
      <w:r w:rsidRPr="00546927">
        <w:rPr>
          <w:sz w:val="24"/>
          <w:szCs w:val="24"/>
        </w:rPr>
        <w:t xml:space="preserve"> interviewing. (Clarke C, Milne R, 2001) The mnemonic PEACE is broken down as:</w:t>
      </w:r>
    </w:p>
    <w:p w14:paraId="440851B3" w14:textId="77777777" w:rsidR="00B053AE" w:rsidRPr="00546927" w:rsidRDefault="00B053AE" w:rsidP="00B053AE">
      <w:pPr>
        <w:rPr>
          <w:sz w:val="24"/>
          <w:szCs w:val="24"/>
        </w:rPr>
      </w:pPr>
    </w:p>
    <w:p w14:paraId="0E3313F3" w14:textId="77777777" w:rsidR="00B053AE" w:rsidRPr="00546927" w:rsidRDefault="00B053AE" w:rsidP="00B053AE">
      <w:pPr>
        <w:rPr>
          <w:sz w:val="24"/>
          <w:szCs w:val="24"/>
        </w:rPr>
      </w:pPr>
      <w:r w:rsidRPr="00546927">
        <w:rPr>
          <w:sz w:val="24"/>
          <w:szCs w:val="24"/>
        </w:rPr>
        <w:t>P - Planning and preparation. In this stage the interviewer will take account of all the information available to them at the time and identify key objectives and issues to be considered during the interview process. This will involve drawing an interview plan to ensure all the relevant topic areas are covered, evaluating the interviewee as they may have characteristics which may impede the interview process. An example of a characteristic which may influence the interview is the gender of the interviewee. For example, in an investigation where an allegation of rape has occurred, the victim may be more open to lines of questioning from a female officer as opposed to a male. (</w:t>
      </w:r>
      <w:proofErr w:type="spellStart"/>
      <w:r w:rsidRPr="00546927">
        <w:rPr>
          <w:sz w:val="24"/>
          <w:szCs w:val="24"/>
        </w:rPr>
        <w:t>Akca</w:t>
      </w:r>
      <w:proofErr w:type="spellEnd"/>
      <w:r w:rsidRPr="00546927">
        <w:rPr>
          <w:sz w:val="24"/>
          <w:szCs w:val="24"/>
        </w:rPr>
        <w:t>, D. 2023)</w:t>
      </w:r>
    </w:p>
    <w:p w14:paraId="58911589" w14:textId="77777777" w:rsidR="00B053AE" w:rsidRPr="00546927" w:rsidRDefault="00B053AE" w:rsidP="00B053AE">
      <w:pPr>
        <w:rPr>
          <w:sz w:val="24"/>
          <w:szCs w:val="24"/>
        </w:rPr>
      </w:pPr>
    </w:p>
    <w:p w14:paraId="50F414D1" w14:textId="77777777" w:rsidR="00B053AE" w:rsidRPr="00546927" w:rsidRDefault="00B053AE" w:rsidP="00B053AE">
      <w:pPr>
        <w:rPr>
          <w:sz w:val="24"/>
          <w:szCs w:val="24"/>
        </w:rPr>
      </w:pPr>
      <w:r w:rsidRPr="00546927">
        <w:rPr>
          <w:sz w:val="24"/>
          <w:szCs w:val="24"/>
        </w:rPr>
        <w:t>E - engage and explain. During this stage of the interview, it is important to fully explain the reasons why they are being interviewed and that they fully understand what will be discussed during the interview. Its objectives should be clearly defined too.</w:t>
      </w:r>
    </w:p>
    <w:p w14:paraId="3ECF6CEB" w14:textId="77777777" w:rsidR="00B053AE" w:rsidRPr="00546927" w:rsidRDefault="00B053AE" w:rsidP="00B053AE">
      <w:pPr>
        <w:rPr>
          <w:sz w:val="24"/>
          <w:szCs w:val="24"/>
        </w:rPr>
      </w:pPr>
    </w:p>
    <w:p w14:paraId="369248CA" w14:textId="77777777" w:rsidR="00B053AE" w:rsidRPr="00546927" w:rsidRDefault="00B053AE" w:rsidP="00B053AE">
      <w:pPr>
        <w:rPr>
          <w:sz w:val="24"/>
          <w:szCs w:val="24"/>
        </w:rPr>
      </w:pPr>
      <w:r w:rsidRPr="00546927">
        <w:rPr>
          <w:sz w:val="24"/>
          <w:szCs w:val="24"/>
        </w:rPr>
        <w:t>A – Account, clarification, challenge. – During this faze the officer will use open-ended prompts and questions such as “tell me about” “tell me how” and will allow the interviewee time to search their memory without interruption. They will also break down the account given into manageable topics which can be further explored to expand on the information given, then having made notes on answers given challenge any inconsistencies in the account.</w:t>
      </w:r>
    </w:p>
    <w:p w14:paraId="24FF49EC" w14:textId="77777777" w:rsidR="00B053AE" w:rsidRPr="00546927" w:rsidRDefault="00B053AE" w:rsidP="00B053AE">
      <w:pPr>
        <w:rPr>
          <w:sz w:val="24"/>
          <w:szCs w:val="24"/>
        </w:rPr>
      </w:pPr>
    </w:p>
    <w:p w14:paraId="70C3A2B8" w14:textId="77777777" w:rsidR="00B053AE" w:rsidRPr="00546927" w:rsidRDefault="00B053AE" w:rsidP="00B053AE">
      <w:pPr>
        <w:rPr>
          <w:sz w:val="24"/>
          <w:szCs w:val="24"/>
        </w:rPr>
      </w:pPr>
      <w:r w:rsidRPr="00546927">
        <w:rPr>
          <w:sz w:val="24"/>
          <w:szCs w:val="24"/>
        </w:rPr>
        <w:t xml:space="preserve">C – Closure. The interviewer will explain at the closure that the interviewee now has a final opportunity to provide any further information they feel is necessary, and any further mitigation or lines of enquiry that they feel is relevant so that this may be further investigated by the officer following the conclusion of the interview. </w:t>
      </w:r>
    </w:p>
    <w:p w14:paraId="1C4671B2" w14:textId="77777777" w:rsidR="00B053AE" w:rsidRPr="00546927" w:rsidRDefault="00B053AE" w:rsidP="00B053AE">
      <w:pPr>
        <w:rPr>
          <w:sz w:val="24"/>
          <w:szCs w:val="24"/>
        </w:rPr>
      </w:pPr>
    </w:p>
    <w:p w14:paraId="55846F16" w14:textId="77777777" w:rsidR="00B053AE" w:rsidRPr="00546927" w:rsidRDefault="00B053AE" w:rsidP="00B053AE">
      <w:pPr>
        <w:rPr>
          <w:sz w:val="24"/>
          <w:szCs w:val="24"/>
        </w:rPr>
      </w:pPr>
      <w:r w:rsidRPr="00546927">
        <w:rPr>
          <w:sz w:val="24"/>
          <w:szCs w:val="24"/>
        </w:rPr>
        <w:t>E – Evaluation. This can be one of the most important parts of the interview process. The interviewer will evaluate what has been said during the interview so they can determine whether any further action is necessary, determine how the interviewee’s account fits in with the rest of the investigation and reflect on the interviewer’s performance so that they can implement improvements or try different tactics to improve on the next interview. Regular reflection and evaluation are important to maintain standards and develop skills when interviewing.</w:t>
      </w:r>
    </w:p>
    <w:p w14:paraId="54A68C63" w14:textId="77777777" w:rsidR="00B053AE" w:rsidRPr="00546927" w:rsidRDefault="00B053AE" w:rsidP="00B053AE">
      <w:pPr>
        <w:rPr>
          <w:sz w:val="24"/>
          <w:szCs w:val="24"/>
        </w:rPr>
      </w:pPr>
    </w:p>
    <w:p w14:paraId="1464934D" w14:textId="77777777" w:rsidR="00B053AE" w:rsidRPr="00546927" w:rsidRDefault="00B053AE" w:rsidP="00B053AE">
      <w:pPr>
        <w:rPr>
          <w:sz w:val="24"/>
          <w:szCs w:val="24"/>
        </w:rPr>
      </w:pPr>
      <w:r w:rsidRPr="00546927">
        <w:rPr>
          <w:sz w:val="24"/>
          <w:szCs w:val="24"/>
        </w:rPr>
        <w:lastRenderedPageBreak/>
        <w:t xml:space="preserve">The cognitive interview holds many advantages, as noted above such as better memory recall, reduced errors, improved comprehension, and more information is produced (Milne and Bull, 2002) However, it does also have its limitations and drawbacks. Most notably the cognitive interview process takes a significant amount of time to complete comprehensively. It is important when performing an interview using a cognitive interview method to build up rapport with the interviewee. Good rapport facilitates collaboration, builds trust, makes the interviewee feel understood and respected, and helps them feel at ease, which is crucial during the interview process. (Angelo, 2015) Officers often carry large workloads and find themselves unable to commit the amount of time required to complete a cognitive interview with most officers spending hours completing other forms of laborious paperwork. Officers routinely spend more than a third of their shift completing paperwork associated with routine tasks, (Hope, C. et al. 2008) writing reports following incidents. This leads to reduced time available to prepare sufficiently for an interview, and, as a result, less time to complete the interview itself, leading to poorer standards of interviewing. </w:t>
      </w:r>
    </w:p>
    <w:p w14:paraId="7173A293" w14:textId="77777777" w:rsidR="00B053AE" w:rsidRPr="00546927" w:rsidRDefault="00B053AE" w:rsidP="00B053AE">
      <w:pPr>
        <w:rPr>
          <w:sz w:val="24"/>
          <w:szCs w:val="24"/>
        </w:rPr>
      </w:pPr>
    </w:p>
    <w:p w14:paraId="7C30C4AE" w14:textId="77777777" w:rsidR="00B053AE" w:rsidRPr="00546927" w:rsidRDefault="00B053AE" w:rsidP="00B053AE">
      <w:pPr>
        <w:rPr>
          <w:sz w:val="24"/>
          <w:szCs w:val="24"/>
        </w:rPr>
      </w:pPr>
      <w:r w:rsidRPr="00546927">
        <w:rPr>
          <w:sz w:val="24"/>
          <w:szCs w:val="24"/>
        </w:rPr>
        <w:t>A cognitive interview relies on the cooperation of the interviewee. Having an uncooperative interviewee is extremely detrimental to the cognitive interview process, and the time spent in the early and preparatory stages of the interview can be completely wasted should the interviewee not engage with the interview process. An interviewer can spend hours preparing for the interview itself, and initially the interviewee can be engaging, but where their behaviour changes or the questions are challenging this may cause the interviewee to stop talking, or answer with “no comment” responses. This then stops the cognitive interview, and the interviewee must then rely on either predetermined questions and lines of enquiry or must think of questions on the spot and are therefore unable to probe the responses given by the interviewee. (</w:t>
      </w:r>
      <w:proofErr w:type="spellStart"/>
      <w:r w:rsidRPr="00546927">
        <w:rPr>
          <w:sz w:val="24"/>
          <w:szCs w:val="24"/>
        </w:rPr>
        <w:t>Mcleod</w:t>
      </w:r>
      <w:proofErr w:type="spellEnd"/>
      <w:r w:rsidRPr="00546927">
        <w:rPr>
          <w:sz w:val="24"/>
          <w:szCs w:val="24"/>
        </w:rPr>
        <w:t>, S. 2022)</w:t>
      </w:r>
    </w:p>
    <w:p w14:paraId="75F63AF9" w14:textId="77777777" w:rsidR="00B053AE" w:rsidRPr="00546927" w:rsidRDefault="00B053AE" w:rsidP="00B053AE">
      <w:pPr>
        <w:rPr>
          <w:sz w:val="24"/>
          <w:szCs w:val="24"/>
        </w:rPr>
      </w:pPr>
    </w:p>
    <w:p w14:paraId="024154BA" w14:textId="77777777" w:rsidR="00B053AE" w:rsidRPr="00546927" w:rsidRDefault="00B053AE" w:rsidP="00B053AE">
      <w:pPr>
        <w:rPr>
          <w:sz w:val="24"/>
          <w:szCs w:val="24"/>
        </w:rPr>
      </w:pPr>
      <w:r w:rsidRPr="00546927">
        <w:rPr>
          <w:sz w:val="24"/>
          <w:szCs w:val="24"/>
        </w:rPr>
        <w:t xml:space="preserve">Officers also use standard interviewing techniques when conducting interviews with witnesses and suspects. Structured interviews are regarded as being systematized, as the interviewer will approach the interview with a set of predetermined questions in a clear, set order. Rarely do interviewers utilise open-ended questions, but rely on direct, multiple-choice, and yes or no answer questions. (George, T. 2022) Structured interviews are straightforward and more simplistic than a cognitive interview, these interviews are typically shorter in length than a cognitive interview, and is best used when the interviewer has a clear understanding of the offence details and is able to fully explore an account given by the witness and ask enough answers to be able to prove or disprove their involvement in the offence by asking the pre-determined questions only. </w:t>
      </w:r>
    </w:p>
    <w:p w14:paraId="1F5C1733" w14:textId="77777777" w:rsidR="00B053AE" w:rsidRPr="00546927" w:rsidRDefault="00B053AE" w:rsidP="00B053AE">
      <w:pPr>
        <w:rPr>
          <w:sz w:val="24"/>
          <w:szCs w:val="24"/>
        </w:rPr>
      </w:pPr>
    </w:p>
    <w:p w14:paraId="2AF2B8C7" w14:textId="77777777" w:rsidR="00B053AE" w:rsidRPr="00546927" w:rsidRDefault="00B053AE" w:rsidP="00B053AE">
      <w:pPr>
        <w:rPr>
          <w:sz w:val="24"/>
          <w:szCs w:val="24"/>
        </w:rPr>
      </w:pPr>
      <w:r w:rsidRPr="00546927">
        <w:rPr>
          <w:sz w:val="24"/>
          <w:szCs w:val="24"/>
        </w:rPr>
        <w:t>Benefits of using structured interviews include Timesaving, efficiency and consistency and simplicity.</w:t>
      </w:r>
    </w:p>
    <w:p w14:paraId="3CA76C15" w14:textId="77777777" w:rsidR="00B053AE" w:rsidRPr="00546927" w:rsidRDefault="00B053AE" w:rsidP="00B053AE">
      <w:pPr>
        <w:rPr>
          <w:sz w:val="24"/>
          <w:szCs w:val="24"/>
        </w:rPr>
      </w:pPr>
    </w:p>
    <w:p w14:paraId="7DEA2789" w14:textId="77777777" w:rsidR="00B053AE" w:rsidRPr="00546927" w:rsidRDefault="00B053AE" w:rsidP="00B053AE">
      <w:pPr>
        <w:rPr>
          <w:sz w:val="24"/>
          <w:szCs w:val="24"/>
        </w:rPr>
      </w:pPr>
      <w:r w:rsidRPr="00546927">
        <w:rPr>
          <w:sz w:val="24"/>
          <w:szCs w:val="24"/>
        </w:rPr>
        <w:lastRenderedPageBreak/>
        <w:t>Structured interviews which have predetermined questions require considerably less time to complete than cognitive interviews, this is because the interview is less focussed on what the interviewee wishes to say in relation to the matter and focusses more on the police agenda which is to prove or disprove the witness’s involvement in the offence in question. Free recall, opinions and off-topic lines of enquiry can be perceived as a waste of time during an interview, particularly where the offence is minor in nature and does not require a complex, lengthy investigative process.</w:t>
      </w:r>
    </w:p>
    <w:p w14:paraId="1AFB9EAB" w14:textId="77777777" w:rsidR="00B053AE" w:rsidRPr="00546927" w:rsidRDefault="00B053AE" w:rsidP="00B053AE">
      <w:pPr>
        <w:rPr>
          <w:sz w:val="24"/>
          <w:szCs w:val="24"/>
        </w:rPr>
      </w:pPr>
    </w:p>
    <w:p w14:paraId="4202CF2D" w14:textId="77777777" w:rsidR="00B053AE" w:rsidRPr="00546927" w:rsidRDefault="00B053AE" w:rsidP="00B053AE">
      <w:pPr>
        <w:rPr>
          <w:sz w:val="24"/>
          <w:szCs w:val="24"/>
        </w:rPr>
      </w:pPr>
      <w:r w:rsidRPr="00546927">
        <w:rPr>
          <w:sz w:val="24"/>
          <w:szCs w:val="24"/>
        </w:rPr>
        <w:t xml:space="preserve">Structured interviews are an efficient and consistent way of completing interviews, particularly where the investigation is straight forward, or there are multiple witnesses to the same incident that are required to provide an account. An example of this is where an offence of affray is being investigated and there is more than one defendant. Having a predetermined list of questions ensures that the interview process is streamlined, fair, and concise. It also reduces the opportunity for bias. By offering the same questions to the interviewees the amount of time required in the preparation phase of the interview is significantly reduced (Sparks, 2021), and the possibility of allegations of unfairness or prejudice, particularly where the ethnicity or characteristics of the persons being interviewed are different. </w:t>
      </w:r>
    </w:p>
    <w:p w14:paraId="00D2CF03" w14:textId="77777777" w:rsidR="00B053AE" w:rsidRPr="00546927" w:rsidRDefault="00B053AE" w:rsidP="00B053AE">
      <w:pPr>
        <w:rPr>
          <w:sz w:val="24"/>
          <w:szCs w:val="24"/>
        </w:rPr>
      </w:pPr>
    </w:p>
    <w:p w14:paraId="325C5B84" w14:textId="77777777" w:rsidR="00B053AE" w:rsidRPr="00546927" w:rsidRDefault="00B053AE" w:rsidP="00B053AE">
      <w:pPr>
        <w:rPr>
          <w:sz w:val="24"/>
          <w:szCs w:val="24"/>
        </w:rPr>
      </w:pPr>
      <w:r w:rsidRPr="00546927">
        <w:rPr>
          <w:sz w:val="24"/>
          <w:szCs w:val="24"/>
        </w:rPr>
        <w:t>Simplicity – Officers require significantly less training to conduct interviews that are structured. Having a pre-planned interview process with questions already written for them requires less thinking about how to expand on accounts given by the interviewee. An investigator conducting a structured interview need only read the questions before them and record the answers given.</w:t>
      </w:r>
    </w:p>
    <w:p w14:paraId="1C2F9DFD" w14:textId="77777777" w:rsidR="00B053AE" w:rsidRPr="00546927" w:rsidRDefault="00B053AE" w:rsidP="00B053AE">
      <w:pPr>
        <w:rPr>
          <w:sz w:val="24"/>
          <w:szCs w:val="24"/>
        </w:rPr>
      </w:pPr>
    </w:p>
    <w:p w14:paraId="69CCB961" w14:textId="77777777" w:rsidR="00B053AE" w:rsidRPr="00546927" w:rsidRDefault="00B053AE" w:rsidP="00B053AE">
      <w:pPr>
        <w:rPr>
          <w:sz w:val="24"/>
          <w:szCs w:val="24"/>
        </w:rPr>
      </w:pPr>
      <w:r w:rsidRPr="00546927">
        <w:rPr>
          <w:sz w:val="24"/>
          <w:szCs w:val="24"/>
        </w:rPr>
        <w:t xml:space="preserve">While structured interviews offer benefits such as efficiency and simplicity, it has limitations, which can be detrimental to its effectiveness. By only offering a predetermined set of questions this limits the information which can be obtained. Questions that are rigid also leaves room for subject interpretation. Interviewees may not share the same vocabulary as the interviewer and may interpret the question in a different way based on their personal view. This can ultimately lead to variations in responses. (Merriam &amp; </w:t>
      </w:r>
      <w:proofErr w:type="spellStart"/>
      <w:r w:rsidRPr="00546927">
        <w:rPr>
          <w:sz w:val="24"/>
          <w:szCs w:val="24"/>
        </w:rPr>
        <w:t>Tisdell</w:t>
      </w:r>
      <w:proofErr w:type="spellEnd"/>
      <w:r w:rsidRPr="00546927">
        <w:rPr>
          <w:sz w:val="24"/>
          <w:szCs w:val="24"/>
        </w:rPr>
        <w:t xml:space="preserve">, 2015) </w:t>
      </w:r>
    </w:p>
    <w:p w14:paraId="6DF0A4DA" w14:textId="77777777" w:rsidR="00B053AE" w:rsidRDefault="00B053AE" w:rsidP="00B053AE">
      <w:pPr>
        <w:rPr>
          <w:sz w:val="24"/>
          <w:szCs w:val="24"/>
        </w:rPr>
      </w:pPr>
    </w:p>
    <w:p w14:paraId="43F122DA" w14:textId="77777777" w:rsidR="00B053AE" w:rsidRDefault="00B053AE" w:rsidP="00B053AE">
      <w:pPr>
        <w:rPr>
          <w:sz w:val="24"/>
          <w:szCs w:val="24"/>
        </w:rPr>
      </w:pPr>
      <w:r>
        <w:rPr>
          <w:sz w:val="24"/>
          <w:szCs w:val="24"/>
        </w:rPr>
        <w:t xml:space="preserve">Interviews are an integral part of any successful investigation by police. Witnesses, suspects alike are often called upon and required to provide their account of an incident to assist officers in completing their enquiries to best understand the circumstances leading to, and during an incident under investigation. Officers utilise techniques and training to fully explore these accounts. Interviews must be conducted in accordance with legislation to ensure compliance and fairness. </w:t>
      </w:r>
    </w:p>
    <w:p w14:paraId="14D2CF27" w14:textId="77777777" w:rsidR="00B053AE" w:rsidRDefault="00B053AE" w:rsidP="00B053AE">
      <w:pPr>
        <w:rPr>
          <w:sz w:val="24"/>
          <w:szCs w:val="24"/>
        </w:rPr>
      </w:pPr>
    </w:p>
    <w:p w14:paraId="7661C95B" w14:textId="77777777" w:rsidR="00B053AE" w:rsidRDefault="00B053AE" w:rsidP="00B053AE">
      <w:pPr>
        <w:rPr>
          <w:sz w:val="24"/>
          <w:szCs w:val="24"/>
        </w:rPr>
      </w:pPr>
      <w:r>
        <w:rPr>
          <w:sz w:val="24"/>
          <w:szCs w:val="24"/>
        </w:rPr>
        <w:lastRenderedPageBreak/>
        <w:t xml:space="preserve">Investigators most commonly utilise cognitive or structured interview techniques when obtaining accounts. Officers are trained in the use of the PEACE model, as outlined above to ensure they fully understand the reasons for the interview, the process and to encourage the interviewee to place themselves back in the situation by exploring senses and descriptive language to assist in memory recall. This then allows for the formation of topics for further exploration. Officers are then encouraged to review the interview and explore ways to improve on their interviewing technique by reflecting on their performance. </w:t>
      </w:r>
    </w:p>
    <w:p w14:paraId="20769F1F" w14:textId="77777777" w:rsidR="00B053AE" w:rsidRDefault="00B053AE" w:rsidP="00B053AE">
      <w:pPr>
        <w:rPr>
          <w:sz w:val="24"/>
          <w:szCs w:val="24"/>
        </w:rPr>
      </w:pPr>
    </w:p>
    <w:p w14:paraId="01C333DE" w14:textId="77777777" w:rsidR="00B053AE" w:rsidRDefault="00B053AE" w:rsidP="00B053AE">
      <w:pPr>
        <w:rPr>
          <w:sz w:val="24"/>
          <w:szCs w:val="24"/>
        </w:rPr>
      </w:pPr>
      <w:r>
        <w:rPr>
          <w:sz w:val="24"/>
          <w:szCs w:val="24"/>
        </w:rPr>
        <w:t>Cognitive interviews offer the opportunity to extract more information from the witness, however this comes at a cost. The building of rapport is very important to build a foundation of trust and understanding. The amount of training and time required to explore the account confidently and fully is significant and this can be challenging for officers as they are already stretched thin with workload and paperwork constraints. Cognitive interviews rely on the co-operation of the witness for its success, an uncooperative witness will be unlikely to offer sufficient information or back-and-forth and the investigator may need to resort to asking questions in the form of a structured interview instead, with pre-planned questions.</w:t>
      </w:r>
    </w:p>
    <w:p w14:paraId="38A989B1" w14:textId="77777777" w:rsidR="00B053AE" w:rsidRDefault="00B053AE" w:rsidP="00B053AE">
      <w:pPr>
        <w:rPr>
          <w:sz w:val="24"/>
          <w:szCs w:val="24"/>
        </w:rPr>
      </w:pPr>
    </w:p>
    <w:p w14:paraId="5B140E10" w14:textId="77777777" w:rsidR="00B053AE" w:rsidRDefault="00B053AE" w:rsidP="00B053AE">
      <w:pPr>
        <w:rPr>
          <w:sz w:val="24"/>
          <w:szCs w:val="24"/>
        </w:rPr>
      </w:pPr>
      <w:r>
        <w:rPr>
          <w:sz w:val="24"/>
          <w:szCs w:val="24"/>
        </w:rPr>
        <w:t xml:space="preserve">Structured interviews on the other hand are far less time consuming and require less training and effort from the interviewer. They are rigid, are open to interpretation and offer less opportunities for further exploration of accounts given by witnesses, however this can be useful when conducting investigations with more than one witness by allowing the investigator to focus on asking the questions to obtain an account rather than spending time building rapport with each witness. This allows for a more streamlined and efficient method of interviewing.  </w:t>
      </w:r>
    </w:p>
    <w:p w14:paraId="2B6C6696" w14:textId="77777777" w:rsidR="00B053AE" w:rsidRPr="00546927" w:rsidRDefault="00B053AE" w:rsidP="00B053AE">
      <w:pPr>
        <w:rPr>
          <w:sz w:val="24"/>
          <w:szCs w:val="24"/>
        </w:rPr>
      </w:pPr>
    </w:p>
    <w:p w14:paraId="78A85C1C" w14:textId="77777777" w:rsidR="00B053AE" w:rsidRDefault="00B053AE" w:rsidP="00B053AE">
      <w:pPr>
        <w:rPr>
          <w:sz w:val="24"/>
          <w:szCs w:val="24"/>
        </w:rPr>
      </w:pPr>
      <w:r>
        <w:rPr>
          <w:sz w:val="24"/>
          <w:szCs w:val="24"/>
        </w:rPr>
        <w:t>Word count: 1973</w:t>
      </w:r>
    </w:p>
    <w:p w14:paraId="47C8CACA" w14:textId="77777777" w:rsidR="00B053AE" w:rsidRDefault="00B053AE" w:rsidP="00B053AE">
      <w:pPr>
        <w:rPr>
          <w:sz w:val="24"/>
          <w:szCs w:val="24"/>
        </w:rPr>
      </w:pPr>
    </w:p>
    <w:p w14:paraId="32E279B2" w14:textId="58ECCB9A" w:rsidR="00B053AE" w:rsidRPr="00546927" w:rsidRDefault="00B053AE" w:rsidP="00B053AE">
      <w:pPr>
        <w:jc w:val="center"/>
        <w:rPr>
          <w:sz w:val="24"/>
          <w:szCs w:val="24"/>
        </w:rPr>
      </w:pPr>
      <w:r>
        <w:rPr>
          <w:sz w:val="24"/>
          <w:szCs w:val="24"/>
        </w:rPr>
        <w:t>Reference list</w:t>
      </w:r>
    </w:p>
    <w:p w14:paraId="4348F697" w14:textId="77777777" w:rsidR="00B053AE" w:rsidRDefault="00B053AE"/>
    <w:p w14:paraId="058158AD"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proofErr w:type="spellStart"/>
      <w:r w:rsidRPr="00950BE2">
        <w:rPr>
          <w:rFonts w:eastAsia="Times New Roman" w:cstheme="minorHAnsi"/>
          <w:kern w:val="0"/>
          <w:sz w:val="24"/>
          <w:szCs w:val="24"/>
          <w:lang w:eastAsia="en-GB"/>
          <w14:ligatures w14:val="none"/>
        </w:rPr>
        <w:t>Akca</w:t>
      </w:r>
      <w:proofErr w:type="spellEnd"/>
      <w:r w:rsidRPr="00950BE2">
        <w:rPr>
          <w:rFonts w:eastAsia="Times New Roman" w:cstheme="minorHAnsi"/>
          <w:kern w:val="0"/>
          <w:sz w:val="24"/>
          <w:szCs w:val="24"/>
          <w:lang w:eastAsia="en-GB"/>
          <w14:ligatures w14:val="none"/>
        </w:rPr>
        <w:t>, D. (2023) “Investigative interviewing,” in </w:t>
      </w:r>
      <w:r w:rsidRPr="00950BE2">
        <w:rPr>
          <w:rFonts w:eastAsia="Times New Roman" w:cstheme="minorHAnsi"/>
          <w:i/>
          <w:iCs/>
          <w:kern w:val="0"/>
          <w:sz w:val="24"/>
          <w:szCs w:val="24"/>
          <w:lang w:eastAsia="en-GB"/>
          <w14:ligatures w14:val="none"/>
        </w:rPr>
        <w:t>Forensic Psychology, Crime and Policing</w:t>
      </w:r>
      <w:r w:rsidRPr="00950BE2">
        <w:rPr>
          <w:rFonts w:eastAsia="Times New Roman" w:cstheme="minorHAnsi"/>
          <w:kern w:val="0"/>
          <w:sz w:val="24"/>
          <w:szCs w:val="24"/>
          <w:lang w:eastAsia="en-GB"/>
          <w14:ligatures w14:val="none"/>
        </w:rPr>
        <w:t>. Policy Press, pp. 297–303.</w:t>
      </w:r>
    </w:p>
    <w:p w14:paraId="4E33A390"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Angelo, G. (2015) </w:t>
      </w:r>
      <w:r w:rsidRPr="00950BE2">
        <w:rPr>
          <w:rFonts w:eastAsia="Times New Roman" w:cstheme="minorHAnsi"/>
          <w:i/>
          <w:iCs/>
          <w:kern w:val="0"/>
          <w:sz w:val="24"/>
          <w:szCs w:val="24"/>
          <w:lang w:eastAsia="en-GB"/>
          <w14:ligatures w14:val="none"/>
        </w:rPr>
        <w:t>Rapport: The art of connecting with people and building relationships</w:t>
      </w:r>
      <w:r w:rsidRPr="00950BE2">
        <w:rPr>
          <w:rFonts w:eastAsia="Times New Roman" w:cstheme="minorHAnsi"/>
          <w:kern w:val="0"/>
          <w:sz w:val="24"/>
          <w:szCs w:val="24"/>
          <w:lang w:eastAsia="en-GB"/>
          <w14:ligatures w14:val="none"/>
        </w:rPr>
        <w:t xml:space="preserve">. </w:t>
      </w:r>
      <w:proofErr w:type="spellStart"/>
      <w:r w:rsidRPr="00950BE2">
        <w:rPr>
          <w:rFonts w:eastAsia="Times New Roman" w:cstheme="minorHAnsi"/>
          <w:kern w:val="0"/>
          <w:sz w:val="24"/>
          <w:szCs w:val="24"/>
          <w:lang w:eastAsia="en-GB"/>
          <w14:ligatures w14:val="none"/>
        </w:rPr>
        <w:t>Seisnama</w:t>
      </w:r>
      <w:proofErr w:type="spellEnd"/>
      <w:r w:rsidRPr="00950BE2">
        <w:rPr>
          <w:rFonts w:eastAsia="Times New Roman" w:cstheme="minorHAnsi"/>
          <w:kern w:val="0"/>
          <w:sz w:val="24"/>
          <w:szCs w:val="24"/>
          <w:lang w:eastAsia="en-GB"/>
          <w14:ligatures w14:val="none"/>
        </w:rPr>
        <w:t>.</w:t>
      </w:r>
    </w:p>
    <w:p w14:paraId="2E16A66D"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r w:rsidRPr="00950BE2">
        <w:rPr>
          <w:rFonts w:eastAsia="Times New Roman" w:cstheme="minorHAnsi"/>
          <w:color w:val="000000"/>
          <w:kern w:val="0"/>
          <w:sz w:val="24"/>
          <w:szCs w:val="24"/>
          <w:lang w:eastAsia="en-GB"/>
          <w14:ligatures w14:val="none"/>
        </w:rPr>
        <w:t>Beck, A. T., &amp; Alford, B. A. (2008). </w:t>
      </w:r>
      <w:r w:rsidRPr="00950BE2">
        <w:rPr>
          <w:rFonts w:eastAsia="Times New Roman" w:cstheme="minorHAnsi"/>
          <w:i/>
          <w:iCs/>
          <w:color w:val="000000"/>
          <w:kern w:val="0"/>
          <w:sz w:val="24"/>
          <w:szCs w:val="24"/>
          <w:lang w:eastAsia="en-GB"/>
          <w14:ligatures w14:val="none"/>
        </w:rPr>
        <w:t>Depression: Causes and Treatment</w:t>
      </w:r>
      <w:r w:rsidRPr="00950BE2">
        <w:rPr>
          <w:rFonts w:eastAsia="Times New Roman" w:cstheme="minorHAnsi"/>
          <w:color w:val="000000"/>
          <w:kern w:val="0"/>
          <w:sz w:val="24"/>
          <w:szCs w:val="24"/>
          <w:lang w:eastAsia="en-GB"/>
          <w14:ligatures w14:val="none"/>
        </w:rPr>
        <w:t> (2nd ed.). University of Pennsylvania Press.</w:t>
      </w:r>
    </w:p>
    <w:p w14:paraId="35FB78A4"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proofErr w:type="spellStart"/>
      <w:r w:rsidRPr="00950BE2">
        <w:rPr>
          <w:rFonts w:eastAsia="Times New Roman" w:cstheme="minorHAnsi"/>
          <w:color w:val="000000"/>
          <w:kern w:val="0"/>
          <w:sz w:val="24"/>
          <w:szCs w:val="24"/>
          <w:lang w:eastAsia="en-GB"/>
          <w14:ligatures w14:val="none"/>
        </w:rPr>
        <w:lastRenderedPageBreak/>
        <w:t>Benedek</w:t>
      </w:r>
      <w:proofErr w:type="spellEnd"/>
      <w:r w:rsidRPr="00950BE2">
        <w:rPr>
          <w:rFonts w:eastAsia="Times New Roman" w:cstheme="minorHAnsi"/>
          <w:color w:val="000000"/>
          <w:kern w:val="0"/>
          <w:sz w:val="24"/>
          <w:szCs w:val="24"/>
          <w:lang w:eastAsia="en-GB"/>
          <w14:ligatures w14:val="none"/>
        </w:rPr>
        <w:t xml:space="preserve">, D. M., Fullerton, C., &amp; </w:t>
      </w:r>
      <w:proofErr w:type="spellStart"/>
      <w:r w:rsidRPr="00950BE2">
        <w:rPr>
          <w:rFonts w:eastAsia="Times New Roman" w:cstheme="minorHAnsi"/>
          <w:color w:val="000000"/>
          <w:kern w:val="0"/>
          <w:sz w:val="24"/>
          <w:szCs w:val="24"/>
          <w:lang w:eastAsia="en-GB"/>
          <w14:ligatures w14:val="none"/>
        </w:rPr>
        <w:t>Ursano</w:t>
      </w:r>
      <w:proofErr w:type="spellEnd"/>
      <w:r w:rsidRPr="00950BE2">
        <w:rPr>
          <w:rFonts w:eastAsia="Times New Roman" w:cstheme="minorHAnsi"/>
          <w:color w:val="000000"/>
          <w:kern w:val="0"/>
          <w:sz w:val="24"/>
          <w:szCs w:val="24"/>
          <w:lang w:eastAsia="en-GB"/>
          <w14:ligatures w14:val="none"/>
        </w:rPr>
        <w:t>, R. J. (2007). First responders: Mental health consequences of natural and human-made disasters for public health and public safety workers. </w:t>
      </w:r>
      <w:r w:rsidRPr="00950BE2">
        <w:rPr>
          <w:rFonts w:eastAsia="Times New Roman" w:cstheme="minorHAnsi"/>
          <w:i/>
          <w:iCs/>
          <w:color w:val="000000"/>
          <w:kern w:val="0"/>
          <w:sz w:val="24"/>
          <w:szCs w:val="24"/>
          <w:lang w:eastAsia="en-GB"/>
          <w14:ligatures w14:val="none"/>
        </w:rPr>
        <w:t>Annual Review of Public Health</w:t>
      </w:r>
      <w:r w:rsidRPr="00950BE2">
        <w:rPr>
          <w:rFonts w:eastAsia="Times New Roman" w:cstheme="minorHAnsi"/>
          <w:color w:val="000000"/>
          <w:kern w:val="0"/>
          <w:sz w:val="24"/>
          <w:szCs w:val="24"/>
          <w:lang w:eastAsia="en-GB"/>
          <w14:ligatures w14:val="none"/>
        </w:rPr>
        <w:t>, </w:t>
      </w:r>
      <w:r w:rsidRPr="00950BE2">
        <w:rPr>
          <w:rFonts w:eastAsia="Times New Roman" w:cstheme="minorHAnsi"/>
          <w:i/>
          <w:iCs/>
          <w:color w:val="000000"/>
          <w:kern w:val="0"/>
          <w:sz w:val="24"/>
          <w:szCs w:val="24"/>
          <w:lang w:eastAsia="en-GB"/>
          <w14:ligatures w14:val="none"/>
        </w:rPr>
        <w:t>28</w:t>
      </w:r>
      <w:r w:rsidRPr="00950BE2">
        <w:rPr>
          <w:rFonts w:eastAsia="Times New Roman" w:cstheme="minorHAnsi"/>
          <w:color w:val="000000"/>
          <w:kern w:val="0"/>
          <w:sz w:val="24"/>
          <w:szCs w:val="24"/>
          <w:lang w:eastAsia="en-GB"/>
          <w14:ligatures w14:val="none"/>
        </w:rPr>
        <w:t>(1), 55–68. https://doi.org/10.1146/annurev.publhealth.28.021406.144037</w:t>
      </w:r>
    </w:p>
    <w:p w14:paraId="0B500BA4"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r w:rsidRPr="00950BE2">
        <w:rPr>
          <w:rFonts w:eastAsia="Times New Roman" w:cstheme="minorHAnsi"/>
          <w:color w:val="000000"/>
          <w:kern w:val="0"/>
          <w:sz w:val="24"/>
          <w:szCs w:val="24"/>
          <w:lang w:eastAsia="en-GB"/>
          <w14:ligatures w14:val="none"/>
        </w:rPr>
        <w:t>Block, D. B. (2023, May 1). What is critical incident management? How to stay one step ahead. </w:t>
      </w:r>
      <w:r w:rsidRPr="00950BE2">
        <w:rPr>
          <w:rFonts w:eastAsia="Times New Roman" w:cstheme="minorHAnsi"/>
          <w:i/>
          <w:iCs/>
          <w:color w:val="000000"/>
          <w:kern w:val="0"/>
          <w:sz w:val="24"/>
          <w:szCs w:val="24"/>
          <w:lang w:eastAsia="en-GB"/>
          <w14:ligatures w14:val="none"/>
        </w:rPr>
        <w:t>Com.au</w:t>
      </w:r>
      <w:r w:rsidRPr="00950BE2">
        <w:rPr>
          <w:rFonts w:eastAsia="Times New Roman" w:cstheme="minorHAnsi"/>
          <w:color w:val="000000"/>
          <w:kern w:val="0"/>
          <w:sz w:val="24"/>
          <w:szCs w:val="24"/>
          <w:lang w:eastAsia="en-GB"/>
          <w14:ligatures w14:val="none"/>
        </w:rPr>
        <w:t>. https://www.altius-group.com.au/news-and-research/what-is-critical-incident-management-how-to-stay-one-step-ahead</w:t>
      </w:r>
    </w:p>
    <w:p w14:paraId="18DB40D0"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Bradley, L. (2016) </w:t>
      </w:r>
      <w:r w:rsidRPr="00950BE2">
        <w:rPr>
          <w:rFonts w:eastAsia="Times New Roman" w:cstheme="minorHAnsi"/>
          <w:i/>
          <w:iCs/>
          <w:kern w:val="0"/>
          <w:sz w:val="24"/>
          <w:szCs w:val="24"/>
          <w:lang w:eastAsia="en-GB"/>
          <w14:ligatures w14:val="none"/>
        </w:rPr>
        <w:t>Cognitive interview</w:t>
      </w:r>
      <w:r w:rsidRPr="00950BE2">
        <w:rPr>
          <w:rFonts w:eastAsia="Times New Roman" w:cstheme="minorHAnsi"/>
          <w:kern w:val="0"/>
          <w:sz w:val="24"/>
          <w:szCs w:val="24"/>
          <w:lang w:eastAsia="en-GB"/>
          <w14:ligatures w14:val="none"/>
        </w:rPr>
        <w:t>, </w:t>
      </w:r>
      <w:r w:rsidRPr="00950BE2">
        <w:rPr>
          <w:rFonts w:eastAsia="Times New Roman" w:cstheme="minorHAnsi"/>
          <w:i/>
          <w:iCs/>
          <w:kern w:val="0"/>
          <w:sz w:val="24"/>
          <w:szCs w:val="24"/>
          <w:lang w:eastAsia="en-GB"/>
          <w14:ligatures w14:val="none"/>
        </w:rPr>
        <w:t>Getrevising.co.uk</w:t>
      </w:r>
      <w:r w:rsidRPr="00950BE2">
        <w:rPr>
          <w:rFonts w:eastAsia="Times New Roman" w:cstheme="minorHAnsi"/>
          <w:kern w:val="0"/>
          <w:sz w:val="24"/>
          <w:szCs w:val="24"/>
          <w:lang w:eastAsia="en-GB"/>
          <w14:ligatures w14:val="none"/>
        </w:rPr>
        <w:t>. Available at: https://getrevising.co.uk/grids/cognitive-interview-2 (Accessed: May 26, 2024).</w:t>
      </w:r>
    </w:p>
    <w:p w14:paraId="2E5221D0"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Colin Clarke, R. M. (2001) </w:t>
      </w:r>
      <w:r w:rsidRPr="00950BE2">
        <w:rPr>
          <w:rFonts w:eastAsia="Times New Roman" w:cstheme="minorHAnsi"/>
          <w:i/>
          <w:iCs/>
          <w:kern w:val="0"/>
          <w:sz w:val="24"/>
          <w:szCs w:val="24"/>
          <w:lang w:eastAsia="en-GB"/>
          <w14:ligatures w14:val="none"/>
        </w:rPr>
        <w:t>Cloudfront.net</w:t>
      </w:r>
      <w:r w:rsidRPr="00950BE2">
        <w:rPr>
          <w:rFonts w:eastAsia="Times New Roman" w:cstheme="minorHAnsi"/>
          <w:kern w:val="0"/>
          <w:sz w:val="24"/>
          <w:szCs w:val="24"/>
          <w:lang w:eastAsia="en-GB"/>
          <w14:ligatures w14:val="none"/>
        </w:rPr>
        <w:t>. Available at: https://d1wqtxts1xzle7.cloudfront.net/83755057/National_Evaluation_of_the_PEACE_Investi20220410-14283-brc8qw.pdf?1649659734=&amp;response-content-disposition=inline%3B+filename%3DA_National_Evaluation_of_the_PEACE_Inves.pdf&amp;Expires=1716559666&amp;Signature=fGl9x7fxx-wpBx4MAfgJnxe6XM15cystJjK96dopDjIgfIC-9xl2BGIFYsGH8pGup5MT3WnpAm6z609RhgGh8mrO6LHozknw~l-JOrMuY~C~dMcaDvGfpWmKIiXRmrX~pf7dE3eq1fkDkIwg3bS7mBlqOgckytQ77iGbnFg4vD~Gs1EF8hBUi3FbQleu7RiOdza9M4V6ZvLZeIEBr744bruNN8IYW~277A81lQx0HBuYaclLOnxQWPZRHCpsb7eKKv-muxBSput2~nYf7rNc-5-tuF75pOszZYnOz6DNpg93SI-UT8CcGZXBRD~Vx-Lkk4ACH5S8iQHn-UjxYl9BJQ__&amp;Key-Pair-Id=APKAJLOHF5GGSLRBV4ZA (Accessed: May 24, 2024).</w:t>
      </w:r>
    </w:p>
    <w:p w14:paraId="1FE7EF86"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r w:rsidRPr="00950BE2">
        <w:rPr>
          <w:rFonts w:eastAsia="Times New Roman" w:cstheme="minorHAnsi"/>
          <w:i/>
          <w:iCs/>
          <w:color w:val="000000"/>
          <w:kern w:val="0"/>
          <w:sz w:val="24"/>
          <w:szCs w:val="24"/>
          <w:lang w:eastAsia="en-GB"/>
          <w14:ligatures w14:val="none"/>
        </w:rPr>
        <w:t>College Of Policing</w:t>
      </w:r>
      <w:r w:rsidRPr="00950BE2">
        <w:rPr>
          <w:rFonts w:eastAsia="Times New Roman" w:cstheme="minorHAnsi"/>
          <w:color w:val="000000"/>
          <w:kern w:val="0"/>
          <w:sz w:val="24"/>
          <w:szCs w:val="24"/>
          <w:lang w:eastAsia="en-GB"/>
          <w14:ligatures w14:val="none"/>
        </w:rPr>
        <w:t>. (2021, January). College of Policing. https://www.college.police.uk/app/critical-incident-management/introduction-and-types-critical-incidents</w:t>
      </w:r>
    </w:p>
    <w:p w14:paraId="1FDC9BAF"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r w:rsidRPr="00950BE2">
        <w:rPr>
          <w:rFonts w:eastAsia="Times New Roman" w:cstheme="minorHAnsi"/>
          <w:i/>
          <w:iCs/>
          <w:color w:val="000000"/>
          <w:kern w:val="0"/>
          <w:sz w:val="24"/>
          <w:szCs w:val="24"/>
          <w:lang w:eastAsia="en-GB"/>
          <w14:ligatures w14:val="none"/>
        </w:rPr>
        <w:t>College of Policing</w:t>
      </w:r>
      <w:r w:rsidRPr="00950BE2">
        <w:rPr>
          <w:rFonts w:eastAsia="Times New Roman" w:cstheme="minorHAnsi"/>
          <w:color w:val="000000"/>
          <w:kern w:val="0"/>
          <w:sz w:val="24"/>
          <w:szCs w:val="24"/>
          <w:lang w:eastAsia="en-GB"/>
          <w14:ligatures w14:val="none"/>
        </w:rPr>
        <w:t>. (2023a, October). College of Policing. https://www.college.police.uk/app/civil-emergencies/disaster-victim-identification/definitions</w:t>
      </w:r>
    </w:p>
    <w:p w14:paraId="6D4D3E4C"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r w:rsidRPr="00950BE2">
        <w:rPr>
          <w:rFonts w:eastAsia="Times New Roman" w:cstheme="minorHAnsi"/>
          <w:color w:val="000000"/>
          <w:kern w:val="0"/>
          <w:sz w:val="24"/>
          <w:szCs w:val="24"/>
          <w:lang w:eastAsia="en-GB"/>
          <w14:ligatures w14:val="none"/>
        </w:rPr>
        <w:lastRenderedPageBreak/>
        <w:t>College of Policing. (2023b, October). </w:t>
      </w:r>
      <w:r w:rsidRPr="00950BE2">
        <w:rPr>
          <w:rFonts w:eastAsia="Times New Roman" w:cstheme="minorHAnsi"/>
          <w:i/>
          <w:iCs/>
          <w:color w:val="000000"/>
          <w:kern w:val="0"/>
          <w:sz w:val="24"/>
          <w:szCs w:val="24"/>
          <w:lang w:eastAsia="en-GB"/>
          <w14:ligatures w14:val="none"/>
        </w:rPr>
        <w:t>Response</w:t>
      </w:r>
      <w:r w:rsidRPr="00950BE2">
        <w:rPr>
          <w:rFonts w:eastAsia="Times New Roman" w:cstheme="minorHAnsi"/>
          <w:color w:val="000000"/>
          <w:kern w:val="0"/>
          <w:sz w:val="24"/>
          <w:szCs w:val="24"/>
          <w:lang w:eastAsia="en-GB"/>
          <w14:ligatures w14:val="none"/>
        </w:rPr>
        <w:t>. College of Policing. https://www.college.police.uk/app/civil-emergencies/civil-contingencies/response</w:t>
      </w:r>
    </w:p>
    <w:p w14:paraId="475BCC84"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Dando, C., Wilcock, R. and Milne, R. (2008) “The cognitive interview: Inexperienced police officers’ perceptions of their witness/victim interviewing practices,” </w:t>
      </w:r>
      <w:r w:rsidRPr="00950BE2">
        <w:rPr>
          <w:rFonts w:eastAsia="Times New Roman" w:cstheme="minorHAnsi"/>
          <w:i/>
          <w:iCs/>
          <w:kern w:val="0"/>
          <w:sz w:val="24"/>
          <w:szCs w:val="24"/>
          <w:lang w:eastAsia="en-GB"/>
          <w14:ligatures w14:val="none"/>
        </w:rPr>
        <w:t>Legal and criminological psychology</w:t>
      </w:r>
      <w:r w:rsidRPr="00950BE2">
        <w:rPr>
          <w:rFonts w:eastAsia="Times New Roman" w:cstheme="minorHAnsi"/>
          <w:kern w:val="0"/>
          <w:sz w:val="24"/>
          <w:szCs w:val="24"/>
          <w:lang w:eastAsia="en-GB"/>
          <w14:ligatures w14:val="none"/>
        </w:rPr>
        <w:t xml:space="preserve">, 13(1), pp. 59–70. </w:t>
      </w:r>
      <w:proofErr w:type="spellStart"/>
      <w:r w:rsidRPr="00950BE2">
        <w:rPr>
          <w:rFonts w:eastAsia="Times New Roman" w:cstheme="minorHAnsi"/>
          <w:kern w:val="0"/>
          <w:sz w:val="24"/>
          <w:szCs w:val="24"/>
          <w:lang w:eastAsia="en-GB"/>
          <w14:ligatures w14:val="none"/>
        </w:rPr>
        <w:t>doi</w:t>
      </w:r>
      <w:proofErr w:type="spellEnd"/>
      <w:r w:rsidRPr="00950BE2">
        <w:rPr>
          <w:rFonts w:eastAsia="Times New Roman" w:cstheme="minorHAnsi"/>
          <w:kern w:val="0"/>
          <w:sz w:val="24"/>
          <w:szCs w:val="24"/>
          <w:lang w:eastAsia="en-GB"/>
          <w14:ligatures w14:val="none"/>
        </w:rPr>
        <w:t>: 10.1348/135532506x162498.</w:t>
      </w:r>
    </w:p>
    <w:p w14:paraId="27C1B4CD"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r w:rsidRPr="00950BE2">
        <w:rPr>
          <w:rFonts w:eastAsia="Times New Roman" w:cstheme="minorHAnsi"/>
          <w:color w:val="000000"/>
          <w:kern w:val="0"/>
          <w:sz w:val="24"/>
          <w:szCs w:val="24"/>
          <w:lang w:eastAsia="en-GB"/>
          <w14:ligatures w14:val="none"/>
        </w:rPr>
        <w:t>Darling Downs Health. (2021, November 22). </w:t>
      </w:r>
      <w:r w:rsidRPr="00950BE2">
        <w:rPr>
          <w:rFonts w:eastAsia="Times New Roman" w:cstheme="minorHAnsi"/>
          <w:i/>
          <w:iCs/>
          <w:color w:val="000000"/>
          <w:kern w:val="0"/>
          <w:sz w:val="24"/>
          <w:szCs w:val="24"/>
          <w:lang w:eastAsia="en-GB"/>
          <w14:ligatures w14:val="none"/>
        </w:rPr>
        <w:t>Signs you might be experiencing a burnout and how to regain balance in your life</w:t>
      </w:r>
      <w:r w:rsidRPr="00950BE2">
        <w:rPr>
          <w:rFonts w:eastAsia="Times New Roman" w:cstheme="minorHAnsi"/>
          <w:color w:val="000000"/>
          <w:kern w:val="0"/>
          <w:sz w:val="24"/>
          <w:szCs w:val="24"/>
          <w:lang w:eastAsia="en-GB"/>
          <w14:ligatures w14:val="none"/>
        </w:rPr>
        <w:t>. Darling Downs Health. https://www.darlingdowns.health.qld.gov.au/about-us/our-stories/feature-articles/signs-you-might-be-experiencing-a-burnout-and-how-to-regain-balance-in-your-life</w:t>
      </w:r>
    </w:p>
    <w:p w14:paraId="4D41F5F0"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proofErr w:type="spellStart"/>
      <w:r w:rsidRPr="00950BE2">
        <w:rPr>
          <w:rFonts w:eastAsia="Times New Roman" w:cstheme="minorHAnsi"/>
          <w:color w:val="000000"/>
          <w:kern w:val="0"/>
          <w:sz w:val="24"/>
          <w:szCs w:val="24"/>
          <w:lang w:eastAsia="en-GB"/>
          <w14:ligatures w14:val="none"/>
        </w:rPr>
        <w:t>Demou</w:t>
      </w:r>
      <w:proofErr w:type="spellEnd"/>
      <w:r w:rsidRPr="00950BE2">
        <w:rPr>
          <w:rFonts w:eastAsia="Times New Roman" w:cstheme="minorHAnsi"/>
          <w:color w:val="000000"/>
          <w:kern w:val="0"/>
          <w:sz w:val="24"/>
          <w:szCs w:val="24"/>
          <w:lang w:eastAsia="en-GB"/>
          <w14:ligatures w14:val="none"/>
        </w:rPr>
        <w:t>, E., Hale, H., &amp; Hunt, K. (2020). Understanding the mental health and wellbeing needs of police officers and staff in Scotland. </w:t>
      </w:r>
      <w:r w:rsidRPr="00950BE2">
        <w:rPr>
          <w:rFonts w:eastAsia="Times New Roman" w:cstheme="minorHAnsi"/>
          <w:i/>
          <w:iCs/>
          <w:color w:val="000000"/>
          <w:kern w:val="0"/>
          <w:sz w:val="24"/>
          <w:szCs w:val="24"/>
          <w:lang w:eastAsia="en-GB"/>
          <w14:ligatures w14:val="none"/>
        </w:rPr>
        <w:t>Police Practice &amp; Research: An International Journal</w:t>
      </w:r>
      <w:r w:rsidRPr="00950BE2">
        <w:rPr>
          <w:rFonts w:eastAsia="Times New Roman" w:cstheme="minorHAnsi"/>
          <w:color w:val="000000"/>
          <w:kern w:val="0"/>
          <w:sz w:val="24"/>
          <w:szCs w:val="24"/>
          <w:lang w:eastAsia="en-GB"/>
          <w14:ligatures w14:val="none"/>
        </w:rPr>
        <w:t>, </w:t>
      </w:r>
      <w:r w:rsidRPr="00950BE2">
        <w:rPr>
          <w:rFonts w:eastAsia="Times New Roman" w:cstheme="minorHAnsi"/>
          <w:i/>
          <w:iCs/>
          <w:color w:val="000000"/>
          <w:kern w:val="0"/>
          <w:sz w:val="24"/>
          <w:szCs w:val="24"/>
          <w:lang w:eastAsia="en-GB"/>
          <w14:ligatures w14:val="none"/>
        </w:rPr>
        <w:t>21</w:t>
      </w:r>
      <w:r w:rsidRPr="00950BE2">
        <w:rPr>
          <w:rFonts w:eastAsia="Times New Roman" w:cstheme="minorHAnsi"/>
          <w:color w:val="000000"/>
          <w:kern w:val="0"/>
          <w:sz w:val="24"/>
          <w:szCs w:val="24"/>
          <w:lang w:eastAsia="en-GB"/>
          <w14:ligatures w14:val="none"/>
        </w:rPr>
        <w:t>(6), 702–716. https://doi.org/10.1080/15614263.2020.1772782</w:t>
      </w:r>
    </w:p>
    <w:p w14:paraId="7684CD61"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r w:rsidRPr="00950BE2">
        <w:rPr>
          <w:rFonts w:eastAsia="Times New Roman" w:cstheme="minorHAnsi"/>
          <w:color w:val="000000"/>
          <w:kern w:val="0"/>
          <w:sz w:val="24"/>
          <w:szCs w:val="24"/>
          <w:lang w:eastAsia="en-GB"/>
          <w14:ligatures w14:val="none"/>
        </w:rPr>
        <w:t>Figley, C. R. (2013). </w:t>
      </w:r>
      <w:r w:rsidRPr="00950BE2">
        <w:rPr>
          <w:rFonts w:eastAsia="Times New Roman" w:cstheme="minorHAnsi"/>
          <w:i/>
          <w:iCs/>
          <w:color w:val="000000"/>
          <w:kern w:val="0"/>
          <w:sz w:val="24"/>
          <w:szCs w:val="24"/>
          <w:lang w:eastAsia="en-GB"/>
          <w14:ligatures w14:val="none"/>
        </w:rPr>
        <w:t>Treating compassion fatigue</w:t>
      </w:r>
      <w:r w:rsidRPr="00950BE2">
        <w:rPr>
          <w:rFonts w:eastAsia="Times New Roman" w:cstheme="minorHAnsi"/>
          <w:color w:val="000000"/>
          <w:kern w:val="0"/>
          <w:sz w:val="24"/>
          <w:szCs w:val="24"/>
          <w:lang w:eastAsia="en-GB"/>
          <w14:ligatures w14:val="none"/>
        </w:rPr>
        <w:t>. Routledge.</w:t>
      </w:r>
    </w:p>
    <w:p w14:paraId="5FC7F03B"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George, T. (2022) </w:t>
      </w:r>
      <w:r w:rsidRPr="00950BE2">
        <w:rPr>
          <w:rFonts w:eastAsia="Times New Roman" w:cstheme="minorHAnsi"/>
          <w:i/>
          <w:iCs/>
          <w:kern w:val="0"/>
          <w:sz w:val="24"/>
          <w:szCs w:val="24"/>
          <w:lang w:eastAsia="en-GB"/>
          <w14:ligatures w14:val="none"/>
        </w:rPr>
        <w:t>Structured interview</w:t>
      </w:r>
      <w:r w:rsidRPr="00950BE2">
        <w:rPr>
          <w:rFonts w:eastAsia="Times New Roman" w:cstheme="minorHAnsi"/>
          <w:kern w:val="0"/>
          <w:sz w:val="24"/>
          <w:szCs w:val="24"/>
          <w:lang w:eastAsia="en-GB"/>
          <w14:ligatures w14:val="none"/>
        </w:rPr>
        <w:t>, </w:t>
      </w:r>
      <w:r w:rsidRPr="00950BE2">
        <w:rPr>
          <w:rFonts w:eastAsia="Times New Roman" w:cstheme="minorHAnsi"/>
          <w:i/>
          <w:iCs/>
          <w:kern w:val="0"/>
          <w:sz w:val="24"/>
          <w:szCs w:val="24"/>
          <w:lang w:eastAsia="en-GB"/>
          <w14:ligatures w14:val="none"/>
        </w:rPr>
        <w:t>Scribbr.com</w:t>
      </w:r>
      <w:r w:rsidRPr="00950BE2">
        <w:rPr>
          <w:rFonts w:eastAsia="Times New Roman" w:cstheme="minorHAnsi"/>
          <w:kern w:val="0"/>
          <w:sz w:val="24"/>
          <w:szCs w:val="24"/>
          <w:lang w:eastAsia="en-GB"/>
          <w14:ligatures w14:val="none"/>
        </w:rPr>
        <w:t>. Available at: https://www.scribbr.com/methodology/structured-interview/ (Accessed: May 26, 2024).</w:t>
      </w:r>
    </w:p>
    <w:p w14:paraId="1457FA27"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Home Office (2023) </w:t>
      </w:r>
      <w:r w:rsidRPr="00950BE2">
        <w:rPr>
          <w:rFonts w:eastAsia="Times New Roman" w:cstheme="minorHAnsi"/>
          <w:i/>
          <w:iCs/>
          <w:kern w:val="0"/>
          <w:sz w:val="24"/>
          <w:szCs w:val="24"/>
          <w:lang w:eastAsia="en-GB"/>
          <w14:ligatures w14:val="none"/>
        </w:rPr>
        <w:t>PACE code C 2019 (accessible)</w:t>
      </w:r>
      <w:r w:rsidRPr="00950BE2">
        <w:rPr>
          <w:rFonts w:eastAsia="Times New Roman" w:cstheme="minorHAnsi"/>
          <w:kern w:val="0"/>
          <w:sz w:val="24"/>
          <w:szCs w:val="24"/>
          <w:lang w:eastAsia="en-GB"/>
          <w14:ligatures w14:val="none"/>
        </w:rPr>
        <w:t>, </w:t>
      </w:r>
      <w:r w:rsidRPr="00950BE2">
        <w:rPr>
          <w:rFonts w:eastAsia="Times New Roman" w:cstheme="minorHAnsi"/>
          <w:i/>
          <w:iCs/>
          <w:kern w:val="0"/>
          <w:sz w:val="24"/>
          <w:szCs w:val="24"/>
          <w:lang w:eastAsia="en-GB"/>
          <w14:ligatures w14:val="none"/>
        </w:rPr>
        <w:t>Gov.uk</w:t>
      </w:r>
      <w:r w:rsidRPr="00950BE2">
        <w:rPr>
          <w:rFonts w:eastAsia="Times New Roman" w:cstheme="minorHAnsi"/>
          <w:kern w:val="0"/>
          <w:sz w:val="24"/>
          <w:szCs w:val="24"/>
          <w:lang w:eastAsia="en-GB"/>
          <w14:ligatures w14:val="none"/>
        </w:rPr>
        <w:t>. Available at: https://www.gov.uk/government/publications/pace-code-c-2019/pace-code-c-2019-accessible (Accessed: May 26, 2024).</w:t>
      </w:r>
    </w:p>
    <w:p w14:paraId="0E24612B"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Hope, C. </w:t>
      </w:r>
      <w:r w:rsidRPr="00950BE2">
        <w:rPr>
          <w:rFonts w:eastAsia="Times New Roman" w:cstheme="minorHAnsi"/>
          <w:i/>
          <w:iCs/>
          <w:kern w:val="0"/>
          <w:sz w:val="24"/>
          <w:szCs w:val="24"/>
          <w:lang w:eastAsia="en-GB"/>
          <w14:ligatures w14:val="none"/>
        </w:rPr>
        <w:t>et al.</w:t>
      </w:r>
      <w:r w:rsidRPr="00950BE2">
        <w:rPr>
          <w:rFonts w:eastAsia="Times New Roman" w:cstheme="minorHAnsi"/>
          <w:kern w:val="0"/>
          <w:sz w:val="24"/>
          <w:szCs w:val="24"/>
          <w:lang w:eastAsia="en-GB"/>
          <w14:ligatures w14:val="none"/>
        </w:rPr>
        <w:t> (2008) “Police wasting more than a third of their time on paperwork, Tony McNulty admits,” </w:t>
      </w:r>
      <w:r w:rsidRPr="00950BE2">
        <w:rPr>
          <w:rFonts w:eastAsia="Times New Roman" w:cstheme="minorHAnsi"/>
          <w:i/>
          <w:iCs/>
          <w:kern w:val="0"/>
          <w:sz w:val="24"/>
          <w:szCs w:val="24"/>
          <w:lang w:eastAsia="en-GB"/>
          <w14:ligatures w14:val="none"/>
        </w:rPr>
        <w:t>Sunday telegraph</w:t>
      </w:r>
      <w:r w:rsidRPr="00950BE2">
        <w:rPr>
          <w:rFonts w:eastAsia="Times New Roman" w:cstheme="minorHAnsi"/>
          <w:kern w:val="0"/>
          <w:sz w:val="24"/>
          <w:szCs w:val="24"/>
          <w:lang w:eastAsia="en-GB"/>
          <w14:ligatures w14:val="none"/>
        </w:rPr>
        <w:t>, 6 August. Available at: https://www.telegraph.co.uk/news/uknews/2511307/Police-wasting-more-than-a-third-of-their-time-on-paperwork-Tony-McNulty-admits.html (Accessed: May 26, 2024).</w:t>
      </w:r>
    </w:p>
    <w:p w14:paraId="24B06E89"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Human Rights Act 1998 (1998). Available at: https://www.legislation.gov.uk/ukpga/1998/42/schedule/1 (Accessed: May 26, 2024).</w:t>
      </w:r>
    </w:p>
    <w:p w14:paraId="1F8D554A"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i/>
          <w:iCs/>
          <w:kern w:val="0"/>
          <w:sz w:val="24"/>
          <w:szCs w:val="24"/>
          <w:lang w:eastAsia="en-GB"/>
          <w14:ligatures w14:val="none"/>
        </w:rPr>
        <w:lastRenderedPageBreak/>
        <w:t>Investigative interviewing</w:t>
      </w:r>
      <w:r w:rsidRPr="00950BE2">
        <w:rPr>
          <w:rFonts w:eastAsia="Times New Roman" w:cstheme="minorHAnsi"/>
          <w:kern w:val="0"/>
          <w:sz w:val="24"/>
          <w:szCs w:val="24"/>
          <w:lang w:eastAsia="en-GB"/>
          <w14:ligatures w14:val="none"/>
        </w:rPr>
        <w:t> (2023) </w:t>
      </w:r>
      <w:r w:rsidRPr="00950BE2">
        <w:rPr>
          <w:rFonts w:eastAsia="Times New Roman" w:cstheme="minorHAnsi"/>
          <w:i/>
          <w:iCs/>
          <w:kern w:val="0"/>
          <w:sz w:val="24"/>
          <w:szCs w:val="24"/>
          <w:lang w:eastAsia="en-GB"/>
          <w14:ligatures w14:val="none"/>
        </w:rPr>
        <w:t>College of Policing</w:t>
      </w:r>
      <w:r w:rsidRPr="00950BE2">
        <w:rPr>
          <w:rFonts w:eastAsia="Times New Roman" w:cstheme="minorHAnsi"/>
          <w:kern w:val="0"/>
          <w:sz w:val="24"/>
          <w:szCs w:val="24"/>
          <w:lang w:eastAsia="en-GB"/>
          <w14:ligatures w14:val="none"/>
        </w:rPr>
        <w:t>. Available at: https://www.college.police.uk/app/investigation/investigative-interviewing (Accessed: May 24, 2024).</w:t>
      </w:r>
    </w:p>
    <w:p w14:paraId="0C0DB15B"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r w:rsidRPr="00950BE2">
        <w:rPr>
          <w:rFonts w:eastAsia="Times New Roman" w:cstheme="minorHAnsi"/>
          <w:color w:val="000000"/>
          <w:kern w:val="0"/>
          <w:sz w:val="24"/>
          <w:szCs w:val="24"/>
          <w:lang w:eastAsia="en-GB"/>
          <w14:ligatures w14:val="none"/>
        </w:rPr>
        <w:t>JESIP. (2022, March 7). </w:t>
      </w:r>
      <w:r w:rsidRPr="00950BE2">
        <w:rPr>
          <w:rFonts w:eastAsia="Times New Roman" w:cstheme="minorHAnsi"/>
          <w:i/>
          <w:iCs/>
          <w:color w:val="000000"/>
          <w:kern w:val="0"/>
          <w:sz w:val="24"/>
          <w:szCs w:val="24"/>
          <w:lang w:eastAsia="en-GB"/>
          <w14:ligatures w14:val="none"/>
        </w:rPr>
        <w:t>M/ethane</w:t>
      </w:r>
      <w:r w:rsidRPr="00950BE2">
        <w:rPr>
          <w:rFonts w:eastAsia="Times New Roman" w:cstheme="minorHAnsi"/>
          <w:color w:val="000000"/>
          <w:kern w:val="0"/>
          <w:sz w:val="24"/>
          <w:szCs w:val="24"/>
          <w:lang w:eastAsia="en-GB"/>
          <w14:ligatures w14:val="none"/>
        </w:rPr>
        <w:t>. JESIP Website. https://www.jesip.org.uk/joint-doctrine/m-ethane/</w:t>
      </w:r>
    </w:p>
    <w:p w14:paraId="0459AFC0"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Kebbell, M. R., Milne, R. and Wagstaff, G. F. (1999) “The cognitive interview: A survey of its forensic effectiveness,” </w:t>
      </w:r>
      <w:r w:rsidRPr="00950BE2">
        <w:rPr>
          <w:rFonts w:eastAsia="Times New Roman" w:cstheme="minorHAnsi"/>
          <w:i/>
          <w:iCs/>
          <w:kern w:val="0"/>
          <w:sz w:val="24"/>
          <w:szCs w:val="24"/>
          <w:lang w:eastAsia="en-GB"/>
          <w14:ligatures w14:val="none"/>
        </w:rPr>
        <w:t>Psychology, crime &amp; law: PC &amp; L</w:t>
      </w:r>
      <w:r w:rsidRPr="00950BE2">
        <w:rPr>
          <w:rFonts w:eastAsia="Times New Roman" w:cstheme="minorHAnsi"/>
          <w:kern w:val="0"/>
          <w:sz w:val="24"/>
          <w:szCs w:val="24"/>
          <w:lang w:eastAsia="en-GB"/>
          <w14:ligatures w14:val="none"/>
        </w:rPr>
        <w:t xml:space="preserve">, 5(1–2), pp. 101–115. </w:t>
      </w:r>
      <w:proofErr w:type="spellStart"/>
      <w:r w:rsidRPr="00950BE2">
        <w:rPr>
          <w:rFonts w:eastAsia="Times New Roman" w:cstheme="minorHAnsi"/>
          <w:kern w:val="0"/>
          <w:sz w:val="24"/>
          <w:szCs w:val="24"/>
          <w:lang w:eastAsia="en-GB"/>
          <w14:ligatures w14:val="none"/>
        </w:rPr>
        <w:t>doi</w:t>
      </w:r>
      <w:proofErr w:type="spellEnd"/>
      <w:r w:rsidRPr="00950BE2">
        <w:rPr>
          <w:rFonts w:eastAsia="Times New Roman" w:cstheme="minorHAnsi"/>
          <w:kern w:val="0"/>
          <w:sz w:val="24"/>
          <w:szCs w:val="24"/>
          <w:lang w:eastAsia="en-GB"/>
          <w14:ligatures w14:val="none"/>
        </w:rPr>
        <w:t>: 10.1080/10683169908414996.</w:t>
      </w:r>
    </w:p>
    <w:p w14:paraId="7FB81B5C"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r w:rsidRPr="00950BE2">
        <w:rPr>
          <w:rFonts w:eastAsia="Times New Roman" w:cstheme="minorHAnsi"/>
          <w:color w:val="000000"/>
          <w:kern w:val="0"/>
          <w:sz w:val="24"/>
          <w:szCs w:val="24"/>
          <w:lang w:eastAsia="en-GB"/>
          <w14:ligatures w14:val="none"/>
        </w:rPr>
        <w:t>London Borough of Tower Hamlets Safety &amp; Civil Protection Unit. (n.d.). </w:t>
      </w:r>
      <w:r w:rsidRPr="00950BE2">
        <w:rPr>
          <w:rFonts w:eastAsia="Times New Roman" w:cstheme="minorHAnsi"/>
          <w:i/>
          <w:iCs/>
          <w:color w:val="000000"/>
          <w:kern w:val="0"/>
          <w:sz w:val="24"/>
          <w:szCs w:val="24"/>
          <w:lang w:eastAsia="en-GB"/>
          <w14:ligatures w14:val="none"/>
        </w:rPr>
        <w:t>Major incident procedures</w:t>
      </w:r>
      <w:r w:rsidRPr="00950BE2">
        <w:rPr>
          <w:rFonts w:eastAsia="Times New Roman" w:cstheme="minorHAnsi"/>
          <w:color w:val="000000"/>
          <w:kern w:val="0"/>
          <w:sz w:val="24"/>
          <w:szCs w:val="24"/>
          <w:lang w:eastAsia="en-GB"/>
          <w14:ligatures w14:val="none"/>
        </w:rPr>
        <w:t xml:space="preserve">. Towerhamelts.gov.uk. Retrieved May 12, 2024, from </w:t>
      </w:r>
      <w:proofErr w:type="gramStart"/>
      <w:r w:rsidRPr="00950BE2">
        <w:rPr>
          <w:rFonts w:eastAsia="Times New Roman" w:cstheme="minorHAnsi"/>
          <w:color w:val="000000"/>
          <w:kern w:val="0"/>
          <w:sz w:val="24"/>
          <w:szCs w:val="24"/>
          <w:lang w:eastAsia="en-GB"/>
          <w14:ligatures w14:val="none"/>
        </w:rPr>
        <w:t>https://www.towerhamlets.gov.uk/Documents/Community-safety-and-emergencies/Major_Incident_Procedure_A_Guide_for_Local_Business.pdf</w:t>
      </w:r>
      <w:proofErr w:type="gramEnd"/>
    </w:p>
    <w:p w14:paraId="54FE849E" w14:textId="77777777" w:rsidR="00B053AE" w:rsidRPr="00950BE2" w:rsidRDefault="00B053AE" w:rsidP="00B053AE">
      <w:pPr>
        <w:rPr>
          <w:rFonts w:cstheme="minorHAnsi"/>
          <w:sz w:val="24"/>
          <w:szCs w:val="24"/>
        </w:rPr>
      </w:pPr>
      <w:r w:rsidRPr="00950BE2">
        <w:rPr>
          <w:rFonts w:cstheme="minorHAnsi"/>
          <w:sz w:val="24"/>
          <w:szCs w:val="24"/>
        </w:rPr>
        <w:t>Lowe, D (2020) Manchester Arena Bombings: main lessons that have been learnt. Counter IED Report. ISSN 2050-6732</w:t>
      </w:r>
    </w:p>
    <w:p w14:paraId="43328654"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proofErr w:type="spellStart"/>
      <w:r w:rsidRPr="00950BE2">
        <w:rPr>
          <w:rFonts w:eastAsia="Times New Roman" w:cstheme="minorHAnsi"/>
          <w:kern w:val="0"/>
          <w:sz w:val="24"/>
          <w:szCs w:val="24"/>
          <w:lang w:eastAsia="en-GB"/>
          <w14:ligatures w14:val="none"/>
        </w:rPr>
        <w:t>Mcleod</w:t>
      </w:r>
      <w:proofErr w:type="spellEnd"/>
      <w:r w:rsidRPr="00950BE2">
        <w:rPr>
          <w:rFonts w:eastAsia="Times New Roman" w:cstheme="minorHAnsi"/>
          <w:kern w:val="0"/>
          <w:sz w:val="24"/>
          <w:szCs w:val="24"/>
          <w:lang w:eastAsia="en-GB"/>
          <w14:ligatures w14:val="none"/>
        </w:rPr>
        <w:t>, S. (2022) “Cognitive interview technique,” </w:t>
      </w:r>
      <w:r w:rsidRPr="00950BE2">
        <w:rPr>
          <w:rFonts w:eastAsia="Times New Roman" w:cstheme="minorHAnsi"/>
          <w:i/>
          <w:iCs/>
          <w:kern w:val="0"/>
          <w:sz w:val="24"/>
          <w:szCs w:val="24"/>
          <w:lang w:eastAsia="en-GB"/>
          <w14:ligatures w14:val="none"/>
        </w:rPr>
        <w:t>Simply Psychology</w:t>
      </w:r>
      <w:r w:rsidRPr="00950BE2">
        <w:rPr>
          <w:rFonts w:eastAsia="Times New Roman" w:cstheme="minorHAnsi"/>
          <w:kern w:val="0"/>
          <w:sz w:val="24"/>
          <w:szCs w:val="24"/>
          <w:lang w:eastAsia="en-GB"/>
          <w14:ligatures w14:val="none"/>
        </w:rPr>
        <w:t>. Available at: https://www.simplypsychology.org/cognitive-interview.html (Accessed: May 26, 2024).</w:t>
      </w:r>
    </w:p>
    <w:p w14:paraId="045811B2"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 xml:space="preserve">Merriam, S. B. and </w:t>
      </w:r>
      <w:proofErr w:type="spellStart"/>
      <w:r w:rsidRPr="00950BE2">
        <w:rPr>
          <w:rFonts w:eastAsia="Times New Roman" w:cstheme="minorHAnsi"/>
          <w:kern w:val="0"/>
          <w:sz w:val="24"/>
          <w:szCs w:val="24"/>
          <w:lang w:eastAsia="en-GB"/>
          <w14:ligatures w14:val="none"/>
        </w:rPr>
        <w:t>Tisdell</w:t>
      </w:r>
      <w:proofErr w:type="spellEnd"/>
      <w:r w:rsidRPr="00950BE2">
        <w:rPr>
          <w:rFonts w:eastAsia="Times New Roman" w:cstheme="minorHAnsi"/>
          <w:kern w:val="0"/>
          <w:sz w:val="24"/>
          <w:szCs w:val="24"/>
          <w:lang w:eastAsia="en-GB"/>
          <w14:ligatures w14:val="none"/>
        </w:rPr>
        <w:t>, E. J. (2015) </w:t>
      </w:r>
      <w:r w:rsidRPr="00950BE2">
        <w:rPr>
          <w:rFonts w:eastAsia="Times New Roman" w:cstheme="minorHAnsi"/>
          <w:i/>
          <w:iCs/>
          <w:kern w:val="0"/>
          <w:sz w:val="24"/>
          <w:szCs w:val="24"/>
          <w:lang w:eastAsia="en-GB"/>
          <w14:ligatures w14:val="none"/>
        </w:rPr>
        <w:t>Qualitative research: A guide to design and implementation</w:t>
      </w:r>
      <w:r w:rsidRPr="00950BE2">
        <w:rPr>
          <w:rFonts w:eastAsia="Times New Roman" w:cstheme="minorHAnsi"/>
          <w:kern w:val="0"/>
          <w:sz w:val="24"/>
          <w:szCs w:val="24"/>
          <w:lang w:eastAsia="en-GB"/>
          <w14:ligatures w14:val="none"/>
        </w:rPr>
        <w:t>. 4th ed. London, England: Jossey-Bass.</w:t>
      </w:r>
    </w:p>
    <w:p w14:paraId="41AB9096"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Milne, R. and Bull, R. (2002) “Back to basics: a componential analysis of the original cognitive interview mnemonics with three age groups,” </w:t>
      </w:r>
      <w:r w:rsidRPr="00950BE2">
        <w:rPr>
          <w:rFonts w:eastAsia="Times New Roman" w:cstheme="minorHAnsi"/>
          <w:i/>
          <w:iCs/>
          <w:kern w:val="0"/>
          <w:sz w:val="24"/>
          <w:szCs w:val="24"/>
          <w:lang w:eastAsia="en-GB"/>
          <w14:ligatures w14:val="none"/>
        </w:rPr>
        <w:t>Applied cognitive psychology</w:t>
      </w:r>
      <w:r w:rsidRPr="00950BE2">
        <w:rPr>
          <w:rFonts w:eastAsia="Times New Roman" w:cstheme="minorHAnsi"/>
          <w:kern w:val="0"/>
          <w:sz w:val="24"/>
          <w:szCs w:val="24"/>
          <w:lang w:eastAsia="en-GB"/>
          <w14:ligatures w14:val="none"/>
        </w:rPr>
        <w:t xml:space="preserve">, 16(7), pp. 743–753. </w:t>
      </w:r>
      <w:proofErr w:type="spellStart"/>
      <w:r w:rsidRPr="00950BE2">
        <w:rPr>
          <w:rFonts w:eastAsia="Times New Roman" w:cstheme="minorHAnsi"/>
          <w:kern w:val="0"/>
          <w:sz w:val="24"/>
          <w:szCs w:val="24"/>
          <w:lang w:eastAsia="en-GB"/>
          <w14:ligatures w14:val="none"/>
        </w:rPr>
        <w:t>doi</w:t>
      </w:r>
      <w:proofErr w:type="spellEnd"/>
      <w:r w:rsidRPr="00950BE2">
        <w:rPr>
          <w:rFonts w:eastAsia="Times New Roman" w:cstheme="minorHAnsi"/>
          <w:kern w:val="0"/>
          <w:sz w:val="24"/>
          <w:szCs w:val="24"/>
          <w:lang w:eastAsia="en-GB"/>
          <w14:ligatures w14:val="none"/>
        </w:rPr>
        <w:t>: 10.1002/acp.825.</w:t>
      </w:r>
    </w:p>
    <w:p w14:paraId="6DD6A9CC"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NPSA (2023) </w:t>
      </w:r>
      <w:r w:rsidRPr="00950BE2">
        <w:rPr>
          <w:rFonts w:eastAsia="Times New Roman" w:cstheme="minorHAnsi"/>
          <w:i/>
          <w:iCs/>
          <w:kern w:val="0"/>
          <w:sz w:val="24"/>
          <w:szCs w:val="24"/>
          <w:lang w:eastAsia="en-GB"/>
          <w14:ligatures w14:val="none"/>
        </w:rPr>
        <w:t>Operation PLATO</w:t>
      </w:r>
      <w:r w:rsidRPr="00950BE2">
        <w:rPr>
          <w:rFonts w:eastAsia="Times New Roman" w:cstheme="minorHAnsi"/>
          <w:kern w:val="0"/>
          <w:sz w:val="24"/>
          <w:szCs w:val="24"/>
          <w:lang w:eastAsia="en-GB"/>
          <w14:ligatures w14:val="none"/>
        </w:rPr>
        <w:t>, </w:t>
      </w:r>
      <w:r w:rsidRPr="00950BE2">
        <w:rPr>
          <w:rFonts w:eastAsia="Times New Roman" w:cstheme="minorHAnsi"/>
          <w:i/>
          <w:iCs/>
          <w:kern w:val="0"/>
          <w:sz w:val="24"/>
          <w:szCs w:val="24"/>
          <w:lang w:eastAsia="en-GB"/>
          <w14:ligatures w14:val="none"/>
        </w:rPr>
        <w:t>Gov.uk</w:t>
      </w:r>
      <w:r w:rsidRPr="00950BE2">
        <w:rPr>
          <w:rFonts w:eastAsia="Times New Roman" w:cstheme="minorHAnsi"/>
          <w:kern w:val="0"/>
          <w:sz w:val="24"/>
          <w:szCs w:val="24"/>
          <w:lang w:eastAsia="en-GB"/>
          <w14:ligatures w14:val="none"/>
        </w:rPr>
        <w:t>. Available at: https://www.npsa.gov.uk/system/files/documents/MTA%20Guidance-SG-Lockdown-%28OFFICIAL%29-NPSA%20EDN%203%20FINAL.pdf (Accessed: May 23, 2024).</w:t>
      </w:r>
    </w:p>
    <w:p w14:paraId="5F3CF91C"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Saunders, J. (2022) </w:t>
      </w:r>
      <w:r w:rsidRPr="00950BE2">
        <w:rPr>
          <w:rFonts w:eastAsia="Times New Roman" w:cstheme="minorHAnsi"/>
          <w:i/>
          <w:iCs/>
          <w:kern w:val="0"/>
          <w:sz w:val="24"/>
          <w:szCs w:val="24"/>
          <w:lang w:eastAsia="en-GB"/>
          <w14:ligatures w14:val="none"/>
        </w:rPr>
        <w:t>Manchester arena enquiry</w:t>
      </w:r>
      <w:r w:rsidRPr="00950BE2">
        <w:rPr>
          <w:rFonts w:eastAsia="Times New Roman" w:cstheme="minorHAnsi"/>
          <w:kern w:val="0"/>
          <w:sz w:val="24"/>
          <w:szCs w:val="24"/>
          <w:lang w:eastAsia="en-GB"/>
          <w14:ligatures w14:val="none"/>
        </w:rPr>
        <w:t>, </w:t>
      </w:r>
      <w:r w:rsidRPr="00950BE2">
        <w:rPr>
          <w:rFonts w:eastAsia="Times New Roman" w:cstheme="minorHAnsi"/>
          <w:i/>
          <w:iCs/>
          <w:kern w:val="0"/>
          <w:sz w:val="24"/>
          <w:szCs w:val="24"/>
          <w:lang w:eastAsia="en-GB"/>
          <w14:ligatures w14:val="none"/>
        </w:rPr>
        <w:t>Gov.uk</w:t>
      </w:r>
      <w:r w:rsidRPr="00950BE2">
        <w:rPr>
          <w:rFonts w:eastAsia="Times New Roman" w:cstheme="minorHAnsi"/>
          <w:kern w:val="0"/>
          <w:sz w:val="24"/>
          <w:szCs w:val="24"/>
          <w:lang w:eastAsia="en-GB"/>
          <w14:ligatures w14:val="none"/>
        </w:rPr>
        <w:t>. Available at: https://assets.publishing.service.gov.uk/government/uploads/system/uploads/attachment_data/file/1115447/MAI-Vol2-_Part_i_Accessible_.pdf (Accessed: May 23, 2024).</w:t>
      </w:r>
    </w:p>
    <w:p w14:paraId="412D86B5"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t>Sparks, S. (2021) </w:t>
      </w:r>
      <w:r w:rsidRPr="00950BE2">
        <w:rPr>
          <w:rFonts w:eastAsia="Times New Roman" w:cstheme="minorHAnsi"/>
          <w:i/>
          <w:iCs/>
          <w:kern w:val="0"/>
          <w:sz w:val="24"/>
          <w:szCs w:val="24"/>
          <w:lang w:eastAsia="en-GB"/>
          <w14:ligatures w14:val="none"/>
        </w:rPr>
        <w:t>What are structured interviews (and why use them</w:t>
      </w:r>
      <w:proofErr w:type="gramStart"/>
      <w:r w:rsidRPr="00950BE2">
        <w:rPr>
          <w:rFonts w:eastAsia="Times New Roman" w:cstheme="minorHAnsi"/>
          <w:i/>
          <w:iCs/>
          <w:kern w:val="0"/>
          <w:sz w:val="24"/>
          <w:szCs w:val="24"/>
          <w:lang w:eastAsia="en-GB"/>
          <w14:ligatures w14:val="none"/>
        </w:rPr>
        <w:t>)?</w:t>
      </w:r>
      <w:r w:rsidRPr="00950BE2">
        <w:rPr>
          <w:rFonts w:eastAsia="Times New Roman" w:cstheme="minorHAnsi"/>
          <w:kern w:val="0"/>
          <w:sz w:val="24"/>
          <w:szCs w:val="24"/>
          <w:lang w:eastAsia="en-GB"/>
          <w14:ligatures w14:val="none"/>
        </w:rPr>
        <w:t>,</w:t>
      </w:r>
      <w:proofErr w:type="gramEnd"/>
      <w:r w:rsidRPr="00950BE2">
        <w:rPr>
          <w:rFonts w:eastAsia="Times New Roman" w:cstheme="minorHAnsi"/>
          <w:kern w:val="0"/>
          <w:sz w:val="24"/>
          <w:szCs w:val="24"/>
          <w:lang w:eastAsia="en-GB"/>
          <w14:ligatures w14:val="none"/>
        </w:rPr>
        <w:t> </w:t>
      </w:r>
      <w:r w:rsidRPr="00950BE2">
        <w:rPr>
          <w:rFonts w:eastAsia="Times New Roman" w:cstheme="minorHAnsi"/>
          <w:i/>
          <w:iCs/>
          <w:kern w:val="0"/>
          <w:sz w:val="24"/>
          <w:szCs w:val="24"/>
          <w:lang w:eastAsia="en-GB"/>
          <w14:ligatures w14:val="none"/>
        </w:rPr>
        <w:t>Lever</w:t>
      </w:r>
      <w:r w:rsidRPr="00950BE2">
        <w:rPr>
          <w:rFonts w:eastAsia="Times New Roman" w:cstheme="minorHAnsi"/>
          <w:kern w:val="0"/>
          <w:sz w:val="24"/>
          <w:szCs w:val="24"/>
          <w:lang w:eastAsia="en-GB"/>
          <w14:ligatures w14:val="none"/>
        </w:rPr>
        <w:t>. Available at: https://www.lever.co/blog/structured-interviews/ (Accessed: May 26, 2024).</w:t>
      </w:r>
    </w:p>
    <w:p w14:paraId="0A9597F0"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kern w:val="0"/>
          <w:sz w:val="24"/>
          <w:szCs w:val="24"/>
          <w:lang w:eastAsia="en-GB"/>
          <w14:ligatures w14:val="none"/>
        </w:rPr>
        <w:lastRenderedPageBreak/>
        <w:t>Stanley, E. (2022) “Manchester Arena attack: Key failings of emergency response,” </w:t>
      </w:r>
      <w:r w:rsidRPr="00950BE2">
        <w:rPr>
          <w:rFonts w:eastAsia="Times New Roman" w:cstheme="minorHAnsi"/>
          <w:i/>
          <w:iCs/>
          <w:kern w:val="0"/>
          <w:sz w:val="24"/>
          <w:szCs w:val="24"/>
          <w:lang w:eastAsia="en-GB"/>
          <w14:ligatures w14:val="none"/>
        </w:rPr>
        <w:t>BBC</w:t>
      </w:r>
      <w:r w:rsidRPr="00950BE2">
        <w:rPr>
          <w:rFonts w:eastAsia="Times New Roman" w:cstheme="minorHAnsi"/>
          <w:kern w:val="0"/>
          <w:sz w:val="24"/>
          <w:szCs w:val="24"/>
          <w:lang w:eastAsia="en-GB"/>
          <w14:ligatures w14:val="none"/>
        </w:rPr>
        <w:t>, 3 November. Available at: https://www.bbc.co.uk/news/uk-england-manchester-63472531 (Accessed: May 23, 2024).</w:t>
      </w:r>
    </w:p>
    <w:p w14:paraId="27F27EEC"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proofErr w:type="spellStart"/>
      <w:r w:rsidRPr="00950BE2">
        <w:rPr>
          <w:rFonts w:eastAsia="Times New Roman" w:cstheme="minorHAnsi"/>
          <w:color w:val="000000"/>
          <w:kern w:val="0"/>
          <w:sz w:val="24"/>
          <w:szCs w:val="24"/>
          <w:lang w:eastAsia="en-GB"/>
          <w14:ligatures w14:val="none"/>
        </w:rPr>
        <w:t>Violanti</w:t>
      </w:r>
      <w:proofErr w:type="spellEnd"/>
      <w:r w:rsidRPr="00950BE2">
        <w:rPr>
          <w:rFonts w:eastAsia="Times New Roman" w:cstheme="minorHAnsi"/>
          <w:color w:val="000000"/>
          <w:kern w:val="0"/>
          <w:sz w:val="24"/>
          <w:szCs w:val="24"/>
          <w:lang w:eastAsia="en-GB"/>
          <w14:ligatures w14:val="none"/>
        </w:rPr>
        <w:t>, J. M. (1999). Police trauma: Psychological aftermath of civilian combat. </w:t>
      </w:r>
      <w:r w:rsidRPr="00950BE2">
        <w:rPr>
          <w:rFonts w:eastAsia="Times New Roman" w:cstheme="minorHAnsi"/>
          <w:i/>
          <w:iCs/>
          <w:color w:val="000000"/>
          <w:kern w:val="0"/>
          <w:sz w:val="24"/>
          <w:szCs w:val="24"/>
          <w:lang w:eastAsia="en-GB"/>
          <w14:ligatures w14:val="none"/>
        </w:rPr>
        <w:t>Policing (Bradford, England)</w:t>
      </w:r>
      <w:r w:rsidRPr="00950BE2">
        <w:rPr>
          <w:rFonts w:eastAsia="Times New Roman" w:cstheme="minorHAnsi"/>
          <w:color w:val="000000"/>
          <w:kern w:val="0"/>
          <w:sz w:val="24"/>
          <w:szCs w:val="24"/>
          <w:lang w:eastAsia="en-GB"/>
          <w14:ligatures w14:val="none"/>
        </w:rPr>
        <w:t>, </w:t>
      </w:r>
      <w:r w:rsidRPr="00950BE2">
        <w:rPr>
          <w:rFonts w:eastAsia="Times New Roman" w:cstheme="minorHAnsi"/>
          <w:i/>
          <w:iCs/>
          <w:color w:val="000000"/>
          <w:kern w:val="0"/>
          <w:sz w:val="24"/>
          <w:szCs w:val="24"/>
          <w:lang w:eastAsia="en-GB"/>
          <w14:ligatures w14:val="none"/>
        </w:rPr>
        <w:t>23</w:t>
      </w:r>
      <w:r w:rsidRPr="00950BE2">
        <w:rPr>
          <w:rFonts w:eastAsia="Times New Roman" w:cstheme="minorHAnsi"/>
          <w:color w:val="000000"/>
          <w:kern w:val="0"/>
          <w:sz w:val="24"/>
          <w:szCs w:val="24"/>
          <w:lang w:eastAsia="en-GB"/>
          <w14:ligatures w14:val="none"/>
        </w:rPr>
        <w:t>(2), 268–272. https://doi.org/10.1108/pijpsm.2000.23.2.268.1</w:t>
      </w:r>
    </w:p>
    <w:p w14:paraId="1CFBE812"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r w:rsidRPr="00950BE2">
        <w:rPr>
          <w:rFonts w:eastAsia="Times New Roman" w:cstheme="minorHAnsi"/>
          <w:color w:val="000000"/>
          <w:kern w:val="0"/>
          <w:sz w:val="24"/>
          <w:szCs w:val="24"/>
          <w:lang w:eastAsia="en-GB"/>
          <w14:ligatures w14:val="none"/>
        </w:rPr>
        <w:t>What happens in the brain during PTSD? (2023). </w:t>
      </w:r>
      <w:r w:rsidRPr="00950BE2">
        <w:rPr>
          <w:rFonts w:eastAsia="Times New Roman" w:cstheme="minorHAnsi"/>
          <w:i/>
          <w:iCs/>
          <w:color w:val="000000"/>
          <w:kern w:val="0"/>
          <w:sz w:val="24"/>
          <w:szCs w:val="24"/>
          <w:lang w:eastAsia="en-GB"/>
          <w14:ligatures w14:val="none"/>
        </w:rPr>
        <w:t>Psychology Today</w:t>
      </w:r>
      <w:r w:rsidRPr="00950BE2">
        <w:rPr>
          <w:rFonts w:eastAsia="Times New Roman" w:cstheme="minorHAnsi"/>
          <w:color w:val="000000"/>
          <w:kern w:val="0"/>
          <w:sz w:val="24"/>
          <w:szCs w:val="24"/>
          <w:lang w:eastAsia="en-GB"/>
          <w14:ligatures w14:val="none"/>
        </w:rPr>
        <w:t>. https://www.psychologytoday.com/us/blog/evidence-based-living/202312/what-happens-in-the-brain-during-ptsd</w:t>
      </w:r>
    </w:p>
    <w:p w14:paraId="0702C732" w14:textId="77777777" w:rsidR="00B053AE" w:rsidRPr="00950BE2" w:rsidRDefault="00B053AE" w:rsidP="00B053AE">
      <w:pPr>
        <w:spacing w:before="100" w:beforeAutospacing="1" w:after="100" w:afterAutospacing="1" w:line="240" w:lineRule="auto"/>
        <w:rPr>
          <w:rFonts w:eastAsia="Times New Roman" w:cstheme="minorHAnsi"/>
          <w:kern w:val="0"/>
          <w:sz w:val="24"/>
          <w:szCs w:val="24"/>
          <w:lang w:eastAsia="en-GB"/>
          <w14:ligatures w14:val="none"/>
        </w:rPr>
      </w:pPr>
      <w:r w:rsidRPr="00950BE2">
        <w:rPr>
          <w:rFonts w:eastAsia="Times New Roman" w:cstheme="minorHAnsi"/>
          <w:i/>
          <w:iCs/>
          <w:kern w:val="0"/>
          <w:sz w:val="24"/>
          <w:szCs w:val="24"/>
          <w:lang w:eastAsia="en-GB"/>
          <w14:ligatures w14:val="none"/>
        </w:rPr>
        <w:t>Who was Manchester suicide bomber Salman Abedi?</w:t>
      </w:r>
      <w:r w:rsidRPr="00950BE2">
        <w:rPr>
          <w:rFonts w:eastAsia="Times New Roman" w:cstheme="minorHAnsi"/>
          <w:kern w:val="0"/>
          <w:sz w:val="24"/>
          <w:szCs w:val="24"/>
          <w:lang w:eastAsia="en-GB"/>
          <w14:ligatures w14:val="none"/>
        </w:rPr>
        <w:t> (2017) </w:t>
      </w:r>
      <w:r w:rsidRPr="00950BE2">
        <w:rPr>
          <w:rFonts w:eastAsia="Times New Roman" w:cstheme="minorHAnsi"/>
          <w:i/>
          <w:iCs/>
          <w:kern w:val="0"/>
          <w:sz w:val="24"/>
          <w:szCs w:val="24"/>
          <w:lang w:eastAsia="en-GB"/>
          <w14:ligatures w14:val="none"/>
        </w:rPr>
        <w:t>Sky</w:t>
      </w:r>
      <w:r w:rsidRPr="00950BE2">
        <w:rPr>
          <w:rFonts w:eastAsia="Times New Roman" w:cstheme="minorHAnsi"/>
          <w:kern w:val="0"/>
          <w:sz w:val="24"/>
          <w:szCs w:val="24"/>
          <w:lang w:eastAsia="en-GB"/>
          <w14:ligatures w14:val="none"/>
        </w:rPr>
        <w:t>. Available at: https://news.sky.com/story/who-was-manchester-arena-suicide-bomber-salman-abedi-10890602 (Accessed: May 23, 2024).</w:t>
      </w:r>
    </w:p>
    <w:p w14:paraId="10A075AD" w14:textId="77777777" w:rsidR="00B053AE" w:rsidRPr="00950BE2" w:rsidRDefault="00B053AE" w:rsidP="00B053AE">
      <w:pPr>
        <w:spacing w:before="100" w:beforeAutospacing="1" w:after="0" w:line="480" w:lineRule="auto"/>
        <w:ind w:left="720" w:hanging="720"/>
        <w:rPr>
          <w:rFonts w:eastAsia="Times New Roman" w:cstheme="minorHAnsi"/>
          <w:color w:val="000000"/>
          <w:kern w:val="0"/>
          <w:sz w:val="24"/>
          <w:szCs w:val="24"/>
          <w:lang w:eastAsia="en-GB"/>
          <w14:ligatures w14:val="none"/>
        </w:rPr>
      </w:pPr>
      <w:r w:rsidRPr="00950BE2">
        <w:rPr>
          <w:rFonts w:eastAsia="Times New Roman" w:cstheme="minorHAnsi"/>
          <w:color w:val="000000"/>
          <w:kern w:val="0"/>
          <w:sz w:val="24"/>
          <w:szCs w:val="24"/>
          <w:lang w:eastAsia="en-GB"/>
          <w14:ligatures w14:val="none"/>
        </w:rPr>
        <w:t>Wisner, W. (2022, September 30). </w:t>
      </w:r>
      <w:r w:rsidRPr="00950BE2">
        <w:rPr>
          <w:rFonts w:eastAsia="Times New Roman" w:cstheme="minorHAnsi"/>
          <w:i/>
          <w:iCs/>
          <w:color w:val="000000"/>
          <w:kern w:val="0"/>
          <w:sz w:val="24"/>
          <w:szCs w:val="24"/>
          <w:lang w:eastAsia="en-GB"/>
          <w14:ligatures w14:val="none"/>
        </w:rPr>
        <w:t>What is critical incident stress management?</w:t>
      </w:r>
      <w:r w:rsidRPr="00950BE2">
        <w:rPr>
          <w:rFonts w:eastAsia="Times New Roman" w:cstheme="minorHAnsi"/>
          <w:color w:val="000000"/>
          <w:kern w:val="0"/>
          <w:sz w:val="24"/>
          <w:szCs w:val="24"/>
          <w:lang w:eastAsia="en-GB"/>
          <w14:ligatures w14:val="none"/>
        </w:rPr>
        <w:t> </w:t>
      </w:r>
      <w:proofErr w:type="spellStart"/>
      <w:r w:rsidRPr="00950BE2">
        <w:rPr>
          <w:rFonts w:eastAsia="Times New Roman" w:cstheme="minorHAnsi"/>
          <w:color w:val="000000"/>
          <w:kern w:val="0"/>
          <w:sz w:val="24"/>
          <w:szCs w:val="24"/>
          <w:lang w:eastAsia="en-GB"/>
          <w14:ligatures w14:val="none"/>
        </w:rPr>
        <w:t>Verywell</w:t>
      </w:r>
      <w:proofErr w:type="spellEnd"/>
      <w:r w:rsidRPr="00950BE2">
        <w:rPr>
          <w:rFonts w:eastAsia="Times New Roman" w:cstheme="minorHAnsi"/>
          <w:color w:val="000000"/>
          <w:kern w:val="0"/>
          <w:sz w:val="24"/>
          <w:szCs w:val="24"/>
          <w:lang w:eastAsia="en-GB"/>
          <w14:ligatures w14:val="none"/>
        </w:rPr>
        <w:t xml:space="preserve"> Mind. https://www.verywellmind.com/what-is-critical-incident-stress-management-6741455</w:t>
      </w:r>
    </w:p>
    <w:p w14:paraId="48E1DB08" w14:textId="77777777" w:rsidR="00B053AE" w:rsidRDefault="00B053AE"/>
    <w:sectPr w:rsidR="00B053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3610D"/>
    <w:multiLevelType w:val="hybridMultilevel"/>
    <w:tmpl w:val="ED60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3B5DB6"/>
    <w:multiLevelType w:val="hybridMultilevel"/>
    <w:tmpl w:val="D6B8D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583115">
    <w:abstractNumId w:val="0"/>
  </w:num>
  <w:num w:numId="2" w16cid:durableId="10635999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3AE"/>
    <w:rsid w:val="00B052F7"/>
    <w:rsid w:val="00B053AE"/>
    <w:rsid w:val="00F55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57A0D"/>
  <w15:chartTrackingRefBased/>
  <w15:docId w15:val="{19614826-9FF1-4DF1-AA4B-CB9086EFD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3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53AE"/>
    <w:pPr>
      <w:ind w:left="720"/>
      <w:contextualSpacing/>
    </w:pPr>
  </w:style>
  <w:style w:type="paragraph" w:styleId="NormalWeb">
    <w:name w:val="Normal (Web)"/>
    <w:basedOn w:val="Normal"/>
    <w:uiPriority w:val="99"/>
    <w:semiHidden/>
    <w:unhideWhenUsed/>
    <w:rsid w:val="00B053A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4758</Words>
  <Characters>27123</Characters>
  <Application>Microsoft Office Word</Application>
  <DocSecurity>0</DocSecurity>
  <Lines>226</Lines>
  <Paragraphs>63</Paragraphs>
  <ScaleCrop>false</ScaleCrop>
  <Company>Gwent Police</Company>
  <LinksUpToDate>false</LinksUpToDate>
  <CharactersWithSpaces>31818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Christopher</dc:creator>
  <cp:keywords/>
  <dc:description/>
  <cp:lastModifiedBy>George, Christopher</cp:lastModifiedBy>
  <cp:revision>1</cp:revision>
  <dcterms:created xsi:type="dcterms:W3CDTF">2024-05-26T17:42:00Z</dcterms:created>
  <dcterms:modified xsi:type="dcterms:W3CDTF">2024-05-26T17:45:00Z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2024-05-26T17:45:17Z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8e712d0f-6aaa-4664-889b-a2d223a0a8ec</vt:lpwstr>
  </property>
  <property fmtid="{D5CDD505-2E9C-101B-9397-08002B2CF9AE}" pid="8" name="MSIP_Label_f2acd28b-79a3-4a0f-b0ff-4b75658b1549_ContentBits">
    <vt:lpwstr>0</vt:lpwstr>
  </property>
</Properties>
</file>