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85D89" w14:textId="6F16417A" w:rsidR="00E40291" w:rsidRDefault="00E40291" w:rsidP="001479CA">
      <w:pPr>
        <w:rPr>
          <w:rFonts w:ascii="Times New Roman" w:hAnsi="Times New Roman" w:cs="Times New Roman"/>
          <w:b/>
          <w:bCs/>
          <w:sz w:val="32"/>
          <w:szCs w:val="32"/>
        </w:rPr>
      </w:pPr>
      <w:r>
        <w:rPr>
          <w:rFonts w:ascii="Times New Roman" w:hAnsi="Times New Roman" w:cs="Times New Roman"/>
          <w:b/>
          <w:bCs/>
          <w:noProof/>
          <w:szCs w:val="22"/>
          <w14:ligatures w14:val="none"/>
        </w:rPr>
        <w:drawing>
          <wp:inline distT="0" distB="0" distL="0" distR="0" wp14:anchorId="43DAC827" wp14:editId="3B3D4A1F">
            <wp:extent cx="4890770" cy="1621790"/>
            <wp:effectExtent l="0" t="0" r="5080" b="0"/>
            <wp:docPr id="13261218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2186" name="图片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900155" cy="1625094"/>
                    </a:xfrm>
                    <a:prstGeom prst="rect">
                      <a:avLst/>
                    </a:prstGeom>
                  </pic:spPr>
                </pic:pic>
              </a:graphicData>
            </a:graphic>
          </wp:inline>
        </w:drawing>
      </w:r>
    </w:p>
    <w:p w14:paraId="3D2F66F8" w14:textId="77777777" w:rsidR="00E40291" w:rsidRDefault="00E40291" w:rsidP="001479CA">
      <w:pPr>
        <w:rPr>
          <w:rFonts w:ascii="Times New Roman" w:hAnsi="Times New Roman" w:cs="Times New Roman"/>
          <w:b/>
          <w:bCs/>
          <w:sz w:val="32"/>
          <w:szCs w:val="32"/>
        </w:rPr>
      </w:pPr>
    </w:p>
    <w:p w14:paraId="0B42CE05" w14:textId="77777777" w:rsidR="00E40291" w:rsidRPr="00E40291" w:rsidRDefault="00E40291" w:rsidP="00E40291">
      <w:pPr>
        <w:rPr>
          <w:rFonts w:ascii="Times New Roman" w:hAnsi="Times New Roman" w:cs="Times New Roman"/>
          <w:b/>
          <w:bCs/>
          <w:sz w:val="44"/>
          <w:szCs w:val="44"/>
        </w:rPr>
      </w:pPr>
      <w:r w:rsidRPr="00E40291">
        <w:rPr>
          <w:rFonts w:ascii="Times New Roman" w:hAnsi="Times New Roman" w:cs="Times New Roman"/>
          <w:b/>
          <w:bCs/>
          <w:sz w:val="44"/>
          <w:szCs w:val="44"/>
        </w:rPr>
        <w:t>Reflective Portfolio Task: Critical Analysis of Your Doctoral Research Journey</w:t>
      </w:r>
    </w:p>
    <w:p w14:paraId="0B4FEFA1" w14:textId="77777777" w:rsidR="00E40291" w:rsidRPr="00E40291" w:rsidRDefault="00E40291" w:rsidP="001479CA">
      <w:pPr>
        <w:rPr>
          <w:rFonts w:ascii="Times New Roman" w:hAnsi="Times New Roman" w:cs="Times New Roman"/>
          <w:b/>
          <w:bCs/>
          <w:sz w:val="32"/>
          <w:szCs w:val="32"/>
        </w:rPr>
      </w:pPr>
    </w:p>
    <w:p w14:paraId="25A6FD11" w14:textId="77777777" w:rsidR="00E40291" w:rsidRDefault="00E40291" w:rsidP="001479CA">
      <w:pPr>
        <w:rPr>
          <w:rFonts w:ascii="Times New Roman" w:hAnsi="Times New Roman" w:cs="Times New Roman"/>
          <w:b/>
          <w:bCs/>
          <w:sz w:val="32"/>
          <w:szCs w:val="32"/>
        </w:rPr>
      </w:pPr>
    </w:p>
    <w:p w14:paraId="5319D05C" w14:textId="77777777" w:rsidR="00E40291" w:rsidRDefault="00E40291" w:rsidP="001479CA">
      <w:pPr>
        <w:rPr>
          <w:rFonts w:ascii="Times New Roman" w:hAnsi="Times New Roman" w:cs="Times New Roman"/>
          <w:b/>
          <w:bCs/>
          <w:sz w:val="32"/>
          <w:szCs w:val="32"/>
        </w:rPr>
      </w:pPr>
    </w:p>
    <w:p w14:paraId="7FCC31E5" w14:textId="77777777" w:rsidR="00E40291" w:rsidRDefault="00E40291" w:rsidP="001479CA">
      <w:pPr>
        <w:rPr>
          <w:rFonts w:ascii="Times New Roman" w:hAnsi="Times New Roman" w:cs="Times New Roman"/>
          <w:b/>
          <w:bCs/>
          <w:sz w:val="32"/>
          <w:szCs w:val="32"/>
        </w:rPr>
      </w:pPr>
    </w:p>
    <w:p w14:paraId="3CA499EA" w14:textId="77777777" w:rsidR="00C7453B" w:rsidRDefault="00C7453B" w:rsidP="001479CA">
      <w:pPr>
        <w:rPr>
          <w:rFonts w:ascii="Times New Roman" w:hAnsi="Times New Roman" w:cs="Times New Roman" w:hint="eastAsia"/>
          <w:b/>
          <w:bCs/>
          <w:sz w:val="32"/>
          <w:szCs w:val="32"/>
        </w:rPr>
      </w:pPr>
    </w:p>
    <w:p w14:paraId="2989A694" w14:textId="77777777" w:rsidR="00E40291" w:rsidRDefault="00E40291" w:rsidP="001479CA">
      <w:pPr>
        <w:rPr>
          <w:rFonts w:ascii="Times New Roman" w:hAnsi="Times New Roman" w:cs="Times New Roman"/>
          <w:b/>
          <w:bCs/>
          <w:sz w:val="32"/>
          <w:szCs w:val="32"/>
        </w:rPr>
      </w:pPr>
    </w:p>
    <w:p w14:paraId="19734017" w14:textId="77777777" w:rsidR="00E40291" w:rsidRDefault="00E40291" w:rsidP="00E40291">
      <w:pPr>
        <w:jc w:val="both"/>
        <w:rPr>
          <w:rFonts w:ascii="Times New Roman" w:hAnsi="Times New Roman" w:cs="Times New Roman"/>
          <w:b/>
          <w:bCs/>
          <w:sz w:val="28"/>
          <w:szCs w:val="28"/>
        </w:rPr>
      </w:pPr>
      <w:r>
        <w:rPr>
          <w:rFonts w:ascii="Times New Roman" w:hAnsi="Times New Roman" w:cs="Times New Roman"/>
          <w:b/>
          <w:bCs/>
          <w:sz w:val="28"/>
          <w:szCs w:val="28"/>
        </w:rPr>
        <w:t>Student Name</w:t>
      </w:r>
      <w:r>
        <w:rPr>
          <w:rFonts w:ascii="Times New Roman" w:hAnsi="Times New Roman" w:cs="Times New Roman"/>
          <w:b/>
          <w:bCs/>
          <w:sz w:val="28"/>
          <w:szCs w:val="28"/>
        </w:rPr>
        <w:t>：</w:t>
      </w:r>
      <w:r>
        <w:rPr>
          <w:rFonts w:ascii="Times New Roman" w:hAnsi="Times New Roman" w:cs="Times New Roman"/>
          <w:b/>
          <w:bCs/>
          <w:sz w:val="28"/>
          <w:szCs w:val="28"/>
        </w:rPr>
        <w:t>Guangzheng Wu</w:t>
      </w:r>
    </w:p>
    <w:p w14:paraId="756E60F5" w14:textId="77777777" w:rsidR="00E40291" w:rsidRDefault="00E40291" w:rsidP="00E40291">
      <w:pPr>
        <w:jc w:val="both"/>
        <w:rPr>
          <w:rFonts w:ascii="Times New Roman" w:hAnsi="Times New Roman" w:cs="Times New Roman"/>
          <w:b/>
          <w:bCs/>
          <w:sz w:val="28"/>
          <w:szCs w:val="28"/>
        </w:rPr>
      </w:pPr>
      <w:r>
        <w:rPr>
          <w:rFonts w:ascii="Times New Roman" w:hAnsi="Times New Roman" w:cs="Times New Roman"/>
          <w:b/>
          <w:bCs/>
          <w:sz w:val="28"/>
          <w:szCs w:val="28"/>
        </w:rPr>
        <w:t>Student ID</w:t>
      </w:r>
      <w:r>
        <w:rPr>
          <w:rFonts w:ascii="Times New Roman" w:hAnsi="Times New Roman" w:cs="Times New Roman"/>
          <w:b/>
          <w:bCs/>
          <w:sz w:val="28"/>
          <w:szCs w:val="28"/>
        </w:rPr>
        <w:t>：</w:t>
      </w:r>
      <w:r>
        <w:rPr>
          <w:rFonts w:ascii="Times New Roman" w:hAnsi="Times New Roman" w:cs="Times New Roman"/>
          <w:b/>
          <w:bCs/>
          <w:sz w:val="28"/>
          <w:szCs w:val="28"/>
        </w:rPr>
        <w:t>2501013</w:t>
      </w:r>
    </w:p>
    <w:p w14:paraId="268A9675" w14:textId="69E50332" w:rsidR="00E40291" w:rsidRDefault="00E40291" w:rsidP="00E40291">
      <w:pPr>
        <w:jc w:val="both"/>
        <w:rPr>
          <w:rFonts w:ascii="Times New Roman" w:hAnsi="Times New Roman" w:cs="Times New Roman"/>
          <w:b/>
          <w:bCs/>
          <w:sz w:val="28"/>
          <w:szCs w:val="28"/>
        </w:rPr>
      </w:pPr>
      <w:r>
        <w:rPr>
          <w:rFonts w:ascii="Times New Roman" w:hAnsi="Times New Roman" w:cs="Times New Roman"/>
          <w:b/>
          <w:bCs/>
          <w:sz w:val="28"/>
          <w:szCs w:val="28"/>
        </w:rPr>
        <w:t xml:space="preserve">Module: </w:t>
      </w:r>
      <w:proofErr w:type="gramStart"/>
      <w:r w:rsidRPr="00E40291">
        <w:rPr>
          <w:rFonts w:ascii="Times New Roman" w:hAnsi="Times New Roman" w:cs="Times New Roman"/>
          <w:b/>
          <w:bCs/>
          <w:sz w:val="28"/>
          <w:szCs w:val="28"/>
        </w:rPr>
        <w:t>Advancing to</w:t>
      </w:r>
      <w:proofErr w:type="gramEnd"/>
      <w:r w:rsidRPr="00E40291">
        <w:rPr>
          <w:rFonts w:ascii="Times New Roman" w:hAnsi="Times New Roman" w:cs="Times New Roman"/>
          <w:b/>
          <w:bCs/>
          <w:sz w:val="28"/>
          <w:szCs w:val="28"/>
        </w:rPr>
        <w:t xml:space="preserve"> Doctoral Research Stage (LCDB7012)</w:t>
      </w:r>
    </w:p>
    <w:p w14:paraId="2DBADF4C" w14:textId="481CB39A" w:rsidR="00E40291" w:rsidRDefault="00E40291" w:rsidP="00E40291">
      <w:pPr>
        <w:jc w:val="both"/>
        <w:rPr>
          <w:rFonts w:ascii="Times New Roman" w:hAnsi="Times New Roman" w:cs="Times New Roman"/>
          <w:b/>
          <w:bCs/>
          <w:sz w:val="28"/>
          <w:szCs w:val="28"/>
        </w:rPr>
      </w:pPr>
      <w:r>
        <w:rPr>
          <w:rFonts w:ascii="Times New Roman" w:hAnsi="Times New Roman" w:cs="Times New Roman"/>
          <w:b/>
          <w:bCs/>
          <w:sz w:val="28"/>
          <w:szCs w:val="28"/>
        </w:rPr>
        <w:t xml:space="preserve">Module Lead: Dr. </w:t>
      </w:r>
      <w:r w:rsidRPr="00E40291">
        <w:rPr>
          <w:rFonts w:ascii="Times New Roman" w:hAnsi="Times New Roman" w:cs="Times New Roman"/>
          <w:b/>
          <w:bCs/>
          <w:sz w:val="28"/>
          <w:szCs w:val="28"/>
        </w:rPr>
        <w:t>Caroline Jawad</w:t>
      </w:r>
    </w:p>
    <w:p w14:paraId="2B3D8A9F" w14:textId="14C2DADC" w:rsidR="001479CA" w:rsidRDefault="001479CA" w:rsidP="001479CA">
      <w:pPr>
        <w:rPr>
          <w:rFonts w:ascii="Times New Roman" w:hAnsi="Times New Roman" w:cs="Times New Roman"/>
          <w:b/>
          <w:bCs/>
          <w:sz w:val="32"/>
          <w:szCs w:val="32"/>
        </w:rPr>
      </w:pPr>
    </w:p>
    <w:p w14:paraId="02D849C5"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lastRenderedPageBreak/>
        <w:t>Part 1: Who I Was When I Started</w:t>
      </w:r>
    </w:p>
    <w:p w14:paraId="6B7E986E" w14:textId="77777777" w:rsidR="008D6321" w:rsidRPr="008D6321" w:rsidRDefault="008D6321" w:rsidP="008D6321">
      <w:pPr>
        <w:spacing w:line="360" w:lineRule="auto"/>
        <w:rPr>
          <w:rFonts w:ascii="Times New Roman" w:hAnsi="Times New Roman" w:cs="Times New Roman"/>
          <w:sz w:val="24"/>
        </w:rPr>
      </w:pPr>
      <w:r w:rsidRPr="008D6321">
        <w:rPr>
          <w:rFonts w:ascii="Times New Roman" w:hAnsi="Times New Roman" w:cs="Times New Roman"/>
          <w:sz w:val="24"/>
        </w:rPr>
        <w:t>Thinking back on Part 1, I see how much my assumptions about research have changed. Schön (2017) calls this reflection-on-action and Gibbs (1988) has developed a reflective cycle to enable me to move beyond description to evaluation and action in the future. The experiential learning cycle of Kolb (1984) also helps me to think about how reflection on past experience can facilitate new understanding and impact on future practice.</w:t>
      </w:r>
    </w:p>
    <w:p w14:paraId="6CE865B3" w14:textId="77777777" w:rsidR="008D6321"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I was trained in economics and corporate finance. Before Part 1, I thought research was a systematic process: ask a question, gather evidence and reach a conclusion. I came to the doctorate with a relatively fixed view of knowledge. I assumed that careful observation and rigorous analysis would uncover regularities in social and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phenomena. I also tended to regard evidence as most credible when it could be measured, compared and </w:t>
      </w:r>
      <w:proofErr w:type="spellStart"/>
      <w:r w:rsidRPr="00C7453B">
        <w:rPr>
          <w:rFonts w:ascii="Times New Roman" w:hAnsi="Times New Roman" w:cs="Times New Roman"/>
          <w:sz w:val="24"/>
        </w:rPr>
        <w:t>analysed</w:t>
      </w:r>
      <w:proofErr w:type="spellEnd"/>
      <w:r w:rsidRPr="00C7453B">
        <w:rPr>
          <w:rFonts w:ascii="Times New Roman" w:hAnsi="Times New Roman" w:cs="Times New Roman"/>
          <w:sz w:val="24"/>
        </w:rPr>
        <w:t xml:space="preserve">. </w:t>
      </w:r>
      <w:r w:rsidR="008D6321" w:rsidRPr="008D6321">
        <w:rPr>
          <w:rFonts w:ascii="Times New Roman" w:hAnsi="Times New Roman" w:cs="Times New Roman"/>
          <w:sz w:val="24"/>
        </w:rPr>
        <w:t xml:space="preserve">I was drawn to research that addressed real problems and helped people make better decisions. I rarely asked myself where these assumptions had come </w:t>
      </w:r>
      <w:r w:rsidR="008D6321" w:rsidRPr="008D6321">
        <w:rPr>
          <w:rFonts w:ascii="Times New Roman" w:hAnsi="Times New Roman" w:cs="Times New Roman"/>
          <w:sz w:val="24"/>
        </w:rPr>
        <w:t xml:space="preserve">from </w:t>
      </w:r>
      <w:r w:rsidR="008D6321" w:rsidRPr="008D6321">
        <w:rPr>
          <w:rFonts w:ascii="Times New Roman" w:hAnsi="Times New Roman" w:cs="Times New Roman"/>
          <w:sz w:val="24"/>
        </w:rPr>
        <w:t xml:space="preserve">or </w:t>
      </w:r>
      <w:proofErr w:type="spellStart"/>
      <w:r w:rsidR="008D6321" w:rsidRPr="008D6321">
        <w:rPr>
          <w:rFonts w:ascii="Times New Roman" w:hAnsi="Times New Roman" w:cs="Times New Roman"/>
          <w:sz w:val="24"/>
        </w:rPr>
        <w:t>realised</w:t>
      </w:r>
      <w:proofErr w:type="spellEnd"/>
      <w:r w:rsidR="008D6321" w:rsidRPr="008D6321">
        <w:rPr>
          <w:rFonts w:ascii="Times New Roman" w:hAnsi="Times New Roman" w:cs="Times New Roman"/>
          <w:sz w:val="24"/>
        </w:rPr>
        <w:t xml:space="preserve"> that my own idea of 'credible evidence' had been shaped by past experience.</w:t>
      </w:r>
    </w:p>
    <w:p w14:paraId="0A27769D" w14:textId="77777777" w:rsidR="00C04BBB" w:rsidRPr="00C04BBB" w:rsidRDefault="00C04BBB" w:rsidP="00C04BBB">
      <w:pPr>
        <w:spacing w:line="360" w:lineRule="auto"/>
        <w:rPr>
          <w:rFonts w:ascii="Times New Roman" w:hAnsi="Times New Roman" w:cs="Times New Roman" w:hint="eastAsia"/>
          <w:sz w:val="24"/>
        </w:rPr>
      </w:pPr>
      <w:r w:rsidRPr="00C04BBB">
        <w:rPr>
          <w:rFonts w:ascii="Times New Roman" w:hAnsi="Times New Roman" w:cs="Times New Roman" w:hint="eastAsia"/>
          <w:sz w:val="24"/>
        </w:rPr>
        <w:t>Looking back, I can see how much my background shaped the way I thought about research. I studied economics and corporate finance, and most of my training was about numbers. When I evaluated companies in my previous studies, I would go straight to the financial statements. Ratios, margins, cash flow</w:t>
      </w:r>
      <w:r w:rsidRPr="00C04BBB">
        <w:rPr>
          <w:rFonts w:ascii="Times New Roman" w:hAnsi="Times New Roman" w:cs="Times New Roman" w:hint="eastAsia"/>
          <w:sz w:val="24"/>
        </w:rPr>
        <w:t>—</w:t>
      </w:r>
      <w:r w:rsidRPr="00C04BBB">
        <w:rPr>
          <w:rFonts w:ascii="Times New Roman" w:hAnsi="Times New Roman" w:cs="Times New Roman" w:hint="eastAsia"/>
          <w:sz w:val="24"/>
        </w:rPr>
        <w:t>these were the things that told me whether a firm was doing well. I trusted them. If a number could be calculated, I felt I had something solid to stand on.</w:t>
      </w:r>
    </w:p>
    <w:p w14:paraId="11DBD1E9" w14:textId="77777777" w:rsidR="00C04BBB" w:rsidRDefault="00C04BBB" w:rsidP="00C04BBB">
      <w:pPr>
        <w:spacing w:line="360" w:lineRule="auto"/>
        <w:rPr>
          <w:rFonts w:ascii="Times New Roman" w:hAnsi="Times New Roman" w:cs="Times New Roman"/>
          <w:sz w:val="24"/>
        </w:rPr>
      </w:pPr>
      <w:r w:rsidRPr="00C04BBB">
        <w:rPr>
          <w:rFonts w:ascii="Times New Roman" w:hAnsi="Times New Roman" w:cs="Times New Roman" w:hint="eastAsia"/>
          <w:sz w:val="24"/>
        </w:rPr>
        <w:t>I also spent a short time working in my father's garment business. It was a small operation, and the problems there were immediate. A supplier was late, a customer complained, a batch of fabric did not match the order. Decisions had consequences you could see within days. That experience taught me to value knowledge that could be used. If an idea did not lead to action, I was not sure what it was for.</w:t>
      </w:r>
    </w:p>
    <w:p w14:paraId="213DB5FC" w14:textId="7A9DC6AD" w:rsidR="00C7453B" w:rsidRPr="00C7453B" w:rsidRDefault="00C7453B" w:rsidP="00C04BB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Other assumptions were refined rather than completely overturned. I still regard evidence as essential to rigorous research, but I no longer automatically equate 'credible evidence' with numerical data. Different research questions require different forms of evidence, and what counts as evidence depends on the knowledge claims being made (Creswell and Poth, 2024). I had also assumed that different forms of social science research should be judged by the same quality criteria. Lincoln and Guba (1985) challenged this by distinguishing between conventional criteria of validity, reliability and objectivity and the criteria of credibility, transferability, </w:t>
      </w:r>
      <w:proofErr w:type="gramStart"/>
      <w:r w:rsidRPr="00C7453B">
        <w:rPr>
          <w:rFonts w:ascii="Times New Roman" w:hAnsi="Times New Roman" w:cs="Times New Roman"/>
          <w:sz w:val="24"/>
        </w:rPr>
        <w:t>dependability and confirmability</w:t>
      </w:r>
      <w:proofErr w:type="gramEnd"/>
      <w:r w:rsidRPr="00C7453B">
        <w:rPr>
          <w:rFonts w:ascii="Times New Roman" w:hAnsi="Times New Roman" w:cs="Times New Roman"/>
          <w:sz w:val="24"/>
        </w:rPr>
        <w:t xml:space="preserve"> proposed for naturalistic inquiry. This helped me understand why different research traditions may require different standards of judgement.</w:t>
      </w:r>
    </w:p>
    <w:p w14:paraId="191ABC05" w14:textId="77777777" w:rsidR="008D6321"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 point is not that one form of evidence is superior to another. Quantitative data may support certain kinds of knowledge claims, while other forms of evidence may be more appropriate for claims about experience, meaning or context. Different claims therefore require different forms of support. This has made me more reflexive about my own background. </w:t>
      </w:r>
      <w:r w:rsidR="008D6321" w:rsidRPr="008D6321">
        <w:rPr>
          <w:rFonts w:ascii="Times New Roman" w:hAnsi="Times New Roman" w:cs="Times New Roman"/>
          <w:sz w:val="24"/>
        </w:rPr>
        <w:t xml:space="preserve">My finance training is both a strength and a limitation. It gives me analytical skills and structured thinking, but it also predisposes me to privilege measurable outcomes. I only began to see this clearly when I struggled to engage with epistemological debates that had no immediate practical application. My first reaction was frustration, and I now </w:t>
      </w:r>
      <w:proofErr w:type="spellStart"/>
      <w:r w:rsidR="008D6321" w:rsidRPr="008D6321">
        <w:rPr>
          <w:rFonts w:ascii="Times New Roman" w:hAnsi="Times New Roman" w:cs="Times New Roman"/>
          <w:sz w:val="24"/>
        </w:rPr>
        <w:t>recognise</w:t>
      </w:r>
      <w:proofErr w:type="spellEnd"/>
      <w:r w:rsidR="008D6321" w:rsidRPr="008D6321">
        <w:rPr>
          <w:rFonts w:ascii="Times New Roman" w:hAnsi="Times New Roman" w:cs="Times New Roman"/>
          <w:sz w:val="24"/>
        </w:rPr>
        <w:t xml:space="preserve"> that this frustration was not about the difficulty of the material, but about my own assumptions being challenged.</w:t>
      </w:r>
    </w:p>
    <w:p w14:paraId="30E9C445" w14:textId="7310E547" w:rsidR="00C7453B" w:rsidRPr="00C7453B" w:rsidRDefault="007461A0" w:rsidP="00C7453B">
      <w:pPr>
        <w:spacing w:line="360" w:lineRule="auto"/>
        <w:rPr>
          <w:rFonts w:ascii="Times New Roman" w:hAnsi="Times New Roman" w:cs="Times New Roman"/>
          <w:sz w:val="24"/>
        </w:rPr>
      </w:pPr>
      <w:r w:rsidRPr="007461A0">
        <w:rPr>
          <w:rFonts w:ascii="Times New Roman" w:hAnsi="Times New Roman" w:cs="Times New Roman"/>
          <w:sz w:val="24"/>
        </w:rPr>
        <w:t xml:space="preserve">Some of my beliefs have remained largely intact. I still believe research should be rigorous, transparent and evidence-based, and that it should make a meaningful contribution. What has changed is my understanding of what a 'meaningful contribution' can be. Previously, I mainly associated research value with solving practical problems or supporting decisions. This changed when I began reading literature on the circular economy across different industries. I had assumed that 'circular economy' meant roughly the same thing everywhere. But different industries define and </w:t>
      </w:r>
      <w:proofErr w:type="spellStart"/>
      <w:r w:rsidRPr="007461A0">
        <w:rPr>
          <w:rFonts w:ascii="Times New Roman" w:hAnsi="Times New Roman" w:cs="Times New Roman"/>
          <w:sz w:val="24"/>
        </w:rPr>
        <w:t>practise</w:t>
      </w:r>
      <w:proofErr w:type="spellEnd"/>
      <w:r w:rsidRPr="007461A0">
        <w:rPr>
          <w:rFonts w:ascii="Times New Roman" w:hAnsi="Times New Roman" w:cs="Times New Roman"/>
          <w:sz w:val="24"/>
        </w:rPr>
        <w:t xml:space="preserve"> it in quite different ways. Reading these studies made me </w:t>
      </w:r>
      <w:proofErr w:type="spellStart"/>
      <w:r w:rsidRPr="007461A0">
        <w:rPr>
          <w:rFonts w:ascii="Times New Roman" w:hAnsi="Times New Roman" w:cs="Times New Roman"/>
          <w:sz w:val="24"/>
        </w:rPr>
        <w:t>realise</w:t>
      </w:r>
      <w:proofErr w:type="spellEnd"/>
      <w:r w:rsidRPr="007461A0">
        <w:rPr>
          <w:rFonts w:ascii="Times New Roman" w:hAnsi="Times New Roman" w:cs="Times New Roman"/>
          <w:sz w:val="24"/>
        </w:rPr>
        <w:t xml:space="preserve"> </w:t>
      </w:r>
      <w:r w:rsidRPr="007461A0">
        <w:rPr>
          <w:rFonts w:ascii="Times New Roman" w:hAnsi="Times New Roman" w:cs="Times New Roman"/>
          <w:sz w:val="24"/>
        </w:rPr>
        <w:lastRenderedPageBreak/>
        <w:t>that clarifying how a concept is understood in a particular context is itself a form of contribution. It does not solve a problem directly, but it changes how the problem is seen.</w:t>
      </w:r>
      <w:r w:rsidR="00C7453B" w:rsidRPr="00C7453B">
        <w:rPr>
          <w:rFonts w:ascii="Times New Roman" w:hAnsi="Times New Roman" w:cs="Times New Roman"/>
          <w:sz w:val="24"/>
        </w:rPr>
        <w:t xml:space="preserve"> A more fundamental question also remains for me: to what extent does research discover a reality that exists independently of the researcher, and to what extent do our theories and methods shape how that reality is understood? I no longer see this as a simple choice between two positions. Instead, I see it as an ongoing tension that researchers need to remain aware of. I also no longer see research as the mechanical application of methods, but as a process in which I need to keep examining my own judgements and assumptions (Olmos-Vega et al., 2023).</w:t>
      </w:r>
    </w:p>
    <w:p w14:paraId="131B5CBE"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This shift has direct implications for my future career. As a researcher working across finance and management, I can no longer judge a study simply by whether its data are measurable or numerically robust. I also need to ask what question it addresses, what assumptions about reality it rests on, and where its conclusions stop being applicable. Part 1 has not only given me more answers; it has also made me more cautious about how knowledge claims are produced, justified and bound.</w:t>
      </w:r>
    </w:p>
    <w:p w14:paraId="1BC1980D"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2: My Relationship with Theory and Literature</w:t>
      </w:r>
    </w:p>
    <w:p w14:paraId="4B1933B8" w14:textId="77777777" w:rsidR="007461A0" w:rsidRDefault="007461A0" w:rsidP="00C7453B">
      <w:pPr>
        <w:spacing w:line="360" w:lineRule="auto"/>
        <w:rPr>
          <w:rFonts w:ascii="Times New Roman" w:hAnsi="Times New Roman" w:cs="Times New Roman"/>
          <w:sz w:val="24"/>
        </w:rPr>
      </w:pPr>
      <w:r w:rsidRPr="007461A0">
        <w:rPr>
          <w:rFonts w:ascii="Times New Roman" w:hAnsi="Times New Roman" w:cs="Times New Roman"/>
          <w:sz w:val="24"/>
        </w:rPr>
        <w:t xml:space="preserve">Several theories felt immediately familiar to me from my undergraduate and master's studies, particularly </w:t>
      </w:r>
      <w:proofErr w:type="spellStart"/>
      <w:r w:rsidRPr="007461A0">
        <w:rPr>
          <w:rFonts w:ascii="Times New Roman" w:hAnsi="Times New Roman" w:cs="Times New Roman"/>
          <w:sz w:val="24"/>
        </w:rPr>
        <w:t>behavioural</w:t>
      </w:r>
      <w:proofErr w:type="spellEnd"/>
      <w:r w:rsidRPr="007461A0">
        <w:rPr>
          <w:rFonts w:ascii="Times New Roman" w:hAnsi="Times New Roman" w:cs="Times New Roman"/>
          <w:sz w:val="24"/>
        </w:rPr>
        <w:t xml:space="preserve"> economics, stakeholder theory and institutional theory. Stakeholder theory felt familiar because I had observed similar relationships in my father's small garment business, where employees, customers and suppliers all influenced how the business operated. Institutional theory became relevant for a different reason: it helped me think about how </w:t>
      </w:r>
      <w:proofErr w:type="spellStart"/>
      <w:r w:rsidRPr="007461A0">
        <w:rPr>
          <w:rFonts w:ascii="Times New Roman" w:hAnsi="Times New Roman" w:cs="Times New Roman"/>
          <w:sz w:val="24"/>
        </w:rPr>
        <w:t>organisations</w:t>
      </w:r>
      <w:proofErr w:type="spellEnd"/>
      <w:r w:rsidRPr="007461A0">
        <w:rPr>
          <w:rFonts w:ascii="Times New Roman" w:hAnsi="Times New Roman" w:cs="Times New Roman"/>
          <w:sz w:val="24"/>
        </w:rPr>
        <w:t xml:space="preserve"> respond to wider norms and expectations. For a long time, I treated this sense of familiarity as evidence that these theories were the right ones to use. It was only through the process of working on my own research that I began to question this. I noticed that when I reached for a theoretical framework, I often chose the one I understood most easily rather than the one that best fitted the problem. Through Bourdieu's (1990) concept of </w:t>
      </w:r>
      <w:proofErr w:type="gramStart"/>
      <w:r w:rsidRPr="007461A0">
        <w:rPr>
          <w:rFonts w:ascii="Times New Roman" w:hAnsi="Times New Roman" w:cs="Times New Roman"/>
          <w:sz w:val="24"/>
        </w:rPr>
        <w:t>habitus</w:t>
      </w:r>
      <w:proofErr w:type="gramEnd"/>
      <w:r w:rsidRPr="007461A0">
        <w:rPr>
          <w:rFonts w:ascii="Times New Roman" w:hAnsi="Times New Roman" w:cs="Times New Roman"/>
          <w:sz w:val="24"/>
        </w:rPr>
        <w:t xml:space="preserve">, I now understand why: what feels immediately legible is not necessarily what is most </w:t>
      </w:r>
      <w:r w:rsidRPr="007461A0">
        <w:rPr>
          <w:rFonts w:ascii="Times New Roman" w:hAnsi="Times New Roman" w:cs="Times New Roman"/>
          <w:sz w:val="24"/>
        </w:rPr>
        <w:lastRenderedPageBreak/>
        <w:t xml:space="preserve">appropriate, but what I have been trained to </w:t>
      </w:r>
      <w:proofErr w:type="spellStart"/>
      <w:r w:rsidRPr="007461A0">
        <w:rPr>
          <w:rFonts w:ascii="Times New Roman" w:hAnsi="Times New Roman" w:cs="Times New Roman"/>
          <w:sz w:val="24"/>
        </w:rPr>
        <w:t>recognise</w:t>
      </w:r>
      <w:proofErr w:type="spellEnd"/>
      <w:r w:rsidRPr="007461A0">
        <w:rPr>
          <w:rFonts w:ascii="Times New Roman" w:hAnsi="Times New Roman" w:cs="Times New Roman"/>
          <w:sz w:val="24"/>
        </w:rPr>
        <w:t xml:space="preserve">. This was not a comfortable </w:t>
      </w:r>
      <w:proofErr w:type="spellStart"/>
      <w:r w:rsidRPr="007461A0">
        <w:rPr>
          <w:rFonts w:ascii="Times New Roman" w:hAnsi="Times New Roman" w:cs="Times New Roman"/>
          <w:sz w:val="24"/>
        </w:rPr>
        <w:t>realisation</w:t>
      </w:r>
      <w:proofErr w:type="spellEnd"/>
      <w:r w:rsidRPr="007461A0">
        <w:rPr>
          <w:rFonts w:ascii="Times New Roman" w:hAnsi="Times New Roman" w:cs="Times New Roman"/>
          <w:sz w:val="24"/>
        </w:rPr>
        <w:t>. It made me ask whether my theoretical choices were genuinely analytical or simply habitual. I increasingly see theory not as something that determines what I should find, but as a lens that helps me notice relationships while still leaving room for findings that may challenge existing explanations.</w:t>
      </w:r>
    </w:p>
    <w:p w14:paraId="40454E08" w14:textId="1160D6B2"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research direction developed through a combination of independent reading and supervisory guidance. I initially focused on the post-pandemic period because it seemed practically relevant. My supervisor challenged this framing, and at first, I found that difficult to accept. As I read further, however, I began to see that practical relevance alone was not enough to justify a research context. He suggested shifting towards the dual-carbon period instead. This changed how I understood a research 'gap'. I had previously treated a gap mainly as an under-researched topic or context. Gradually, I came to see that a stronger research problem may also emerge from tensions or limitations within existing explanations. </w:t>
      </w:r>
      <w:proofErr w:type="gramStart"/>
      <w:r w:rsidRPr="00C7453B">
        <w:rPr>
          <w:rFonts w:ascii="Times New Roman" w:hAnsi="Times New Roman" w:cs="Times New Roman"/>
          <w:sz w:val="24"/>
        </w:rPr>
        <w:t>Booth</w:t>
      </w:r>
      <w:proofErr w:type="gramEnd"/>
      <w:r w:rsidRPr="00C7453B">
        <w:rPr>
          <w:rFonts w:ascii="Times New Roman" w:hAnsi="Times New Roman" w:cs="Times New Roman"/>
          <w:sz w:val="24"/>
        </w:rPr>
        <w:t xml:space="preserve"> et al. (2024) helped me understand that research problems are actively formulated through engagement with existing knowledge rather than simply waiting to be discovered.</w:t>
      </w:r>
    </w:p>
    <w:p w14:paraId="6C7D27F7" w14:textId="77777777" w:rsidR="007461A0" w:rsidRDefault="007461A0" w:rsidP="00C7453B">
      <w:pPr>
        <w:spacing w:line="360" w:lineRule="auto"/>
        <w:rPr>
          <w:rFonts w:ascii="Times New Roman" w:hAnsi="Times New Roman" w:cs="Times New Roman"/>
          <w:sz w:val="24"/>
        </w:rPr>
      </w:pPr>
      <w:r w:rsidRPr="007461A0">
        <w:rPr>
          <w:rFonts w:ascii="Times New Roman" w:hAnsi="Times New Roman" w:cs="Times New Roman"/>
          <w:sz w:val="24"/>
        </w:rPr>
        <w:t xml:space="preserve">This also affected how I thought about the relationship between theory and method. I considered grounded theory because it develops conceptual categories through iterative engagement with data. But the more I read about it, the more I </w:t>
      </w:r>
      <w:proofErr w:type="spellStart"/>
      <w:r w:rsidRPr="007461A0">
        <w:rPr>
          <w:rFonts w:ascii="Times New Roman" w:hAnsi="Times New Roman" w:cs="Times New Roman"/>
          <w:sz w:val="24"/>
        </w:rPr>
        <w:t>realised</w:t>
      </w:r>
      <w:proofErr w:type="spellEnd"/>
      <w:r w:rsidRPr="007461A0">
        <w:rPr>
          <w:rFonts w:ascii="Times New Roman" w:hAnsi="Times New Roman" w:cs="Times New Roman"/>
          <w:sz w:val="24"/>
        </w:rPr>
        <w:t xml:space="preserve"> that it did not fit what I was </w:t>
      </w:r>
      <w:proofErr w:type="gramStart"/>
      <w:r w:rsidRPr="007461A0">
        <w:rPr>
          <w:rFonts w:ascii="Times New Roman" w:hAnsi="Times New Roman" w:cs="Times New Roman"/>
          <w:sz w:val="24"/>
        </w:rPr>
        <w:t>actually trying</w:t>
      </w:r>
      <w:proofErr w:type="gramEnd"/>
      <w:r w:rsidRPr="007461A0">
        <w:rPr>
          <w:rFonts w:ascii="Times New Roman" w:hAnsi="Times New Roman" w:cs="Times New Roman"/>
          <w:sz w:val="24"/>
        </w:rPr>
        <w:t xml:space="preserve"> to do. Grounded theory assumes that theory should emerge from data with as few prior assumptions as possible. My research question, however, had already been shaped by </w:t>
      </w:r>
      <w:proofErr w:type="gramStart"/>
      <w:r w:rsidRPr="007461A0">
        <w:rPr>
          <w:rFonts w:ascii="Times New Roman" w:hAnsi="Times New Roman" w:cs="Times New Roman"/>
          <w:sz w:val="24"/>
        </w:rPr>
        <w:t>stakeholder</w:t>
      </w:r>
      <w:proofErr w:type="gramEnd"/>
      <w:r w:rsidRPr="007461A0">
        <w:rPr>
          <w:rFonts w:ascii="Times New Roman" w:hAnsi="Times New Roman" w:cs="Times New Roman"/>
          <w:sz w:val="24"/>
        </w:rPr>
        <w:t xml:space="preserve"> and institutional perspectives. I could not pretend to approach the data without theoretical presuppositions, and I did not want to. This was an important </w:t>
      </w:r>
      <w:proofErr w:type="spellStart"/>
      <w:r w:rsidRPr="007461A0">
        <w:rPr>
          <w:rFonts w:ascii="Times New Roman" w:hAnsi="Times New Roman" w:cs="Times New Roman"/>
          <w:sz w:val="24"/>
        </w:rPr>
        <w:t>realisation</w:t>
      </w:r>
      <w:proofErr w:type="spellEnd"/>
      <w:r w:rsidRPr="007461A0">
        <w:rPr>
          <w:rFonts w:ascii="Times New Roman" w:hAnsi="Times New Roman" w:cs="Times New Roman"/>
          <w:sz w:val="24"/>
        </w:rPr>
        <w:t xml:space="preserve"> for me: it made me see that the choice between generating theory and engaging </w:t>
      </w:r>
      <w:proofErr w:type="gramStart"/>
      <w:r w:rsidRPr="007461A0">
        <w:rPr>
          <w:rFonts w:ascii="Times New Roman" w:hAnsi="Times New Roman" w:cs="Times New Roman"/>
          <w:sz w:val="24"/>
        </w:rPr>
        <w:t>with</w:t>
      </w:r>
      <w:proofErr w:type="gramEnd"/>
      <w:r w:rsidRPr="007461A0">
        <w:rPr>
          <w:rFonts w:ascii="Times New Roman" w:hAnsi="Times New Roman" w:cs="Times New Roman"/>
          <w:sz w:val="24"/>
        </w:rPr>
        <w:t xml:space="preserve"> existing theory is not just a technical decision, but a statement about what kind of knowledge I believe research should produce. I am not trying to generate an entirely new theory. I want to examine whether existing explanations are sufficient for understanding stakeholders' perceptions and practices in a specific context. Practical issues such as </w:t>
      </w:r>
      <w:r w:rsidRPr="007461A0">
        <w:rPr>
          <w:rFonts w:ascii="Times New Roman" w:hAnsi="Times New Roman" w:cs="Times New Roman"/>
          <w:sz w:val="24"/>
        </w:rPr>
        <w:lastRenderedPageBreak/>
        <w:t>theoretical sampling, access and time also matter in doctoral research, but these are secondary considerations rather than the main reason for my choice (Timonen, Foley and Conlon, 2018).</w:t>
      </w:r>
    </w:p>
    <w:p w14:paraId="55FB22DA" w14:textId="08422474"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approach is therefore closer to the logic of the Extended Case Method. </w:t>
      </w:r>
      <w:proofErr w:type="spellStart"/>
      <w:r w:rsidRPr="00C7453B">
        <w:rPr>
          <w:rFonts w:ascii="Times New Roman" w:hAnsi="Times New Roman" w:cs="Times New Roman"/>
          <w:sz w:val="24"/>
        </w:rPr>
        <w:t>Burawoy</w:t>
      </w:r>
      <w:proofErr w:type="spellEnd"/>
      <w:r w:rsidRPr="00C7453B">
        <w:rPr>
          <w:rFonts w:ascii="Times New Roman" w:hAnsi="Times New Roman" w:cs="Times New Roman"/>
          <w:sz w:val="24"/>
        </w:rPr>
        <w:t xml:space="preserve"> (1998) argues that empirical cases can be used to engage with and reconstruct existing theory. I do not intend to claim that my study applies every feature of the Extended Case Method. Rather, what is useful to me is its relationship with theory. Existing </w:t>
      </w:r>
      <w:proofErr w:type="gramStart"/>
      <w:r w:rsidRPr="00C7453B">
        <w:rPr>
          <w:rFonts w:ascii="Times New Roman" w:hAnsi="Times New Roman" w:cs="Times New Roman"/>
          <w:sz w:val="24"/>
        </w:rPr>
        <w:t>stakeholder</w:t>
      </w:r>
      <w:proofErr w:type="gramEnd"/>
      <w:r w:rsidRPr="00C7453B">
        <w:rPr>
          <w:rFonts w:ascii="Times New Roman" w:hAnsi="Times New Roman" w:cs="Times New Roman"/>
          <w:sz w:val="24"/>
        </w:rPr>
        <w:t xml:space="preserve"> and institutional perspectives provide an analytical starting point, while the empirical case can still reveal tensions or limitations in those explanations. This allows me to use theory without treating it as a fixed framework into which the data must fit.</w:t>
      </w:r>
    </w:p>
    <w:p w14:paraId="1E74FBF6"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understanding of literature also changed through experience. When I encountered studies addressing similar issues but reaching conflicting conclusions, my first reaction was to ask which one was more credible. Over time, I </w:t>
      </w:r>
      <w:proofErr w:type="spellStart"/>
      <w:r w:rsidRPr="00C7453B">
        <w:rPr>
          <w:rFonts w:ascii="Times New Roman" w:hAnsi="Times New Roman" w:cs="Times New Roman"/>
          <w:sz w:val="24"/>
        </w:rPr>
        <w:t>realised</w:t>
      </w:r>
      <w:proofErr w:type="spellEnd"/>
      <w:r w:rsidRPr="00C7453B">
        <w:rPr>
          <w:rFonts w:ascii="Times New Roman" w:hAnsi="Times New Roman" w:cs="Times New Roman"/>
          <w:sz w:val="24"/>
        </w:rPr>
        <w:t xml:space="preserve"> that disagreement may arise from differences in context, sample or methodology rather than simply indicating errors. I also worried that a less developed body of literature on the dual-carbon context would weaken the legitimacy of my topic. I now see that this can instead raise useful questions about whether existing explanations have been sufficiently examined in a particular setting.</w:t>
      </w:r>
    </w:p>
    <w:p w14:paraId="08F2BC06"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This has changed how I plan to identify my research gap. I do not want to rely only on the claim that Chinese textile SMEs are under-researched. Existing research on Chinese SMEs has already examined circular economy adoption, particularly barriers, enablers and the wider circular economy ecosystem (Min, Sawang and Kivits, 2021). My research instead focuses on how different stakeholders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the circular economy during the dual-carbon period, and how these perceptions and practices are shaped by institutional and relational conditions. The gap I am interested in is therefore whether existing explanations adequately capture how circular economy practices are interpreted and negotiated by stakeholders.</w:t>
      </w:r>
    </w:p>
    <w:p w14:paraId="6323F9BC"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The Chinese context may be especially important because stakeholder relationships are not shaped only by formal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roles or contracts. Guanxi remains important in Chinese business relationships and involves trust, reciprocity and social obligation (Nolan and Rowley, 2020). This may influence how owners, managers, employees, suppliers and customers respond to circular economy expectations. Formal institutional pressures associated with the dual-carbon agenda may therefore be interpreted or enacted through informal relational ties. I want to examine whether </w:t>
      </w:r>
      <w:proofErr w:type="gramStart"/>
      <w:r w:rsidRPr="00C7453B">
        <w:rPr>
          <w:rFonts w:ascii="Times New Roman" w:hAnsi="Times New Roman" w:cs="Times New Roman"/>
          <w:sz w:val="24"/>
        </w:rPr>
        <w:t>guanxi</w:t>
      </w:r>
      <w:proofErr w:type="gramEnd"/>
      <w:r w:rsidRPr="00C7453B">
        <w:rPr>
          <w:rFonts w:ascii="Times New Roman" w:hAnsi="Times New Roman" w:cs="Times New Roman"/>
          <w:sz w:val="24"/>
        </w:rPr>
        <w:t xml:space="preserve"> helps explain differences between formal policy expectations and actual stakeholder practices.</w:t>
      </w:r>
    </w:p>
    <w:p w14:paraId="76308D0A"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Overall, my relationship with theory and literature has shifted from looking for confirmation and stability towards treating existing explanations as starting points that can be questioned through empirical research. Rather than seeing my project simply as filling an empty gap, I now understand it as examining where existing explanations work, where they become less adequate, and how the institutional and relational conditions of Chinese textile SMEs may contribute to their refinement.</w:t>
      </w:r>
    </w:p>
    <w:p w14:paraId="3F9FC07A"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3: The Evolution of My Research Focus</w:t>
      </w:r>
    </w:p>
    <w:p w14:paraId="6EA7EE4C"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When I entered Part 1, I already had a relatively clear direction: I wanted to research topics related to the circular economy. This interest came from two influences—an internship in my father's garment business, where I saw how sustainability issues entered everyday decisions, and a personal concern with sustainable development. The topic seemed clear, but the research question did not. I knew what I wanted to study; I simply did not know how to articulate what I wanted to ask. Looking back, this mismatch between topic and question reflected an assumption I had not yet tested: that a research question would naturally emerge once I had selected a topic. I thought that interest in a subject was enough to generate a research problem, and I had not yet </w:t>
      </w:r>
      <w:proofErr w:type="spellStart"/>
      <w:r w:rsidRPr="00C7453B">
        <w:rPr>
          <w:rFonts w:ascii="Times New Roman" w:hAnsi="Times New Roman" w:cs="Times New Roman"/>
          <w:sz w:val="24"/>
        </w:rPr>
        <w:t>recognised</w:t>
      </w:r>
      <w:proofErr w:type="spellEnd"/>
      <w:r w:rsidRPr="00C7453B">
        <w:rPr>
          <w:rFonts w:ascii="Times New Roman" w:hAnsi="Times New Roman" w:cs="Times New Roman"/>
          <w:sz w:val="24"/>
        </w:rPr>
        <w:t xml:space="preserve"> that a subject and a question are not the same thing. As Booth et al. (2024) argue, a research topic is only the beginning; it is the question that gives the research direction.</w:t>
      </w:r>
    </w:p>
    <w:p w14:paraId="3B6DBB9E"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These experiences led me to the circular economy as a broad subject. At first, my interest was simply to understand how ideas about the circular economy influence what firms do. This gradually became more focused through reading the literature and discussing it with my supervisor. The literature showed me that the circular economy is not a single field but a meeting point for several debates, including business models, supply chains, regulation and firm-level decision-making. As I read further, I </w:t>
      </w:r>
      <w:proofErr w:type="spellStart"/>
      <w:r w:rsidRPr="00C7453B">
        <w:rPr>
          <w:rFonts w:ascii="Times New Roman" w:hAnsi="Times New Roman" w:cs="Times New Roman"/>
          <w:sz w:val="24"/>
        </w:rPr>
        <w:t>realised</w:t>
      </w:r>
      <w:proofErr w:type="spellEnd"/>
      <w:r w:rsidRPr="00C7453B">
        <w:rPr>
          <w:rFonts w:ascii="Times New Roman" w:hAnsi="Times New Roman" w:cs="Times New Roman"/>
          <w:sz w:val="24"/>
        </w:rPr>
        <w:t xml:space="preserve"> that much of the research focuses on large manufacturing companies, while small and medium-sized textile companies in China have received less attention. This was my own observation, rather than something pointed out by my supervisor, and it gave me a sense that I was beginning to read literature not only to learn from it, but also to notice what it was not saying. As Booth et al. (2024) argue, research problems are actively formulated by researchers rather than simply discovered. This helped me </w:t>
      </w:r>
      <w:proofErr w:type="spellStart"/>
      <w:r w:rsidRPr="00C7453B">
        <w:rPr>
          <w:rFonts w:ascii="Times New Roman" w:hAnsi="Times New Roman" w:cs="Times New Roman"/>
          <w:sz w:val="24"/>
        </w:rPr>
        <w:t>realise</w:t>
      </w:r>
      <w:proofErr w:type="spellEnd"/>
      <w:r w:rsidRPr="00C7453B">
        <w:rPr>
          <w:rFonts w:ascii="Times New Roman" w:hAnsi="Times New Roman" w:cs="Times New Roman"/>
          <w:sz w:val="24"/>
        </w:rPr>
        <w:t xml:space="preserve"> that the direction of my work was not something I would simply 'find' in literature; it had to be constructed through reading, discussion and revision.</w:t>
      </w:r>
    </w:p>
    <w:p w14:paraId="7BC36659"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When my supervisor suggested focusing on the dual-carbon period and on stakeholders' perceptions and practices towards the circular economy, this marked a turning point. It was more than a change of context. It shifted my attention from the circular economy as a general policy idea to something interpreted, negotiated and </w:t>
      </w:r>
      <w:proofErr w:type="spellStart"/>
      <w:r w:rsidRPr="00C7453B">
        <w:rPr>
          <w:rFonts w:ascii="Times New Roman" w:hAnsi="Times New Roman" w:cs="Times New Roman"/>
          <w:sz w:val="24"/>
        </w:rPr>
        <w:t>practised</w:t>
      </w:r>
      <w:proofErr w:type="spellEnd"/>
      <w:r w:rsidRPr="00C7453B">
        <w:rPr>
          <w:rFonts w:ascii="Times New Roman" w:hAnsi="Times New Roman" w:cs="Times New Roman"/>
          <w:sz w:val="24"/>
        </w:rPr>
        <w:t xml:space="preserve"> by specific actors. Initially, I was interested in the general impact of the circular economy on firm decisions. The stakeholder perspective had not been central to my thinking until my supervisor introduced it. This changed the type of question I was asking from what the circular economy does to firms to how stakeholders within firms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it. This framing felt more situated and more feasible than my original one. It also meant that I needed to engage with literature on stakeholder perceptions and institutional perspectives, which I had not previously considered central to my project. My supervisor's feedback therefore did more than refine the topic; it changed the conceptual lens through which I approached it.</w:t>
      </w:r>
    </w:p>
    <w:p w14:paraId="123A6F41"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Discussions with peers played a smaller role than I had expected, partly because my focus felt quite specific and partly because I was still unsure how to articulate it. </w:t>
      </w:r>
      <w:r w:rsidRPr="00C7453B">
        <w:rPr>
          <w:rFonts w:ascii="Times New Roman" w:hAnsi="Times New Roman" w:cs="Times New Roman"/>
          <w:sz w:val="24"/>
        </w:rPr>
        <w:lastRenderedPageBreak/>
        <w:t>Looking back, this limited engagement may have narrowed my thinking. However, literature itself became an important source of methodological learning. As I read studies on the circular economy, I began to pay attention not only to their findings but also to how their research questions were framed. I noticed that researchers often generated questions by identifying tensions between competing institutional logics or by examining how different stakeholders interpreted the same practice. This helped me see that a strong research question can emerge from a tension rather than simply from an empty gap.</w:t>
      </w:r>
    </w:p>
    <w:p w14:paraId="66CABB18"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research question is now </w:t>
      </w:r>
      <w:proofErr w:type="spellStart"/>
      <w:r w:rsidRPr="00C7453B">
        <w:rPr>
          <w:rFonts w:ascii="Times New Roman" w:hAnsi="Times New Roman" w:cs="Times New Roman"/>
          <w:sz w:val="24"/>
        </w:rPr>
        <w:t>crystallised</w:t>
      </w:r>
      <w:proofErr w:type="spellEnd"/>
      <w:r w:rsidRPr="00C7453B">
        <w:rPr>
          <w:rFonts w:ascii="Times New Roman" w:hAnsi="Times New Roman" w:cs="Times New Roman"/>
          <w:sz w:val="24"/>
        </w:rPr>
        <w:t xml:space="preserve"> around how stakeholders of Chinese textile SMEs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the circular economy during the dual-carbon period. I intend to examine this through a case study approach informed by institutional perspectives. My methodological choices have shaped what I am willing to ask. Choosing a case study oriented me towards questions of how and why rather than how much (Yin, 2018). It led me to ask how stakeholders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the circular economy, rather than how much circular economy practices affect firm performance. This is not because the latter question is unimportant, but because my design is better suited to exploring meaning, interpretation and process within a specific context. </w:t>
      </w:r>
      <w:proofErr w:type="spellStart"/>
      <w:r w:rsidRPr="00C7453B">
        <w:rPr>
          <w:rFonts w:ascii="Times New Roman" w:hAnsi="Times New Roman" w:cs="Times New Roman"/>
          <w:sz w:val="24"/>
        </w:rPr>
        <w:t>Recognising</w:t>
      </w:r>
      <w:proofErr w:type="spellEnd"/>
      <w:r w:rsidRPr="00C7453B">
        <w:rPr>
          <w:rFonts w:ascii="Times New Roman" w:hAnsi="Times New Roman" w:cs="Times New Roman"/>
          <w:sz w:val="24"/>
        </w:rPr>
        <w:t xml:space="preserve"> this helps me see that methodology is not simply a set of tools; it also shapes the kinds of questions I am prepared to ask (Creswell and Poth, 2024). I am also aware that my question involves choices about what not to ask. I have focused on perception and practice rather than measurable outcomes, and on a single national context rather than cross-national comparison. These choices reflect my assumptions about what kinds of knowledge are most valuable, as well as what kinds of research are feasible for me. Schön (2017) argues that reflective practice involves questioning one's own judgements rather than simply applying technical knowledge. This captures my development across Part 1: I am moving from a researcher who sought a topic towards one who also questions how a topic becomes researchable.</w:t>
      </w:r>
    </w:p>
    <w:p w14:paraId="0A78878D"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4: Positionality, Power and Research Relationships</w:t>
      </w:r>
    </w:p>
    <w:p w14:paraId="4CF4DB0D"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My access to participants is not neutral. I will mainly recruit interviewees through my father's textile firm and its upstream and downstream supply chain, through introductions from close family members and, in some cases, managers within the firm. This is a </w:t>
      </w:r>
      <w:proofErr w:type="gramStart"/>
      <w:r w:rsidRPr="00C7453B">
        <w:rPr>
          <w:rFonts w:ascii="Times New Roman" w:hAnsi="Times New Roman" w:cs="Times New Roman"/>
          <w:sz w:val="24"/>
        </w:rPr>
        <w:t>guanxi</w:t>
      </w:r>
      <w:proofErr w:type="gramEnd"/>
      <w:r w:rsidRPr="00C7453B">
        <w:rPr>
          <w:rFonts w:ascii="Times New Roman" w:hAnsi="Times New Roman" w:cs="Times New Roman"/>
          <w:sz w:val="24"/>
        </w:rPr>
        <w:t xml:space="preserve">-based channel: informal, personal and relational. Guanxi can facilitate access to research participants in Chinese business contexts (Li, Harvey and Beaverstock, 2023). Efficiency, however, is not the same as neutrality. My father's company holds a relatively dominant position in some of its supply relationships, which means that participants may feel commercial or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pressure to participate. Access is therefore not simply a technical matter; the route through which I reach participants already places me in a particular relationship with them.</w:t>
      </w:r>
    </w:p>
    <w:p w14:paraId="68846FB7"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Power within these relationships is not fixed or one-directional. As a researcher, I have the power to select the research question, frame the interview and later decide how participants' accounts are interpreted and represented. My family connection adds another layer because some participants may see me first as my father's son rather than as a doctoral researcher. Although I will introduce myself primarily in my research capacity, I cannot assume that my family connection is irrelevant, particularly when introductions are made through people who know my father. Where that connection is relevant to recruitment, I need to be transparent about it rather than attempt to separate the two identities completely. As Menzies (2025) suggests, researchers positioned as 'in-betweeners' may move between insider and outsider positions. I cannot fully control how participants perceive me, and I should not pretend otherwise.</w:t>
      </w:r>
    </w:p>
    <w:p w14:paraId="3BBEB232"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Power may also shift depending on whom I interview. Senior managers and business owners may have greater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status, although my family connection may complicate this relationship in ways I cannot fully predict. Ordinary employees, who are likely to make up a larger part of my sample, have less formal power and may be more vulnerable to my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and family connections. If employees are approached through managers, even the apparently simple question of whether they are willing to participate may carry an implicit expectation to agree. Trust can </w:t>
      </w:r>
      <w:r w:rsidRPr="00C7453B">
        <w:rPr>
          <w:rFonts w:ascii="Times New Roman" w:hAnsi="Times New Roman" w:cs="Times New Roman"/>
          <w:sz w:val="24"/>
        </w:rPr>
        <w:lastRenderedPageBreak/>
        <w:t>encourage openness, but relational access can also create unspoken obligations (Menzies, 2025). I therefore need to distinguish between gaining access to participants and obtaining genuinely voluntary consent.</w:t>
      </w:r>
    </w:p>
    <w:p w14:paraId="1DC70587"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These relationships will also shape the data I obtain. Trusted introductions may make participants more willing to engage, and my familiarity with the textile sector may help me </w:t>
      </w:r>
      <w:proofErr w:type="spellStart"/>
      <w:r w:rsidRPr="00C7453B">
        <w:rPr>
          <w:rFonts w:ascii="Times New Roman" w:hAnsi="Times New Roman" w:cs="Times New Roman"/>
          <w:sz w:val="24"/>
        </w:rPr>
        <w:t>recognise</w:t>
      </w:r>
      <w:proofErr w:type="spellEnd"/>
      <w:r w:rsidRPr="00C7453B">
        <w:rPr>
          <w:rFonts w:ascii="Times New Roman" w:hAnsi="Times New Roman" w:cs="Times New Roman"/>
          <w:sz w:val="24"/>
        </w:rPr>
        <w:t xml:space="preserve"> some contextual meanings, although my understanding remains partial. The same familiarity can also create blind spots by making certain practices appear normal or self-explanatory. Managers may present an 'official' account of circular economy practices, while employees may moderate criticism because they associate me with the owner or management. I may also be less inclined to challenge explanations that fit my previous experience (Folkes, 2023). Recent work on researcher positionality similarly cautions that insider status does not automatically produce better knowledge (</w:t>
      </w:r>
      <w:proofErr w:type="spellStart"/>
      <w:r w:rsidRPr="00C7453B">
        <w:rPr>
          <w:rFonts w:ascii="Times New Roman" w:hAnsi="Times New Roman" w:cs="Times New Roman"/>
          <w:sz w:val="24"/>
        </w:rPr>
        <w:t>Bukamal</w:t>
      </w:r>
      <w:proofErr w:type="spellEnd"/>
      <w:r w:rsidRPr="00C7453B">
        <w:rPr>
          <w:rFonts w:ascii="Times New Roman" w:hAnsi="Times New Roman" w:cs="Times New Roman"/>
          <w:sz w:val="24"/>
        </w:rPr>
        <w:t xml:space="preserve">, 2022). Proximity does not guarantee truth; it changes the conditions under which </w:t>
      </w:r>
      <w:proofErr w:type="gramStart"/>
      <w:r w:rsidRPr="00C7453B">
        <w:rPr>
          <w:rFonts w:ascii="Times New Roman" w:hAnsi="Times New Roman" w:cs="Times New Roman"/>
          <w:sz w:val="24"/>
        </w:rPr>
        <w:t>particular accounts</w:t>
      </w:r>
      <w:proofErr w:type="gramEnd"/>
      <w:r w:rsidRPr="00C7453B">
        <w:rPr>
          <w:rFonts w:ascii="Times New Roman" w:hAnsi="Times New Roman" w:cs="Times New Roman"/>
          <w:sz w:val="24"/>
        </w:rPr>
        <w:t xml:space="preserve"> are produced.</w:t>
      </w:r>
    </w:p>
    <w:p w14:paraId="772BCBF4" w14:textId="2ADE58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response is not to try to eliminate these dynamics, which would be impossible, but to make them part of the research process. I will clearly explain that participation is voluntary and, particularly for employees, seek recruitment arrangements that reduce direct managerial pressure wherever possible. I will also make clear that participation, refusal or withdrawal will not be reported back to managers or family members. During analysis, I will keep reflexive notes on how my assumptions and relationships may have shaped interviews and interpretations, compare accounts across different stakeholder groups, and pay particular attention to evidence that contradicts my initial expectations. Where appropriate, I will seek clarification from participants rather than </w:t>
      </w:r>
      <w:r w:rsidR="00A979A2" w:rsidRPr="00A979A2">
        <w:rPr>
          <w:rFonts w:ascii="Times New Roman" w:hAnsi="Times New Roman" w:cs="Times New Roman"/>
          <w:sz w:val="24"/>
        </w:rPr>
        <w:t>assuming</w:t>
      </w:r>
      <w:r w:rsidRPr="00C7453B">
        <w:rPr>
          <w:rFonts w:ascii="Times New Roman" w:hAnsi="Times New Roman" w:cs="Times New Roman"/>
          <w:sz w:val="24"/>
        </w:rPr>
        <w:t xml:space="preserve"> familiarity gives me privileged understanding.</w:t>
      </w:r>
    </w:p>
    <w:p w14:paraId="663C4D85"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Reflexivity, then, is not simply a declaration of good intentions. It requires me to </w:t>
      </w:r>
      <w:proofErr w:type="spellStart"/>
      <w:r w:rsidRPr="00C7453B">
        <w:rPr>
          <w:rFonts w:ascii="Times New Roman" w:hAnsi="Times New Roman" w:cs="Times New Roman"/>
          <w:sz w:val="24"/>
        </w:rPr>
        <w:t>recognise</w:t>
      </w:r>
      <w:proofErr w:type="spellEnd"/>
      <w:r w:rsidRPr="00C7453B">
        <w:rPr>
          <w:rFonts w:ascii="Times New Roman" w:hAnsi="Times New Roman" w:cs="Times New Roman"/>
          <w:sz w:val="24"/>
        </w:rPr>
        <w:t xml:space="preserve"> that my personal networks create both access and ethical responsibility. The same relationships that make this research possible may influence who participates, what they are willing to tell me and how I interpret what they say. My task is not to claim neutrality, but to make these influences visible and remain critically attentive to </w:t>
      </w:r>
      <w:r w:rsidRPr="00C7453B">
        <w:rPr>
          <w:rFonts w:ascii="Times New Roman" w:hAnsi="Times New Roman" w:cs="Times New Roman"/>
          <w:sz w:val="24"/>
        </w:rPr>
        <w:lastRenderedPageBreak/>
        <w:t>them throughout recruitment, interviewing and analysis.</w:t>
      </w:r>
    </w:p>
    <w:p w14:paraId="3276C727"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5: Ethical Tensions in My Study</w:t>
      </w:r>
    </w:p>
    <w:p w14:paraId="11C2E2DC"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Two ethical tensions arise from my research context that cannot be fully resolved through standard ethical procedures. The first concerns whether participants recruited through personal and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relationships can give genuinely voluntary consent. The second concerns confidentiality and the potential harm of discussing work-related and </w:t>
      </w:r>
      <w:proofErr w:type="spellStart"/>
      <w:r w:rsidRPr="00C7453B">
        <w:rPr>
          <w:rFonts w:ascii="Times New Roman" w:hAnsi="Times New Roman" w:cs="Times New Roman"/>
          <w:sz w:val="24"/>
        </w:rPr>
        <w:t>organisationally</w:t>
      </w:r>
      <w:proofErr w:type="spellEnd"/>
      <w:r w:rsidRPr="00C7453B">
        <w:rPr>
          <w:rFonts w:ascii="Times New Roman" w:hAnsi="Times New Roman" w:cs="Times New Roman"/>
          <w:sz w:val="24"/>
        </w:rPr>
        <w:t xml:space="preserve"> sensitive topics. Both arise from the </w:t>
      </w:r>
      <w:proofErr w:type="gramStart"/>
      <w:r w:rsidRPr="00C7453B">
        <w:rPr>
          <w:rFonts w:ascii="Times New Roman" w:hAnsi="Times New Roman" w:cs="Times New Roman"/>
          <w:sz w:val="24"/>
        </w:rPr>
        <w:t>particular combination</w:t>
      </w:r>
      <w:proofErr w:type="gramEnd"/>
      <w:r w:rsidRPr="00C7453B">
        <w:rPr>
          <w:rFonts w:ascii="Times New Roman" w:hAnsi="Times New Roman" w:cs="Times New Roman"/>
          <w:sz w:val="24"/>
        </w:rPr>
        <w:t xml:space="preserve"> of my family connection, participant group and research setting.</w:t>
      </w:r>
    </w:p>
    <w:p w14:paraId="7C85D488"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 first tension arises from the relational route through which I recruit participants. My father's company holds a relatively dominant position in some supply relationships, and introductions may pass through managers. I am not yet certain whether these managers will be the direct superiors of the employees I hope to interview. This uncertainty matters because the degree of relational pressure may depend on the reporting relationship. Where an introduction comes from a participant's direct superior, even the question 'would you be willing to be interviewed?' may carry an implicit expectation to agree. Where the manager is not a direct superior, the pressure may be weaker but does not disappear, because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authority and existing guanxi may still create a sense of obligation. Consent may therefore reflect not only willingness to participate but also reluctance to disappoint the person who facilitated the introduction, as purposive sampling within existing relationships can prompt feelings of obligation even without overt pressure (Hiratsuka, 2025).</w:t>
      </w:r>
    </w:p>
    <w:p w14:paraId="3537519B"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response is to separate access from consent as far as possible. I will ask managers to distribute written information about the study rather than directly requesting participation on my behalf, allowing potential participants to contact me independently. During the consent process, I will </w:t>
      </w:r>
      <w:proofErr w:type="spellStart"/>
      <w:r w:rsidRPr="00C7453B">
        <w:rPr>
          <w:rFonts w:ascii="Times New Roman" w:hAnsi="Times New Roman" w:cs="Times New Roman"/>
          <w:sz w:val="24"/>
        </w:rPr>
        <w:t>emphasise</w:t>
      </w:r>
      <w:proofErr w:type="spellEnd"/>
      <w:r w:rsidRPr="00C7453B">
        <w:rPr>
          <w:rFonts w:ascii="Times New Roman" w:hAnsi="Times New Roman" w:cs="Times New Roman"/>
          <w:sz w:val="24"/>
        </w:rPr>
        <w:t xml:space="preserve"> that participation is voluntary, that refusal or withdrawal carries no consequences, and that neither participation nor refusal will be reported to managers or family members. These </w:t>
      </w:r>
      <w:r w:rsidRPr="00C7453B">
        <w:rPr>
          <w:rFonts w:ascii="Times New Roman" w:hAnsi="Times New Roman" w:cs="Times New Roman"/>
          <w:sz w:val="24"/>
        </w:rPr>
        <w:lastRenderedPageBreak/>
        <w:t xml:space="preserve">measures can reduce relational pressure but cannot eliminate it. Where recruitment depends on existing relationships, participants may still feel socially or professionally obliged to cooperate even when no pressure is intended. I therefore cannot guarantee that consent will be entirely free from relational influence. I can only design recruitment to </w:t>
      </w:r>
      <w:proofErr w:type="spellStart"/>
      <w:r w:rsidRPr="00C7453B">
        <w:rPr>
          <w:rFonts w:ascii="Times New Roman" w:hAnsi="Times New Roman" w:cs="Times New Roman"/>
          <w:sz w:val="24"/>
        </w:rPr>
        <w:t>minimise</w:t>
      </w:r>
      <w:proofErr w:type="spellEnd"/>
      <w:r w:rsidRPr="00C7453B">
        <w:rPr>
          <w:rFonts w:ascii="Times New Roman" w:hAnsi="Times New Roman" w:cs="Times New Roman"/>
          <w:sz w:val="24"/>
        </w:rPr>
        <w:t xml:space="preserve"> that influence and remain attentive to signs of hesitation or reluctance.</w:t>
      </w:r>
    </w:p>
    <w:p w14:paraId="264265E0" w14:textId="3751A24D"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 second tension concerns the sensitivity of the information participants may disclose. Circular economy practices are connected to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decision-making, environmental practices and responses to China's dual-carbon policy. Participants may therefore regard questions about what their </w:t>
      </w:r>
      <w:proofErr w:type="spellStart"/>
      <w:r w:rsidRPr="00C7453B">
        <w:rPr>
          <w:rFonts w:ascii="Times New Roman" w:hAnsi="Times New Roman" w:cs="Times New Roman"/>
          <w:sz w:val="24"/>
        </w:rPr>
        <w:t>organisations</w:t>
      </w:r>
      <w:proofErr w:type="spellEnd"/>
      <w:r w:rsidRPr="00C7453B">
        <w:rPr>
          <w:rFonts w:ascii="Times New Roman" w:hAnsi="Times New Roman" w:cs="Times New Roman"/>
          <w:sz w:val="24"/>
        </w:rPr>
        <w:t xml:space="preserve"> </w:t>
      </w:r>
      <w:r w:rsidRPr="00C7453B">
        <w:rPr>
          <w:rFonts w:ascii="Times New Roman" w:hAnsi="Times New Roman" w:cs="Times New Roman"/>
          <w:sz w:val="24"/>
        </w:rPr>
        <w:t>do</w:t>
      </w:r>
      <w:r w:rsidRPr="00C7453B">
        <w:rPr>
          <w:rFonts w:ascii="Times New Roman" w:hAnsi="Times New Roman" w:cs="Times New Roman"/>
          <w:sz w:val="24"/>
        </w:rPr>
        <w:t xml:space="preserve">, rather than what formal policies state, as professionally or commercially sensitive. Critical accounts could potentially affect working relationships, professional reputations or perceptions of the </w:t>
      </w:r>
      <w:proofErr w:type="spellStart"/>
      <w:r w:rsidRPr="00C7453B">
        <w:rPr>
          <w:rFonts w:ascii="Times New Roman" w:hAnsi="Times New Roman" w:cs="Times New Roman"/>
          <w:sz w:val="24"/>
        </w:rPr>
        <w:t>organisation</w:t>
      </w:r>
      <w:proofErr w:type="spellEnd"/>
      <w:r w:rsidRPr="00C7453B">
        <w:rPr>
          <w:rFonts w:ascii="Times New Roman" w:hAnsi="Times New Roman" w:cs="Times New Roman"/>
          <w:sz w:val="24"/>
        </w:rPr>
        <w:t xml:space="preserve">. My family connection intensifies this concern because participants may worry that comments about their employer, managers or business partners could reach my father or others within the business network. This is a foreseeable risk rather than a purely abstract one: a promise of confidentiality may feel less reassuring when the researcher is personally connected to the </w:t>
      </w:r>
      <w:proofErr w:type="spellStart"/>
      <w:r w:rsidRPr="00C7453B">
        <w:rPr>
          <w:rFonts w:ascii="Times New Roman" w:hAnsi="Times New Roman" w:cs="Times New Roman"/>
          <w:sz w:val="24"/>
        </w:rPr>
        <w:t>organisation</w:t>
      </w:r>
      <w:proofErr w:type="spellEnd"/>
      <w:r w:rsidRPr="00C7453B">
        <w:rPr>
          <w:rFonts w:ascii="Times New Roman" w:hAnsi="Times New Roman" w:cs="Times New Roman"/>
          <w:sz w:val="24"/>
        </w:rPr>
        <w:t xml:space="preserve"> through which access was obtained. The issue is not only whether confidentiality is maintained in practice, but whether participants can reasonably believe that it will be.</w:t>
      </w:r>
    </w:p>
    <w:p w14:paraId="5C4B0F8D" w14:textId="1D545CAF"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I will therefore de-identify the data and remove or </w:t>
      </w:r>
      <w:proofErr w:type="spellStart"/>
      <w:r w:rsidRPr="00C7453B">
        <w:rPr>
          <w:rFonts w:ascii="Times New Roman" w:hAnsi="Times New Roman" w:cs="Times New Roman"/>
          <w:sz w:val="24"/>
        </w:rPr>
        <w:t>generalise</w:t>
      </w:r>
      <w:proofErr w:type="spellEnd"/>
      <w:r w:rsidRPr="00C7453B">
        <w:rPr>
          <w:rFonts w:ascii="Times New Roman" w:hAnsi="Times New Roman" w:cs="Times New Roman"/>
          <w:sz w:val="24"/>
        </w:rPr>
        <w:t xml:space="preserve"> names, company details, locations and other information that is not analytically necessary. Interview data will be stored securely, and individual accounts will not be discussed with family members, managers or others connected to participating firms. Participants will also be reminded that they do not have to answer questions they consider sensitive. However, confidentiality has limits in a relatively small and interconnected business network. Even where names are removed, a participant might still be identifiable through a combination of job role, </w:t>
      </w:r>
      <w:proofErr w:type="spellStart"/>
      <w:r w:rsidRPr="00C7453B">
        <w:rPr>
          <w:rFonts w:ascii="Times New Roman" w:hAnsi="Times New Roman" w:cs="Times New Roman"/>
          <w:sz w:val="24"/>
        </w:rPr>
        <w:t>organisation</w:t>
      </w:r>
      <w:proofErr w:type="spellEnd"/>
      <w:r w:rsidRPr="00C7453B">
        <w:rPr>
          <w:rFonts w:ascii="Times New Roman" w:hAnsi="Times New Roman" w:cs="Times New Roman"/>
          <w:sz w:val="24"/>
        </w:rPr>
        <w:t xml:space="preserve"> type or </w:t>
      </w:r>
      <w:r w:rsidRPr="00C7453B">
        <w:rPr>
          <w:rFonts w:ascii="Times New Roman" w:hAnsi="Times New Roman" w:cs="Times New Roman"/>
          <w:sz w:val="24"/>
        </w:rPr>
        <w:t>experiences</w:t>
      </w:r>
      <w:r w:rsidRPr="00C7453B">
        <w:rPr>
          <w:rFonts w:ascii="Times New Roman" w:hAnsi="Times New Roman" w:cs="Times New Roman"/>
          <w:sz w:val="24"/>
        </w:rPr>
        <w:t xml:space="preserve">. Complete anonymity therefore cannot be guaranteed. I will also need to consider whether contextual details or quotations should be </w:t>
      </w:r>
      <w:proofErr w:type="spellStart"/>
      <w:r w:rsidRPr="00C7453B">
        <w:rPr>
          <w:rFonts w:ascii="Times New Roman" w:hAnsi="Times New Roman" w:cs="Times New Roman"/>
          <w:sz w:val="24"/>
        </w:rPr>
        <w:t>generalised</w:t>
      </w:r>
      <w:proofErr w:type="spellEnd"/>
      <w:r w:rsidRPr="00C7453B">
        <w:rPr>
          <w:rFonts w:ascii="Times New Roman" w:hAnsi="Times New Roman" w:cs="Times New Roman"/>
          <w:sz w:val="24"/>
        </w:rPr>
        <w:t xml:space="preserve">, paraphrased or omitted where </w:t>
      </w:r>
      <w:r w:rsidRPr="00C7453B">
        <w:rPr>
          <w:rFonts w:ascii="Times New Roman" w:hAnsi="Times New Roman" w:cs="Times New Roman"/>
          <w:sz w:val="24"/>
        </w:rPr>
        <w:lastRenderedPageBreak/>
        <w:t>their analytical value does not justify the risk of identification.</w:t>
      </w:r>
    </w:p>
    <w:p w14:paraId="46A07182"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These tensions cannot be resolved through procedural safeguards alone. Recent qualitative research </w:t>
      </w:r>
      <w:proofErr w:type="spellStart"/>
      <w:r w:rsidRPr="00C7453B">
        <w:rPr>
          <w:rFonts w:ascii="Times New Roman" w:hAnsi="Times New Roman" w:cs="Times New Roman"/>
          <w:sz w:val="24"/>
        </w:rPr>
        <w:t>emphasises</w:t>
      </w:r>
      <w:proofErr w:type="spellEnd"/>
      <w:r w:rsidRPr="00C7453B">
        <w:rPr>
          <w:rFonts w:ascii="Times New Roman" w:hAnsi="Times New Roman" w:cs="Times New Roman"/>
          <w:sz w:val="24"/>
        </w:rPr>
        <w:t xml:space="preserve"> that ethical issues can emerge and shift throughout the research process and cannot always be fully anticipated at the point of ethical approval (</w:t>
      </w:r>
      <w:proofErr w:type="spellStart"/>
      <w:r w:rsidRPr="00C7453B">
        <w:rPr>
          <w:rFonts w:ascii="Times New Roman" w:hAnsi="Times New Roman" w:cs="Times New Roman"/>
          <w:sz w:val="24"/>
        </w:rPr>
        <w:t>Taquette</w:t>
      </w:r>
      <w:proofErr w:type="spellEnd"/>
      <w:r w:rsidRPr="00C7453B">
        <w:rPr>
          <w:rFonts w:ascii="Times New Roman" w:hAnsi="Times New Roman" w:cs="Times New Roman"/>
          <w:sz w:val="24"/>
        </w:rPr>
        <w:t xml:space="preserve"> and Souza, 2022). My ethics application has not yet been submitted, so the safeguards described here remain provisional and may need revision following ethical review or once recruitment begins. The same relationships that make my research possible also create some of its principal ethical risks. My responsibility is therefore not to claim that these tensions have been eliminated, but to make them visible, </w:t>
      </w:r>
      <w:proofErr w:type="spellStart"/>
      <w:r w:rsidRPr="00C7453B">
        <w:rPr>
          <w:rFonts w:ascii="Times New Roman" w:hAnsi="Times New Roman" w:cs="Times New Roman"/>
          <w:sz w:val="24"/>
        </w:rPr>
        <w:t>minimise</w:t>
      </w:r>
      <w:proofErr w:type="spellEnd"/>
      <w:r w:rsidRPr="00C7453B">
        <w:rPr>
          <w:rFonts w:ascii="Times New Roman" w:hAnsi="Times New Roman" w:cs="Times New Roman"/>
          <w:sz w:val="24"/>
        </w:rPr>
        <w:t xml:space="preserve"> foreseeable harm and remain prepared to reconsider my decisions throughout recruitment, interviewing, analysis and reporting.</w:t>
      </w:r>
    </w:p>
    <w:p w14:paraId="142F678A"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 xml:space="preserve">Part 6: I </w:t>
      </w:r>
      <w:proofErr w:type="gramStart"/>
      <w:r w:rsidRPr="00C7453B">
        <w:rPr>
          <w:rFonts w:ascii="Times New Roman" w:hAnsi="Times New Roman" w:cs="Times New Roman"/>
          <w:b/>
          <w:bCs/>
          <w:sz w:val="32"/>
          <w:szCs w:val="32"/>
        </w:rPr>
        <w:t>as</w:t>
      </w:r>
      <w:proofErr w:type="gramEnd"/>
      <w:r w:rsidRPr="00C7453B">
        <w:rPr>
          <w:rFonts w:ascii="Times New Roman" w:hAnsi="Times New Roman" w:cs="Times New Roman"/>
          <w:b/>
          <w:bCs/>
          <w:sz w:val="32"/>
          <w:szCs w:val="32"/>
        </w:rPr>
        <w:t xml:space="preserve"> a Developing Researcher</w:t>
      </w:r>
    </w:p>
    <w:p w14:paraId="4B3CE26E" w14:textId="77777777" w:rsidR="00A979A2" w:rsidRPr="00A979A2" w:rsidRDefault="00A979A2" w:rsidP="00A979A2">
      <w:pPr>
        <w:spacing w:line="360" w:lineRule="auto"/>
        <w:rPr>
          <w:rFonts w:ascii="Times New Roman" w:hAnsi="Times New Roman" w:cs="Times New Roman"/>
          <w:sz w:val="24"/>
        </w:rPr>
      </w:pPr>
      <w:r w:rsidRPr="00A979A2">
        <w:rPr>
          <w:rFonts w:ascii="Times New Roman" w:hAnsi="Times New Roman" w:cs="Times New Roman"/>
          <w:sz w:val="24"/>
        </w:rPr>
        <w:t xml:space="preserve">Across this portfolio, I have identified two areas where my development as a reflexive doctoral researcher remains incomplete. The first is my limited experience with qualitative interviewing. My academic training in finance was predominantly quantitative, and although I have conducted a pilot interview, it revealed more about my limitations than I had expected. During the interview, the participant said something highly relevant that I had not anticipated in my interview guide. At the time, I did not </w:t>
      </w:r>
      <w:proofErr w:type="spellStart"/>
      <w:r w:rsidRPr="00A979A2">
        <w:rPr>
          <w:rFonts w:ascii="Times New Roman" w:hAnsi="Times New Roman" w:cs="Times New Roman"/>
          <w:sz w:val="24"/>
        </w:rPr>
        <w:t>recognise</w:t>
      </w:r>
      <w:proofErr w:type="spellEnd"/>
      <w:r w:rsidRPr="00A979A2">
        <w:rPr>
          <w:rFonts w:ascii="Times New Roman" w:hAnsi="Times New Roman" w:cs="Times New Roman"/>
          <w:sz w:val="24"/>
        </w:rPr>
        <w:t xml:space="preserve"> its significance. I was too focused on working through my prepared questions, and I treated the guide as something to follow rather than something to deviate from. </w:t>
      </w:r>
      <w:proofErr w:type="gramStart"/>
      <w:r w:rsidRPr="00A979A2">
        <w:rPr>
          <w:rFonts w:ascii="Times New Roman" w:hAnsi="Times New Roman" w:cs="Times New Roman"/>
          <w:sz w:val="24"/>
        </w:rPr>
        <w:t>So</w:t>
      </w:r>
      <w:proofErr w:type="gramEnd"/>
      <w:r w:rsidRPr="00A979A2">
        <w:rPr>
          <w:rFonts w:ascii="Times New Roman" w:hAnsi="Times New Roman" w:cs="Times New Roman"/>
          <w:sz w:val="24"/>
        </w:rPr>
        <w:t xml:space="preserve"> I moved on to the next question. Only afterwards, when I listened to the recording, did I </w:t>
      </w:r>
      <w:proofErr w:type="spellStart"/>
      <w:r w:rsidRPr="00A979A2">
        <w:rPr>
          <w:rFonts w:ascii="Times New Roman" w:hAnsi="Times New Roman" w:cs="Times New Roman"/>
          <w:sz w:val="24"/>
        </w:rPr>
        <w:t>realise</w:t>
      </w:r>
      <w:proofErr w:type="spellEnd"/>
      <w:r w:rsidRPr="00A979A2">
        <w:rPr>
          <w:rFonts w:ascii="Times New Roman" w:hAnsi="Times New Roman" w:cs="Times New Roman"/>
          <w:sz w:val="24"/>
        </w:rPr>
        <w:t xml:space="preserve"> what I had missed. The participant had opened a line of thinking that I simply did not follow. This was uncomfortable to acknowledge, because it showed me that I had been treating the interview as a procedure to complete rather than a conversation to pursue. I now understand that interviewing requires a kind of attention that I have not yet developed: the ability to </w:t>
      </w:r>
      <w:proofErr w:type="spellStart"/>
      <w:r w:rsidRPr="00A979A2">
        <w:rPr>
          <w:rFonts w:ascii="Times New Roman" w:hAnsi="Times New Roman" w:cs="Times New Roman"/>
          <w:sz w:val="24"/>
        </w:rPr>
        <w:t>recognise</w:t>
      </w:r>
      <w:proofErr w:type="spellEnd"/>
      <w:r w:rsidRPr="00A979A2">
        <w:rPr>
          <w:rFonts w:ascii="Times New Roman" w:hAnsi="Times New Roman" w:cs="Times New Roman"/>
          <w:sz w:val="24"/>
        </w:rPr>
        <w:t xml:space="preserve">, in the moment, what matters and to let go of the plan when something more important appears. Without more experience, I may continue to miss subtle </w:t>
      </w:r>
      <w:r w:rsidRPr="00A979A2">
        <w:rPr>
          <w:rFonts w:ascii="Times New Roman" w:hAnsi="Times New Roman" w:cs="Times New Roman"/>
          <w:sz w:val="24"/>
        </w:rPr>
        <w:lastRenderedPageBreak/>
        <w:t xml:space="preserve">cues, ask leading questions or fail to </w:t>
      </w:r>
      <w:proofErr w:type="gramStart"/>
      <w:r w:rsidRPr="00A979A2">
        <w:rPr>
          <w:rFonts w:ascii="Times New Roman" w:hAnsi="Times New Roman" w:cs="Times New Roman"/>
          <w:sz w:val="24"/>
        </w:rPr>
        <w:t>probe</w:t>
      </w:r>
      <w:proofErr w:type="gramEnd"/>
      <w:r w:rsidRPr="00A979A2">
        <w:rPr>
          <w:rFonts w:ascii="Times New Roman" w:hAnsi="Times New Roman" w:cs="Times New Roman"/>
          <w:sz w:val="24"/>
        </w:rPr>
        <w:t xml:space="preserve"> significant silences (Morgan Brett and Wheeler, 2021).</w:t>
      </w:r>
    </w:p>
    <w:p w14:paraId="1C324B3E" w14:textId="55056692" w:rsidR="00C7453B" w:rsidRPr="00A979A2" w:rsidRDefault="00C7453B" w:rsidP="00A979A2">
      <w:pPr>
        <w:spacing w:line="360" w:lineRule="auto"/>
        <w:rPr>
          <w:rFonts w:ascii="Times New Roman" w:hAnsi="Times New Roman" w:cs="Times New Roman"/>
          <w:sz w:val="24"/>
        </w:rPr>
      </w:pPr>
      <w:r w:rsidRPr="00A979A2">
        <w:rPr>
          <w:rFonts w:ascii="Times New Roman" w:hAnsi="Times New Roman" w:cs="Times New Roman"/>
          <w:sz w:val="24"/>
        </w:rPr>
        <w:t>The second area concerns my research question. Although it has narrowed considerably, terms such as 'stakeholder perceptions' and 'circular economy practices' remain broad, and I have not yet fully determined how to define them in a way that is analytically meaningful and feasible within a case study (Creswell and Poth, 2024).</w:t>
      </w:r>
    </w:p>
    <w:p w14:paraId="428CF994" w14:textId="13AD55E7" w:rsidR="001479CA" w:rsidRPr="00A979A2" w:rsidRDefault="00A979A2" w:rsidP="00A979A2">
      <w:pPr>
        <w:spacing w:line="360" w:lineRule="auto"/>
        <w:rPr>
          <w:rFonts w:ascii="Times New Roman" w:hAnsi="Times New Roman" w:cs="Times New Roman"/>
          <w:sz w:val="24"/>
        </w:rPr>
      </w:pPr>
      <w:r w:rsidRPr="00A979A2">
        <w:rPr>
          <w:rFonts w:ascii="Times New Roman" w:hAnsi="Times New Roman" w:cs="Times New Roman"/>
          <w:sz w:val="24"/>
        </w:rPr>
        <w:t xml:space="preserve">Addressing these gaps will require more than simply accumulating experience. In Part 2, I plan to undertake further training in qualitative interviewing, but I also need to change how I approach interviews themselves. My pilot interview showed me that I tend to follow my guide too closely. </w:t>
      </w:r>
      <w:proofErr w:type="gramStart"/>
      <w:r w:rsidRPr="00A979A2">
        <w:rPr>
          <w:rFonts w:ascii="Times New Roman" w:hAnsi="Times New Roman" w:cs="Times New Roman"/>
          <w:sz w:val="24"/>
        </w:rPr>
        <w:t>So</w:t>
      </w:r>
      <w:proofErr w:type="gramEnd"/>
      <w:r w:rsidRPr="00A979A2">
        <w:rPr>
          <w:rFonts w:ascii="Times New Roman" w:hAnsi="Times New Roman" w:cs="Times New Roman"/>
          <w:sz w:val="24"/>
        </w:rPr>
        <w:t xml:space="preserve"> in future pilot interviews, I will deliberately </w:t>
      </w:r>
      <w:proofErr w:type="spellStart"/>
      <w:r w:rsidRPr="00A979A2">
        <w:rPr>
          <w:rFonts w:ascii="Times New Roman" w:hAnsi="Times New Roman" w:cs="Times New Roman"/>
          <w:sz w:val="24"/>
        </w:rPr>
        <w:t>practise</w:t>
      </w:r>
      <w:proofErr w:type="spellEnd"/>
      <w:r w:rsidRPr="00A979A2">
        <w:rPr>
          <w:rFonts w:ascii="Times New Roman" w:hAnsi="Times New Roman" w:cs="Times New Roman"/>
          <w:sz w:val="24"/>
        </w:rPr>
        <w:t xml:space="preserve"> deviating from it: when a participant says something unexpected, I will try to stay with it rather than moving on. I will also record short reflective notes immediately after each interview, focusing on what I missed, what I avoided and what made me uncomfortable. This is not a natural habit for me, and I expect it to feel awkward at first. But I do not think I can learn to interview well simply by reading about it. I also plan to read more deeply on interviewing and case study design, and to discuss my framing regularly with my supervisor. For my research question, I will use these pilot interviews to test whether my terms are specific enough to be answerable, and I will revise them if they are not. I am aware that becoming a reflexive researcher takes time. I do not expect to resolve </w:t>
      </w:r>
      <w:proofErr w:type="gramStart"/>
      <w:r w:rsidRPr="00A979A2">
        <w:rPr>
          <w:rFonts w:ascii="Times New Roman" w:hAnsi="Times New Roman" w:cs="Times New Roman"/>
          <w:sz w:val="24"/>
        </w:rPr>
        <w:t>all of</w:t>
      </w:r>
      <w:proofErr w:type="gramEnd"/>
      <w:r w:rsidRPr="00A979A2">
        <w:rPr>
          <w:rFonts w:ascii="Times New Roman" w:hAnsi="Times New Roman" w:cs="Times New Roman"/>
          <w:sz w:val="24"/>
        </w:rPr>
        <w:t xml:space="preserve"> these gaps in Part 2, but I want to make steady progress through practice, feedback and a willingness to revise my assumptions (Olmos-Vega et al., 2023).</w:t>
      </w:r>
    </w:p>
    <w:p w14:paraId="75AB491E" w14:textId="77777777" w:rsidR="00B00709" w:rsidRDefault="00B00709" w:rsidP="001479CA">
      <w:pPr>
        <w:rPr>
          <w:rFonts w:ascii="Times New Roman" w:hAnsi="Times New Roman" w:cs="Times New Roman" w:hint="eastAsia"/>
        </w:rPr>
      </w:pPr>
    </w:p>
    <w:p w14:paraId="4A327F09" w14:textId="77777777" w:rsidR="00952BA4" w:rsidRDefault="00952BA4" w:rsidP="001479CA">
      <w:pPr>
        <w:rPr>
          <w:rFonts w:ascii="Times New Roman" w:hAnsi="Times New Roman" w:cs="Times New Roman"/>
        </w:rPr>
      </w:pPr>
    </w:p>
    <w:p w14:paraId="2897E92D" w14:textId="77777777" w:rsidR="003005E9" w:rsidRDefault="003005E9" w:rsidP="001479CA">
      <w:pPr>
        <w:rPr>
          <w:rFonts w:ascii="Times New Roman" w:hAnsi="Times New Roman" w:cs="Times New Roman"/>
        </w:rPr>
      </w:pPr>
    </w:p>
    <w:p w14:paraId="74A39217" w14:textId="77777777" w:rsidR="00C7453B" w:rsidRDefault="00C7453B" w:rsidP="001479CA">
      <w:pPr>
        <w:rPr>
          <w:rFonts w:ascii="Times New Roman" w:hAnsi="Times New Roman" w:cs="Times New Roman"/>
        </w:rPr>
      </w:pPr>
    </w:p>
    <w:p w14:paraId="24484241" w14:textId="77777777" w:rsidR="00C7453B" w:rsidRDefault="00C7453B" w:rsidP="001479CA">
      <w:pPr>
        <w:rPr>
          <w:rFonts w:ascii="Times New Roman" w:hAnsi="Times New Roman" w:cs="Times New Roman"/>
        </w:rPr>
      </w:pPr>
    </w:p>
    <w:p w14:paraId="5EF98EE8" w14:textId="77777777" w:rsidR="00C7453B" w:rsidRDefault="00C7453B" w:rsidP="001479CA">
      <w:pPr>
        <w:rPr>
          <w:rFonts w:ascii="Times New Roman" w:hAnsi="Times New Roman" w:cs="Times New Roman"/>
        </w:rPr>
      </w:pPr>
    </w:p>
    <w:p w14:paraId="529AA3C4" w14:textId="77777777" w:rsidR="00C7453B" w:rsidRDefault="00C7453B" w:rsidP="001479CA">
      <w:pPr>
        <w:rPr>
          <w:rFonts w:ascii="Times New Roman" w:hAnsi="Times New Roman" w:cs="Times New Roman"/>
        </w:rPr>
      </w:pPr>
    </w:p>
    <w:p w14:paraId="11DE8D97" w14:textId="77777777" w:rsidR="00C7453B" w:rsidRPr="002823AB" w:rsidRDefault="00C7453B" w:rsidP="001479CA">
      <w:pPr>
        <w:rPr>
          <w:rFonts w:ascii="Times New Roman" w:hAnsi="Times New Roman" w:cs="Times New Roman" w:hint="eastAsia"/>
        </w:rPr>
      </w:pPr>
    </w:p>
    <w:p w14:paraId="7701BA8D" w14:textId="58038916" w:rsidR="001479CA" w:rsidRPr="00C7453B" w:rsidRDefault="00876004" w:rsidP="001479CA">
      <w:pPr>
        <w:rPr>
          <w:rFonts w:ascii="Times New Roman" w:hAnsi="Times New Roman" w:cs="Times New Roman"/>
          <w:b/>
          <w:bCs/>
          <w:sz w:val="32"/>
          <w:szCs w:val="32"/>
        </w:rPr>
      </w:pPr>
      <w:r w:rsidRPr="00C7453B">
        <w:rPr>
          <w:rFonts w:ascii="Times New Roman" w:hAnsi="Times New Roman" w:cs="Times New Roman" w:hint="eastAsia"/>
          <w:b/>
          <w:bCs/>
          <w:sz w:val="32"/>
          <w:szCs w:val="32"/>
        </w:rPr>
        <w:t>Reference List:</w:t>
      </w:r>
    </w:p>
    <w:p w14:paraId="5DFCBFFE" w14:textId="77777777" w:rsidR="00B00709" w:rsidRPr="00B00709" w:rsidRDefault="00B00709" w:rsidP="00B00709">
      <w:pPr>
        <w:rPr>
          <w:rFonts w:ascii="Times New Roman" w:hAnsi="Times New Roman" w:cs="Times New Roman"/>
          <w:sz w:val="24"/>
        </w:rPr>
      </w:pPr>
      <w:proofErr w:type="gramStart"/>
      <w:r w:rsidRPr="00B00709">
        <w:rPr>
          <w:rFonts w:ascii="Times New Roman" w:hAnsi="Times New Roman" w:cs="Times New Roman"/>
          <w:sz w:val="24"/>
        </w:rPr>
        <w:t>Booth</w:t>
      </w:r>
      <w:proofErr w:type="gramEnd"/>
      <w:r w:rsidRPr="00B00709">
        <w:rPr>
          <w:rFonts w:ascii="Times New Roman" w:hAnsi="Times New Roman" w:cs="Times New Roman"/>
          <w:sz w:val="24"/>
        </w:rPr>
        <w:t xml:space="preserve">, W.C., Colomb, G.G., Williams, J.M., </w:t>
      </w:r>
      <w:proofErr w:type="spellStart"/>
      <w:r w:rsidRPr="00B00709">
        <w:rPr>
          <w:rFonts w:ascii="Times New Roman" w:hAnsi="Times New Roman" w:cs="Times New Roman"/>
          <w:sz w:val="24"/>
        </w:rPr>
        <w:t>Bizup</w:t>
      </w:r>
      <w:proofErr w:type="spellEnd"/>
      <w:r w:rsidRPr="00B00709">
        <w:rPr>
          <w:rFonts w:ascii="Times New Roman" w:hAnsi="Times New Roman" w:cs="Times New Roman"/>
          <w:sz w:val="24"/>
        </w:rPr>
        <w:t xml:space="preserve">, J. and FitzGerald, W.T. (2024) </w:t>
      </w:r>
      <w:r w:rsidRPr="00B00709">
        <w:rPr>
          <w:rFonts w:ascii="Times New Roman" w:hAnsi="Times New Roman" w:cs="Times New Roman"/>
          <w:i/>
          <w:iCs/>
          <w:sz w:val="24"/>
        </w:rPr>
        <w:t>The Craft of Research</w:t>
      </w:r>
      <w:r w:rsidRPr="00B00709">
        <w:rPr>
          <w:rFonts w:ascii="Times New Roman" w:hAnsi="Times New Roman" w:cs="Times New Roman"/>
          <w:sz w:val="24"/>
        </w:rPr>
        <w:t xml:space="preserve">. 5th </w:t>
      </w:r>
      <w:proofErr w:type="spellStart"/>
      <w:r w:rsidRPr="00B00709">
        <w:rPr>
          <w:rFonts w:ascii="Times New Roman" w:hAnsi="Times New Roman" w:cs="Times New Roman"/>
          <w:sz w:val="24"/>
        </w:rPr>
        <w:t>edn</w:t>
      </w:r>
      <w:proofErr w:type="spellEnd"/>
      <w:r w:rsidRPr="00B00709">
        <w:rPr>
          <w:rFonts w:ascii="Times New Roman" w:hAnsi="Times New Roman" w:cs="Times New Roman"/>
          <w:sz w:val="24"/>
        </w:rPr>
        <w:t>. Chicago: University of Chicago Press.</w:t>
      </w:r>
    </w:p>
    <w:p w14:paraId="445E6790"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Bourdieu, P. (1990) </w:t>
      </w:r>
      <w:r w:rsidRPr="00B00709">
        <w:rPr>
          <w:rFonts w:ascii="Times New Roman" w:hAnsi="Times New Roman" w:cs="Times New Roman"/>
          <w:i/>
          <w:iCs/>
          <w:sz w:val="24"/>
        </w:rPr>
        <w:t>The Logic of Practice</w:t>
      </w:r>
      <w:r w:rsidRPr="00B00709">
        <w:rPr>
          <w:rFonts w:ascii="Times New Roman" w:hAnsi="Times New Roman" w:cs="Times New Roman"/>
          <w:sz w:val="24"/>
        </w:rPr>
        <w:t>. Translated by R. Nice. Stanford, CA: Stanford University Press.</w:t>
      </w:r>
    </w:p>
    <w:p w14:paraId="74B7D58D" w14:textId="77777777" w:rsidR="00B00709" w:rsidRPr="00B00709" w:rsidRDefault="00B00709" w:rsidP="00B00709">
      <w:pPr>
        <w:rPr>
          <w:rFonts w:ascii="Times New Roman" w:hAnsi="Times New Roman" w:cs="Times New Roman"/>
          <w:sz w:val="24"/>
        </w:rPr>
      </w:pPr>
      <w:proofErr w:type="spellStart"/>
      <w:r w:rsidRPr="00B00709">
        <w:rPr>
          <w:rFonts w:ascii="Times New Roman" w:hAnsi="Times New Roman" w:cs="Times New Roman"/>
          <w:sz w:val="24"/>
        </w:rPr>
        <w:t>Bukamal</w:t>
      </w:r>
      <w:proofErr w:type="spellEnd"/>
      <w:r w:rsidRPr="00B00709">
        <w:rPr>
          <w:rFonts w:ascii="Times New Roman" w:hAnsi="Times New Roman" w:cs="Times New Roman"/>
          <w:sz w:val="24"/>
        </w:rPr>
        <w:t xml:space="preserve">, H. (2022) ‘Deconstructing insider–outsider researcher positionality’, </w:t>
      </w:r>
      <w:r w:rsidRPr="00B00709">
        <w:rPr>
          <w:rFonts w:ascii="Times New Roman" w:hAnsi="Times New Roman" w:cs="Times New Roman"/>
          <w:i/>
          <w:iCs/>
          <w:sz w:val="24"/>
        </w:rPr>
        <w:t>British Journal of Special Education</w:t>
      </w:r>
      <w:r w:rsidRPr="00B00709">
        <w:rPr>
          <w:rFonts w:ascii="Times New Roman" w:hAnsi="Times New Roman" w:cs="Times New Roman"/>
          <w:sz w:val="24"/>
        </w:rPr>
        <w:t xml:space="preserve">, 49(3), pp. 327–349.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10.1111/1467-8578.12426.</w:t>
      </w:r>
    </w:p>
    <w:p w14:paraId="4B88850C" w14:textId="77777777" w:rsidR="00B00709" w:rsidRPr="00B00709" w:rsidRDefault="00B00709" w:rsidP="00B00709">
      <w:pPr>
        <w:rPr>
          <w:rFonts w:ascii="Times New Roman" w:hAnsi="Times New Roman" w:cs="Times New Roman"/>
          <w:sz w:val="24"/>
        </w:rPr>
      </w:pPr>
      <w:proofErr w:type="spellStart"/>
      <w:r w:rsidRPr="00B00709">
        <w:rPr>
          <w:rFonts w:ascii="Times New Roman" w:hAnsi="Times New Roman" w:cs="Times New Roman"/>
          <w:sz w:val="24"/>
        </w:rPr>
        <w:t>Burawoy</w:t>
      </w:r>
      <w:proofErr w:type="spellEnd"/>
      <w:r w:rsidRPr="00B00709">
        <w:rPr>
          <w:rFonts w:ascii="Times New Roman" w:hAnsi="Times New Roman" w:cs="Times New Roman"/>
          <w:sz w:val="24"/>
        </w:rPr>
        <w:t xml:space="preserve">, M. (1998) ‘The extended case method’, </w:t>
      </w:r>
      <w:r w:rsidRPr="00B00709">
        <w:rPr>
          <w:rFonts w:ascii="Times New Roman" w:hAnsi="Times New Roman" w:cs="Times New Roman"/>
          <w:i/>
          <w:iCs/>
          <w:sz w:val="24"/>
        </w:rPr>
        <w:t>Sociological Theory</w:t>
      </w:r>
      <w:r w:rsidRPr="00B00709">
        <w:rPr>
          <w:rFonts w:ascii="Times New Roman" w:hAnsi="Times New Roman" w:cs="Times New Roman"/>
          <w:sz w:val="24"/>
        </w:rPr>
        <w:t xml:space="preserve">, 16(1), pp. 4–33.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10.1111/0735-2751.00040.</w:t>
      </w:r>
    </w:p>
    <w:p w14:paraId="4F64FCE4"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Creswell, J.W. and Poth, C.N. (2024) </w:t>
      </w:r>
      <w:r w:rsidRPr="00B00709">
        <w:rPr>
          <w:rFonts w:ascii="Times New Roman" w:hAnsi="Times New Roman" w:cs="Times New Roman"/>
          <w:i/>
          <w:iCs/>
          <w:sz w:val="24"/>
        </w:rPr>
        <w:t>Qualitative Inquiry and Research Design: Choosing Among Five Approaches</w:t>
      </w:r>
      <w:r w:rsidRPr="00B00709">
        <w:rPr>
          <w:rFonts w:ascii="Times New Roman" w:hAnsi="Times New Roman" w:cs="Times New Roman"/>
          <w:sz w:val="24"/>
        </w:rPr>
        <w:t xml:space="preserve">. 5th </w:t>
      </w:r>
      <w:proofErr w:type="spellStart"/>
      <w:r w:rsidRPr="00B00709">
        <w:rPr>
          <w:rFonts w:ascii="Times New Roman" w:hAnsi="Times New Roman" w:cs="Times New Roman"/>
          <w:sz w:val="24"/>
        </w:rPr>
        <w:t>edn</w:t>
      </w:r>
      <w:proofErr w:type="spellEnd"/>
      <w:r w:rsidRPr="00B00709">
        <w:rPr>
          <w:rFonts w:ascii="Times New Roman" w:hAnsi="Times New Roman" w:cs="Times New Roman"/>
          <w:sz w:val="24"/>
        </w:rPr>
        <w:t>. Thousand Oaks, CA: SAGE Publications.</w:t>
      </w:r>
    </w:p>
    <w:p w14:paraId="7046A75E"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Folkes, L. (2023) ‘Moving beyond “shopping list” positionality: Using kitchen table reflexivity and in/visible tools to develop reflexive qualitative research’, </w:t>
      </w:r>
      <w:r w:rsidRPr="00B00709">
        <w:rPr>
          <w:rFonts w:ascii="Times New Roman" w:hAnsi="Times New Roman" w:cs="Times New Roman"/>
          <w:i/>
          <w:iCs/>
          <w:sz w:val="24"/>
        </w:rPr>
        <w:t>Qualitative Research</w:t>
      </w:r>
      <w:r w:rsidRPr="00B00709">
        <w:rPr>
          <w:rFonts w:ascii="Times New Roman" w:hAnsi="Times New Roman" w:cs="Times New Roman"/>
          <w:sz w:val="24"/>
        </w:rPr>
        <w:t xml:space="preserve">, 23(5), pp. 1301–1318.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10.1177/14687941221098922.</w:t>
      </w:r>
    </w:p>
    <w:p w14:paraId="618FBA9B"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Gibbs, G. (1988) </w:t>
      </w:r>
      <w:r w:rsidRPr="00B00709">
        <w:rPr>
          <w:rFonts w:ascii="Times New Roman" w:hAnsi="Times New Roman" w:cs="Times New Roman"/>
          <w:i/>
          <w:iCs/>
          <w:sz w:val="24"/>
        </w:rPr>
        <w:t>Learning by Doing: A Guide to Teaching and Learning Methods</w:t>
      </w:r>
      <w:r w:rsidRPr="00B00709">
        <w:rPr>
          <w:rFonts w:ascii="Times New Roman" w:hAnsi="Times New Roman" w:cs="Times New Roman"/>
          <w:sz w:val="24"/>
        </w:rPr>
        <w:t>. Oxford: Further Education Unit, Oxford Polytechnic.</w:t>
      </w:r>
    </w:p>
    <w:p w14:paraId="2435DF15" w14:textId="63057ACB" w:rsidR="003005E9" w:rsidRPr="003005E9" w:rsidRDefault="003005E9" w:rsidP="00B00709">
      <w:pPr>
        <w:rPr>
          <w:rFonts w:ascii="Times New Roman" w:hAnsi="Times New Roman" w:cs="Times New Roman"/>
          <w:sz w:val="24"/>
        </w:rPr>
      </w:pPr>
      <w:r w:rsidRPr="003005E9">
        <w:rPr>
          <w:rFonts w:ascii="Times New Roman" w:hAnsi="Times New Roman" w:cs="Times New Roman"/>
          <w:sz w:val="24"/>
        </w:rPr>
        <w:t>Hiratsuka, T. (</w:t>
      </w:r>
      <w:r w:rsidRPr="003005E9">
        <w:rPr>
          <w:rFonts w:ascii="Times New Roman" w:hAnsi="Times New Roman" w:cs="Times New Roman"/>
          <w:sz w:val="24"/>
        </w:rPr>
        <w:t xml:space="preserve">2025) </w:t>
      </w:r>
      <w:r w:rsidRPr="003005E9">
        <w:rPr>
          <w:rFonts w:ascii="Times New Roman" w:hAnsi="Times New Roman" w:cs="Times New Roman"/>
          <w:sz w:val="24"/>
        </w:rPr>
        <w:t xml:space="preserve">The volunteer participation paradox: Ethical tensions between self-selection and targeted sampling’, </w:t>
      </w:r>
      <w:r w:rsidRPr="003005E9">
        <w:rPr>
          <w:rFonts w:ascii="Times New Roman" w:hAnsi="Times New Roman" w:cs="Times New Roman"/>
          <w:i/>
          <w:iCs/>
          <w:sz w:val="24"/>
        </w:rPr>
        <w:t>Research Methods in Applied Linguistics</w:t>
      </w:r>
      <w:r w:rsidRPr="003005E9">
        <w:rPr>
          <w:rFonts w:ascii="Times New Roman" w:hAnsi="Times New Roman" w:cs="Times New Roman"/>
          <w:sz w:val="24"/>
        </w:rPr>
        <w:t xml:space="preserve">, 4(2), article 100206. </w:t>
      </w:r>
      <w:proofErr w:type="spellStart"/>
      <w:r w:rsidRPr="003005E9">
        <w:rPr>
          <w:rFonts w:ascii="Times New Roman" w:hAnsi="Times New Roman" w:cs="Times New Roman"/>
          <w:sz w:val="24"/>
        </w:rPr>
        <w:t>doi</w:t>
      </w:r>
      <w:proofErr w:type="spellEnd"/>
      <w:r w:rsidRPr="003005E9">
        <w:rPr>
          <w:rFonts w:ascii="Times New Roman" w:hAnsi="Times New Roman" w:cs="Times New Roman"/>
          <w:sz w:val="24"/>
        </w:rPr>
        <w:t>: 10.1016/j.rmal.2025.100206.</w:t>
      </w:r>
    </w:p>
    <w:p w14:paraId="50DA7440" w14:textId="1E650322"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Kolb, D.A. (1984) </w:t>
      </w:r>
      <w:r w:rsidRPr="00B00709">
        <w:rPr>
          <w:rFonts w:ascii="Times New Roman" w:hAnsi="Times New Roman" w:cs="Times New Roman"/>
          <w:i/>
          <w:iCs/>
          <w:sz w:val="24"/>
        </w:rPr>
        <w:t>Experiential Learning: Experience as the Source of Learning and Development</w:t>
      </w:r>
      <w:r w:rsidRPr="00B00709">
        <w:rPr>
          <w:rFonts w:ascii="Times New Roman" w:hAnsi="Times New Roman" w:cs="Times New Roman"/>
          <w:sz w:val="24"/>
        </w:rPr>
        <w:t>. Englewood Cliffs, NJ: Prentice-Hall.</w:t>
      </w:r>
    </w:p>
    <w:p w14:paraId="67AA89FF"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Li, H., Harvey, W.S. and </w:t>
      </w:r>
      <w:proofErr w:type="spellStart"/>
      <w:r w:rsidRPr="00B00709">
        <w:rPr>
          <w:rFonts w:ascii="Times New Roman" w:hAnsi="Times New Roman" w:cs="Times New Roman"/>
          <w:sz w:val="24"/>
        </w:rPr>
        <w:t>Beaverstock</w:t>
      </w:r>
      <w:proofErr w:type="spellEnd"/>
      <w:r w:rsidRPr="00B00709">
        <w:rPr>
          <w:rFonts w:ascii="Times New Roman" w:hAnsi="Times New Roman" w:cs="Times New Roman"/>
          <w:sz w:val="24"/>
        </w:rPr>
        <w:t xml:space="preserve">, J.V. (2023) ‘Using guanxi to conduct elite interviews in China’, </w:t>
      </w:r>
      <w:r w:rsidRPr="00B00709">
        <w:rPr>
          <w:rFonts w:ascii="Times New Roman" w:hAnsi="Times New Roman" w:cs="Times New Roman"/>
          <w:i/>
          <w:iCs/>
          <w:sz w:val="24"/>
        </w:rPr>
        <w:t>Qualitative Research</w:t>
      </w:r>
      <w:r w:rsidRPr="00B00709">
        <w:rPr>
          <w:rFonts w:ascii="Times New Roman" w:hAnsi="Times New Roman" w:cs="Times New Roman"/>
          <w:sz w:val="24"/>
        </w:rPr>
        <w:t xml:space="preserve">, 23(4), pp. 900–920.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10.1177/14687941211063486.</w:t>
      </w:r>
    </w:p>
    <w:p w14:paraId="147CF82C"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Lincoln, Y.S. and Guba, E.G. (1985) </w:t>
      </w:r>
      <w:r w:rsidRPr="00B00709">
        <w:rPr>
          <w:rFonts w:ascii="Times New Roman" w:hAnsi="Times New Roman" w:cs="Times New Roman"/>
          <w:i/>
          <w:iCs/>
          <w:sz w:val="24"/>
        </w:rPr>
        <w:t>Naturalistic Inquiry</w:t>
      </w:r>
      <w:r w:rsidRPr="00B00709">
        <w:rPr>
          <w:rFonts w:ascii="Times New Roman" w:hAnsi="Times New Roman" w:cs="Times New Roman"/>
          <w:sz w:val="24"/>
        </w:rPr>
        <w:t>. Beverly Hills, CA: Sage Publications.</w:t>
      </w:r>
    </w:p>
    <w:p w14:paraId="60B772F5" w14:textId="77777777" w:rsidR="003005E9" w:rsidRPr="003005E9" w:rsidRDefault="003005E9" w:rsidP="00B00709">
      <w:pPr>
        <w:rPr>
          <w:rFonts w:ascii="Times New Roman" w:hAnsi="Times New Roman" w:cs="Times New Roman"/>
          <w:sz w:val="24"/>
        </w:rPr>
      </w:pPr>
      <w:r w:rsidRPr="003005E9">
        <w:rPr>
          <w:rFonts w:ascii="Times New Roman" w:hAnsi="Times New Roman" w:cs="Times New Roman"/>
          <w:sz w:val="24"/>
        </w:rPr>
        <w:t xml:space="preserve">Menzies, L. (2025) ‘Elite interviewing as an in-betweener’, </w:t>
      </w:r>
      <w:r w:rsidRPr="003005E9">
        <w:rPr>
          <w:rFonts w:ascii="Times New Roman" w:hAnsi="Times New Roman" w:cs="Times New Roman"/>
          <w:i/>
          <w:iCs/>
          <w:sz w:val="24"/>
        </w:rPr>
        <w:t>PS: Political Science &amp; Politics</w:t>
      </w:r>
      <w:r w:rsidRPr="003005E9">
        <w:rPr>
          <w:rFonts w:ascii="Times New Roman" w:hAnsi="Times New Roman" w:cs="Times New Roman"/>
          <w:sz w:val="24"/>
        </w:rPr>
        <w:t xml:space="preserve">, 58(3), pp. 569–573. </w:t>
      </w:r>
      <w:proofErr w:type="spellStart"/>
      <w:r w:rsidRPr="003005E9">
        <w:rPr>
          <w:rFonts w:ascii="Times New Roman" w:hAnsi="Times New Roman" w:cs="Times New Roman"/>
          <w:sz w:val="24"/>
        </w:rPr>
        <w:t>doi</w:t>
      </w:r>
      <w:proofErr w:type="spellEnd"/>
      <w:r w:rsidRPr="003005E9">
        <w:rPr>
          <w:rFonts w:ascii="Times New Roman" w:hAnsi="Times New Roman" w:cs="Times New Roman"/>
          <w:sz w:val="24"/>
        </w:rPr>
        <w:t>: 10.1017/S1049096524001112.</w:t>
      </w:r>
    </w:p>
    <w:p w14:paraId="2ED2BF0B" w14:textId="2BD68BA1"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Min, Z., Sawang, S. and Kivits, R.A. (2021) ‘Proposing circular economy ecosystem </w:t>
      </w:r>
      <w:r w:rsidRPr="00B00709">
        <w:rPr>
          <w:rFonts w:ascii="Times New Roman" w:hAnsi="Times New Roman" w:cs="Times New Roman"/>
          <w:sz w:val="24"/>
        </w:rPr>
        <w:lastRenderedPageBreak/>
        <w:t xml:space="preserve">for Chinese SMEs: A systematic review’, </w:t>
      </w:r>
      <w:r w:rsidRPr="00B00709">
        <w:rPr>
          <w:rFonts w:ascii="Times New Roman" w:hAnsi="Times New Roman" w:cs="Times New Roman"/>
          <w:i/>
          <w:iCs/>
          <w:sz w:val="24"/>
        </w:rPr>
        <w:t>International Journal of Environmental Research and Public Health</w:t>
      </w:r>
      <w:r w:rsidRPr="00B00709">
        <w:rPr>
          <w:rFonts w:ascii="Times New Roman" w:hAnsi="Times New Roman" w:cs="Times New Roman"/>
          <w:sz w:val="24"/>
        </w:rPr>
        <w:t xml:space="preserve">, 18(5), article 2395.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10.3390/ijerph18052395.</w:t>
      </w:r>
    </w:p>
    <w:p w14:paraId="65F7C4DD"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Morgan Brett, B. and Wheeler, K. (2021) </w:t>
      </w:r>
      <w:r w:rsidRPr="00B00709">
        <w:rPr>
          <w:rFonts w:ascii="Times New Roman" w:hAnsi="Times New Roman" w:cs="Times New Roman"/>
          <w:i/>
          <w:iCs/>
          <w:sz w:val="24"/>
        </w:rPr>
        <w:t>How to Do Qualitative Interviewing</w:t>
      </w:r>
      <w:r w:rsidRPr="00B00709">
        <w:rPr>
          <w:rFonts w:ascii="Times New Roman" w:hAnsi="Times New Roman" w:cs="Times New Roman"/>
          <w:sz w:val="24"/>
        </w:rPr>
        <w:t>. London: SAGE Publications.</w:t>
      </w:r>
    </w:p>
    <w:p w14:paraId="6D483124"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Nolan, J. and Rowley, C. (2020) ‘Whither guanxi and social networks in China? A review of theory and practice’, </w:t>
      </w:r>
      <w:r w:rsidRPr="00B00709">
        <w:rPr>
          <w:rFonts w:ascii="Times New Roman" w:hAnsi="Times New Roman" w:cs="Times New Roman"/>
          <w:i/>
          <w:iCs/>
          <w:sz w:val="24"/>
        </w:rPr>
        <w:t>Asia Pacific Business Review</w:t>
      </w:r>
      <w:r w:rsidRPr="00B00709">
        <w:rPr>
          <w:rFonts w:ascii="Times New Roman" w:hAnsi="Times New Roman" w:cs="Times New Roman"/>
          <w:sz w:val="24"/>
        </w:rPr>
        <w:t xml:space="preserve">, 26(2), pp. 113–123.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10.1080/13602381.2020.1737391.</w:t>
      </w:r>
    </w:p>
    <w:p w14:paraId="059230A3"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Olmos-Vega, F.M., </w:t>
      </w:r>
      <w:proofErr w:type="spellStart"/>
      <w:r w:rsidRPr="00B00709">
        <w:rPr>
          <w:rFonts w:ascii="Times New Roman" w:hAnsi="Times New Roman" w:cs="Times New Roman"/>
          <w:sz w:val="24"/>
        </w:rPr>
        <w:t>Stalmeijer</w:t>
      </w:r>
      <w:proofErr w:type="spellEnd"/>
      <w:r w:rsidRPr="00B00709">
        <w:rPr>
          <w:rFonts w:ascii="Times New Roman" w:hAnsi="Times New Roman" w:cs="Times New Roman"/>
          <w:sz w:val="24"/>
        </w:rPr>
        <w:t xml:space="preserve">, R.E., </w:t>
      </w:r>
      <w:proofErr w:type="spellStart"/>
      <w:r w:rsidRPr="00B00709">
        <w:rPr>
          <w:rFonts w:ascii="Times New Roman" w:hAnsi="Times New Roman" w:cs="Times New Roman"/>
          <w:sz w:val="24"/>
        </w:rPr>
        <w:t>Varpio</w:t>
      </w:r>
      <w:proofErr w:type="spellEnd"/>
      <w:r w:rsidRPr="00B00709">
        <w:rPr>
          <w:rFonts w:ascii="Times New Roman" w:hAnsi="Times New Roman" w:cs="Times New Roman"/>
          <w:sz w:val="24"/>
        </w:rPr>
        <w:t xml:space="preserve">, L. and Kahlke, R. (2023) ‘A practical guide to reflexivity in qualitative research: AMEE Guide No. 149’, </w:t>
      </w:r>
      <w:r w:rsidRPr="00B00709">
        <w:rPr>
          <w:rFonts w:ascii="Times New Roman" w:hAnsi="Times New Roman" w:cs="Times New Roman"/>
          <w:i/>
          <w:iCs/>
          <w:sz w:val="24"/>
        </w:rPr>
        <w:t>Medical Teacher</w:t>
      </w:r>
      <w:r w:rsidRPr="00B00709">
        <w:rPr>
          <w:rFonts w:ascii="Times New Roman" w:hAnsi="Times New Roman" w:cs="Times New Roman"/>
          <w:sz w:val="24"/>
        </w:rPr>
        <w:t xml:space="preserve">, 45(3), pp. 241–251.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10.1080/0142159X.2022.2057287.</w:t>
      </w:r>
    </w:p>
    <w:p w14:paraId="546088BF"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Schön, D.A. (2017) </w:t>
      </w:r>
      <w:r w:rsidRPr="00B00709">
        <w:rPr>
          <w:rFonts w:ascii="Times New Roman" w:hAnsi="Times New Roman" w:cs="Times New Roman"/>
          <w:i/>
          <w:iCs/>
          <w:sz w:val="24"/>
        </w:rPr>
        <w:t>The Reflective Practitioner: How Professionals Think in Action</w:t>
      </w:r>
      <w:r w:rsidRPr="00B00709">
        <w:rPr>
          <w:rFonts w:ascii="Times New Roman" w:hAnsi="Times New Roman" w:cs="Times New Roman"/>
          <w:sz w:val="24"/>
        </w:rPr>
        <w:t>. London: Routledge.</w:t>
      </w:r>
    </w:p>
    <w:p w14:paraId="166AF5AF" w14:textId="77777777" w:rsidR="00B00709" w:rsidRPr="00B00709" w:rsidRDefault="00B00709" w:rsidP="00B00709">
      <w:pPr>
        <w:rPr>
          <w:rFonts w:ascii="Times New Roman" w:hAnsi="Times New Roman" w:cs="Times New Roman"/>
          <w:sz w:val="24"/>
        </w:rPr>
      </w:pPr>
      <w:proofErr w:type="spellStart"/>
      <w:r w:rsidRPr="00B00709">
        <w:rPr>
          <w:rFonts w:ascii="Times New Roman" w:hAnsi="Times New Roman" w:cs="Times New Roman"/>
          <w:sz w:val="24"/>
        </w:rPr>
        <w:t>Taquette</w:t>
      </w:r>
      <w:proofErr w:type="spellEnd"/>
      <w:r w:rsidRPr="00B00709">
        <w:rPr>
          <w:rFonts w:ascii="Times New Roman" w:hAnsi="Times New Roman" w:cs="Times New Roman"/>
          <w:sz w:val="24"/>
        </w:rPr>
        <w:t xml:space="preserve">, S.R. and Souza, L.M.B.M. (2022) ‘Ethical dilemmas in qualitative research: A critical literature review’, </w:t>
      </w:r>
      <w:r w:rsidRPr="00B00709">
        <w:rPr>
          <w:rFonts w:ascii="Times New Roman" w:hAnsi="Times New Roman" w:cs="Times New Roman"/>
          <w:i/>
          <w:iCs/>
          <w:sz w:val="24"/>
        </w:rPr>
        <w:t>International Journal of Qualitative Methods</w:t>
      </w:r>
      <w:r w:rsidRPr="00B00709">
        <w:rPr>
          <w:rFonts w:ascii="Times New Roman" w:hAnsi="Times New Roman" w:cs="Times New Roman"/>
          <w:sz w:val="24"/>
        </w:rPr>
        <w:t xml:space="preserve">, 21, pp. 1–15.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10.1177/16094069221078731.</w:t>
      </w:r>
    </w:p>
    <w:p w14:paraId="205FFC70"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Timonen, V., Foley, G. and Conlon, C. (2018) ‘Challenges when using grounded theory: A pragmatic introduction to doing GT research’, </w:t>
      </w:r>
      <w:r w:rsidRPr="00B00709">
        <w:rPr>
          <w:rFonts w:ascii="Times New Roman" w:hAnsi="Times New Roman" w:cs="Times New Roman"/>
          <w:i/>
          <w:iCs/>
          <w:sz w:val="24"/>
        </w:rPr>
        <w:t>International Journal of Qualitative Methods</w:t>
      </w:r>
      <w:r w:rsidRPr="00B00709">
        <w:rPr>
          <w:rFonts w:ascii="Times New Roman" w:hAnsi="Times New Roman" w:cs="Times New Roman"/>
          <w:sz w:val="24"/>
        </w:rPr>
        <w:t xml:space="preserve">, 17(1), pp. 1–10.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10.1177/1609406918758086.</w:t>
      </w:r>
    </w:p>
    <w:p w14:paraId="1D642191"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Yin, R.K. (2018) </w:t>
      </w:r>
      <w:r w:rsidRPr="00B00709">
        <w:rPr>
          <w:rFonts w:ascii="Times New Roman" w:hAnsi="Times New Roman" w:cs="Times New Roman"/>
          <w:i/>
          <w:iCs/>
          <w:sz w:val="24"/>
        </w:rPr>
        <w:t>Case Study Research and Applications: Design and Methods</w:t>
      </w:r>
      <w:r w:rsidRPr="00B00709">
        <w:rPr>
          <w:rFonts w:ascii="Times New Roman" w:hAnsi="Times New Roman" w:cs="Times New Roman"/>
          <w:sz w:val="24"/>
        </w:rPr>
        <w:t xml:space="preserve">. 6th </w:t>
      </w:r>
      <w:proofErr w:type="spellStart"/>
      <w:r w:rsidRPr="00B00709">
        <w:rPr>
          <w:rFonts w:ascii="Times New Roman" w:hAnsi="Times New Roman" w:cs="Times New Roman"/>
          <w:sz w:val="24"/>
        </w:rPr>
        <w:t>edn</w:t>
      </w:r>
      <w:proofErr w:type="spellEnd"/>
      <w:r w:rsidRPr="00B00709">
        <w:rPr>
          <w:rFonts w:ascii="Times New Roman" w:hAnsi="Times New Roman" w:cs="Times New Roman"/>
          <w:sz w:val="24"/>
        </w:rPr>
        <w:t>. Thousand Oaks, CA: SAGE Publications.</w:t>
      </w:r>
    </w:p>
    <w:p w14:paraId="25687917" w14:textId="77777777" w:rsidR="00B00709" w:rsidRPr="00B00709" w:rsidRDefault="00B00709" w:rsidP="00B00709">
      <w:pPr>
        <w:rPr>
          <w:rFonts w:ascii="Times New Roman" w:hAnsi="Times New Roman" w:cs="Times New Roman"/>
          <w:sz w:val="24"/>
        </w:rPr>
      </w:pPr>
    </w:p>
    <w:p w14:paraId="14402B92" w14:textId="0C3EBD9C" w:rsidR="00660D55" w:rsidRPr="00715C08" w:rsidRDefault="00660D55" w:rsidP="00B00709">
      <w:pPr>
        <w:rPr>
          <w:rFonts w:ascii="Times New Roman" w:hAnsi="Times New Roman" w:cs="Times New Roman"/>
          <w:sz w:val="24"/>
        </w:rPr>
      </w:pPr>
    </w:p>
    <w:sectPr w:rsidR="00660D55" w:rsidRPr="00715C0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B5026" w14:textId="77777777" w:rsidR="00C7208C" w:rsidRDefault="00C7208C" w:rsidP="001479CA">
      <w:pPr>
        <w:spacing w:after="0" w:line="240" w:lineRule="auto"/>
        <w:rPr>
          <w:rFonts w:hint="eastAsia"/>
        </w:rPr>
      </w:pPr>
      <w:r>
        <w:separator/>
      </w:r>
    </w:p>
  </w:endnote>
  <w:endnote w:type="continuationSeparator" w:id="0">
    <w:p w14:paraId="766DE3FC" w14:textId="77777777" w:rsidR="00C7208C" w:rsidRDefault="00C7208C" w:rsidP="001479CA">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03CD5" w14:textId="77777777" w:rsidR="00C7208C" w:rsidRDefault="00C7208C" w:rsidP="001479CA">
      <w:pPr>
        <w:spacing w:after="0" w:line="240" w:lineRule="auto"/>
        <w:rPr>
          <w:rFonts w:hint="eastAsia"/>
        </w:rPr>
      </w:pPr>
      <w:r>
        <w:separator/>
      </w:r>
    </w:p>
  </w:footnote>
  <w:footnote w:type="continuationSeparator" w:id="0">
    <w:p w14:paraId="6DDAE40C" w14:textId="77777777" w:rsidR="00C7208C" w:rsidRDefault="00C7208C" w:rsidP="001479CA">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59A"/>
    <w:rsid w:val="00024A6D"/>
    <w:rsid w:val="001479CA"/>
    <w:rsid w:val="003005E9"/>
    <w:rsid w:val="00306025"/>
    <w:rsid w:val="00310D80"/>
    <w:rsid w:val="003C2D2F"/>
    <w:rsid w:val="003D2D89"/>
    <w:rsid w:val="00525890"/>
    <w:rsid w:val="005F190D"/>
    <w:rsid w:val="00660D55"/>
    <w:rsid w:val="006E2D08"/>
    <w:rsid w:val="00707947"/>
    <w:rsid w:val="00715C08"/>
    <w:rsid w:val="007461A0"/>
    <w:rsid w:val="007C3175"/>
    <w:rsid w:val="00876004"/>
    <w:rsid w:val="008A37AE"/>
    <w:rsid w:val="008D2C7F"/>
    <w:rsid w:val="008D6321"/>
    <w:rsid w:val="00952BA4"/>
    <w:rsid w:val="009B4FE8"/>
    <w:rsid w:val="00A979A2"/>
    <w:rsid w:val="00AF5A0A"/>
    <w:rsid w:val="00B00709"/>
    <w:rsid w:val="00B4394E"/>
    <w:rsid w:val="00BB175D"/>
    <w:rsid w:val="00C04BBB"/>
    <w:rsid w:val="00C17DED"/>
    <w:rsid w:val="00C4459A"/>
    <w:rsid w:val="00C7208C"/>
    <w:rsid w:val="00C7453B"/>
    <w:rsid w:val="00DA7BE9"/>
    <w:rsid w:val="00E40291"/>
    <w:rsid w:val="00F22352"/>
    <w:rsid w:val="00F27B67"/>
    <w:rsid w:val="00F36D58"/>
    <w:rsid w:val="00FA66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BBBFD6"/>
  <w15:chartTrackingRefBased/>
  <w15:docId w15:val="{E759E8DA-14B7-4348-B690-7C4D7135E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479CA"/>
    <w:pPr>
      <w:widowControl w:val="0"/>
    </w:pPr>
  </w:style>
  <w:style w:type="paragraph" w:styleId="1">
    <w:name w:val="heading 1"/>
    <w:basedOn w:val="a"/>
    <w:next w:val="a"/>
    <w:link w:val="10"/>
    <w:uiPriority w:val="9"/>
    <w:qFormat/>
    <w:rsid w:val="00C4459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C4459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4459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4459A"/>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4459A"/>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C4459A"/>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4459A"/>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4459A"/>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C4459A"/>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4459A"/>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4459A"/>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4459A"/>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4459A"/>
    <w:rPr>
      <w:rFonts w:cstheme="majorBidi"/>
      <w:color w:val="0F4761" w:themeColor="accent1" w:themeShade="BF"/>
      <w:sz w:val="28"/>
      <w:szCs w:val="28"/>
    </w:rPr>
  </w:style>
  <w:style w:type="character" w:customStyle="1" w:styleId="50">
    <w:name w:val="标题 5 字符"/>
    <w:basedOn w:val="a0"/>
    <w:link w:val="5"/>
    <w:uiPriority w:val="9"/>
    <w:semiHidden/>
    <w:rsid w:val="00C4459A"/>
    <w:rPr>
      <w:rFonts w:cstheme="majorBidi"/>
      <w:color w:val="0F4761" w:themeColor="accent1" w:themeShade="BF"/>
      <w:sz w:val="24"/>
    </w:rPr>
  </w:style>
  <w:style w:type="character" w:customStyle="1" w:styleId="60">
    <w:name w:val="标题 6 字符"/>
    <w:basedOn w:val="a0"/>
    <w:link w:val="6"/>
    <w:uiPriority w:val="9"/>
    <w:semiHidden/>
    <w:rsid w:val="00C4459A"/>
    <w:rPr>
      <w:rFonts w:cstheme="majorBidi"/>
      <w:b/>
      <w:bCs/>
      <w:color w:val="0F4761" w:themeColor="accent1" w:themeShade="BF"/>
    </w:rPr>
  </w:style>
  <w:style w:type="character" w:customStyle="1" w:styleId="70">
    <w:name w:val="标题 7 字符"/>
    <w:basedOn w:val="a0"/>
    <w:link w:val="7"/>
    <w:uiPriority w:val="9"/>
    <w:semiHidden/>
    <w:rsid w:val="00C4459A"/>
    <w:rPr>
      <w:rFonts w:cstheme="majorBidi"/>
      <w:b/>
      <w:bCs/>
      <w:color w:val="595959" w:themeColor="text1" w:themeTint="A6"/>
    </w:rPr>
  </w:style>
  <w:style w:type="character" w:customStyle="1" w:styleId="80">
    <w:name w:val="标题 8 字符"/>
    <w:basedOn w:val="a0"/>
    <w:link w:val="8"/>
    <w:uiPriority w:val="9"/>
    <w:semiHidden/>
    <w:rsid w:val="00C4459A"/>
    <w:rPr>
      <w:rFonts w:cstheme="majorBidi"/>
      <w:color w:val="595959" w:themeColor="text1" w:themeTint="A6"/>
    </w:rPr>
  </w:style>
  <w:style w:type="character" w:customStyle="1" w:styleId="90">
    <w:name w:val="标题 9 字符"/>
    <w:basedOn w:val="a0"/>
    <w:link w:val="9"/>
    <w:uiPriority w:val="9"/>
    <w:semiHidden/>
    <w:rsid w:val="00C4459A"/>
    <w:rPr>
      <w:rFonts w:eastAsiaTheme="majorEastAsia" w:cstheme="majorBidi"/>
      <w:color w:val="595959" w:themeColor="text1" w:themeTint="A6"/>
    </w:rPr>
  </w:style>
  <w:style w:type="paragraph" w:styleId="a3">
    <w:name w:val="Title"/>
    <w:basedOn w:val="a"/>
    <w:next w:val="a"/>
    <w:link w:val="a4"/>
    <w:uiPriority w:val="10"/>
    <w:qFormat/>
    <w:rsid w:val="00C4459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4459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4459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4459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4459A"/>
    <w:pPr>
      <w:spacing w:before="160"/>
      <w:jc w:val="center"/>
    </w:pPr>
    <w:rPr>
      <w:i/>
      <w:iCs/>
      <w:color w:val="404040" w:themeColor="text1" w:themeTint="BF"/>
    </w:rPr>
  </w:style>
  <w:style w:type="character" w:customStyle="1" w:styleId="a8">
    <w:name w:val="引用 字符"/>
    <w:basedOn w:val="a0"/>
    <w:link w:val="a7"/>
    <w:uiPriority w:val="29"/>
    <w:rsid w:val="00C4459A"/>
    <w:rPr>
      <w:i/>
      <w:iCs/>
      <w:color w:val="404040" w:themeColor="text1" w:themeTint="BF"/>
    </w:rPr>
  </w:style>
  <w:style w:type="paragraph" w:styleId="a9">
    <w:name w:val="List Paragraph"/>
    <w:basedOn w:val="a"/>
    <w:uiPriority w:val="34"/>
    <w:qFormat/>
    <w:rsid w:val="00C4459A"/>
    <w:pPr>
      <w:ind w:left="720"/>
      <w:contextualSpacing/>
    </w:pPr>
  </w:style>
  <w:style w:type="character" w:styleId="aa">
    <w:name w:val="Intense Emphasis"/>
    <w:basedOn w:val="a0"/>
    <w:uiPriority w:val="21"/>
    <w:qFormat/>
    <w:rsid w:val="00C4459A"/>
    <w:rPr>
      <w:i/>
      <w:iCs/>
      <w:color w:val="0F4761" w:themeColor="accent1" w:themeShade="BF"/>
    </w:rPr>
  </w:style>
  <w:style w:type="paragraph" w:styleId="ab">
    <w:name w:val="Intense Quote"/>
    <w:basedOn w:val="a"/>
    <w:next w:val="a"/>
    <w:link w:val="ac"/>
    <w:uiPriority w:val="30"/>
    <w:qFormat/>
    <w:rsid w:val="00C445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4459A"/>
    <w:rPr>
      <w:i/>
      <w:iCs/>
      <w:color w:val="0F4761" w:themeColor="accent1" w:themeShade="BF"/>
    </w:rPr>
  </w:style>
  <w:style w:type="character" w:styleId="ad">
    <w:name w:val="Intense Reference"/>
    <w:basedOn w:val="a0"/>
    <w:uiPriority w:val="32"/>
    <w:qFormat/>
    <w:rsid w:val="00C4459A"/>
    <w:rPr>
      <w:b/>
      <w:bCs/>
      <w:smallCaps/>
      <w:color w:val="0F4761" w:themeColor="accent1" w:themeShade="BF"/>
      <w:spacing w:val="5"/>
    </w:rPr>
  </w:style>
  <w:style w:type="paragraph" w:styleId="ae">
    <w:name w:val="header"/>
    <w:basedOn w:val="a"/>
    <w:link w:val="af"/>
    <w:uiPriority w:val="99"/>
    <w:unhideWhenUsed/>
    <w:rsid w:val="001479CA"/>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1479CA"/>
    <w:rPr>
      <w:sz w:val="18"/>
      <w:szCs w:val="18"/>
    </w:rPr>
  </w:style>
  <w:style w:type="paragraph" w:styleId="af0">
    <w:name w:val="footer"/>
    <w:basedOn w:val="a"/>
    <w:link w:val="af1"/>
    <w:uiPriority w:val="99"/>
    <w:unhideWhenUsed/>
    <w:rsid w:val="001479CA"/>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1479C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17</Pages>
  <Words>5161</Words>
  <Characters>29421</Characters>
  <Application>Microsoft Office Word</Application>
  <DocSecurity>0</DocSecurity>
  <Lines>445</Lines>
  <Paragraphs>58</Paragraphs>
  <ScaleCrop>false</ScaleCrop>
  <Company/>
  <LinksUpToDate>false</LinksUpToDate>
  <CharactersWithSpaces>34524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7</cp:revision>
  <dcterms:created xsi:type="dcterms:W3CDTF">2026-10-05T22:32:00Z</dcterms:created>
  <dcterms:modified xsi:type="dcterms:W3CDTF">2026-10-07T12:38:00Z</dcterms:modified>
</cp:coreProperties>
</file>