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B42B0C" w14:textId="3AA62F0E" w:rsidR="000E36EC" w:rsidRPr="00C612A4" w:rsidRDefault="00145418">
      <w:pPr>
        <w:rPr>
          <w:rFonts w:ascii="Calibri" w:hAnsi="Calibri" w:cs="Calibri"/>
          <w:color w:val="000000" w:themeColor="text1"/>
        </w:rPr>
      </w:pPr>
      <w:r w:rsidRPr="00C612A4">
        <w:rPr>
          <w:rFonts w:ascii="Calibri" w:hAnsi="Calibri" w:cs="Calibri"/>
          <w:color w:val="000000" w:themeColor="text1"/>
        </w:rPr>
        <w:t>In criminal law</w:t>
      </w:r>
      <w:r w:rsidR="000976F5" w:rsidRPr="00C612A4">
        <w:rPr>
          <w:rFonts w:ascii="Calibri" w:hAnsi="Calibri" w:cs="Calibri"/>
          <w:color w:val="000000" w:themeColor="text1"/>
        </w:rPr>
        <w:t xml:space="preserve">, </w:t>
      </w:r>
      <w:r w:rsidRPr="00C612A4">
        <w:rPr>
          <w:rFonts w:ascii="Calibri" w:hAnsi="Calibri" w:cs="Calibri"/>
          <w:color w:val="000000" w:themeColor="text1"/>
        </w:rPr>
        <w:t>m</w:t>
      </w:r>
      <w:r w:rsidR="0048670E" w:rsidRPr="00C612A4">
        <w:rPr>
          <w:rFonts w:ascii="Calibri" w:hAnsi="Calibri" w:cs="Calibri"/>
          <w:color w:val="000000" w:themeColor="text1"/>
        </w:rPr>
        <w:t>ens rea pertains to the defendant’s mental state of mind</w:t>
      </w:r>
      <w:r w:rsidRPr="00C612A4">
        <w:rPr>
          <w:rFonts w:ascii="Calibri" w:hAnsi="Calibri" w:cs="Calibri"/>
          <w:color w:val="000000" w:themeColor="text1"/>
        </w:rPr>
        <w:t xml:space="preserve">, whether there was an intention while committing a crime. Translated from Latin, mens rea means guilty mind. Playing a pivotal part in determining the criminal liability, mens rea helps determine whether the accused had the necessary guilty mind to be held responsible for the offence </w:t>
      </w:r>
      <w:r w:rsidR="000976F5" w:rsidRPr="00C612A4">
        <w:rPr>
          <w:rFonts w:ascii="Calibri" w:hAnsi="Calibri" w:cs="Calibri"/>
          <w:color w:val="000000" w:themeColor="text1"/>
        </w:rPr>
        <w:t xml:space="preserve">that has been </w:t>
      </w:r>
      <w:r w:rsidRPr="00C612A4">
        <w:rPr>
          <w:rFonts w:ascii="Calibri" w:hAnsi="Calibri" w:cs="Calibri"/>
          <w:color w:val="000000" w:themeColor="text1"/>
        </w:rPr>
        <w:t>made.</w:t>
      </w:r>
      <w:r w:rsidR="00C612A4" w:rsidRPr="00C612A4">
        <w:rPr>
          <w:rFonts w:ascii="Calibri" w:hAnsi="Calibri" w:cs="Calibri"/>
          <w:color w:val="000000" w:themeColor="text1"/>
        </w:rPr>
        <w:t xml:space="preserve"> </w:t>
      </w:r>
      <w:r w:rsidR="00C612A4" w:rsidRPr="00C612A4">
        <w:rPr>
          <w:rFonts w:ascii="Calibri" w:hAnsi="Calibri" w:cs="Calibri"/>
          <w:color w:val="000000" w:themeColor="text1"/>
        </w:rPr>
        <w:t>(Finch and Fafinski, 2018.)</w:t>
      </w:r>
    </w:p>
    <w:p w14:paraId="4AC2BC44" w14:textId="77777777" w:rsidR="000E36EC" w:rsidRPr="00C612A4" w:rsidRDefault="000E36EC">
      <w:pPr>
        <w:rPr>
          <w:rFonts w:ascii="Calibri" w:hAnsi="Calibri" w:cs="Calibri"/>
          <w:color w:val="000000" w:themeColor="text1"/>
        </w:rPr>
      </w:pPr>
    </w:p>
    <w:p w14:paraId="62DE17CD" w14:textId="48D0655B" w:rsidR="00145418" w:rsidRPr="00C612A4" w:rsidRDefault="00145418">
      <w:pPr>
        <w:rPr>
          <w:rFonts w:ascii="Calibri" w:hAnsi="Calibri" w:cs="Calibri"/>
          <w:color w:val="000000" w:themeColor="text1"/>
        </w:rPr>
      </w:pPr>
      <w:r w:rsidRPr="00C612A4">
        <w:rPr>
          <w:rFonts w:ascii="Calibri" w:hAnsi="Calibri" w:cs="Calibri"/>
          <w:color w:val="000000" w:themeColor="text1"/>
        </w:rPr>
        <w:t>Unlike finding physical evidence such as DNA, fingerprints and fibres, in</w:t>
      </w:r>
      <w:r w:rsidR="0048670E" w:rsidRPr="00C612A4">
        <w:rPr>
          <w:rFonts w:ascii="Calibri" w:hAnsi="Calibri" w:cs="Calibri"/>
          <w:color w:val="000000" w:themeColor="text1"/>
        </w:rPr>
        <w:t xml:space="preserve"> court cases it is difficult to prove what was in someone’s mind</w:t>
      </w:r>
      <w:r w:rsidRPr="00C612A4">
        <w:rPr>
          <w:rFonts w:ascii="Calibri" w:hAnsi="Calibri" w:cs="Calibri"/>
          <w:color w:val="000000" w:themeColor="text1"/>
        </w:rPr>
        <w:t xml:space="preserve"> and it is a challenge to convict the person.</w:t>
      </w:r>
      <w:r w:rsidR="0048670E" w:rsidRPr="00C612A4">
        <w:rPr>
          <w:rFonts w:ascii="Calibri" w:hAnsi="Calibri" w:cs="Calibri"/>
          <w:color w:val="000000" w:themeColor="text1"/>
        </w:rPr>
        <w:t xml:space="preserve"> </w:t>
      </w:r>
    </w:p>
    <w:p w14:paraId="059D91BB" w14:textId="1C542036" w:rsidR="00382BB5" w:rsidRPr="00C612A4" w:rsidRDefault="000E36EC">
      <w:pPr>
        <w:rPr>
          <w:rFonts w:ascii="Calibri" w:hAnsi="Calibri" w:cs="Calibri"/>
          <w:color w:val="000000" w:themeColor="text1"/>
        </w:rPr>
      </w:pPr>
      <w:r w:rsidRPr="00C612A4">
        <w:rPr>
          <w:rFonts w:ascii="Calibri" w:hAnsi="Calibri" w:cs="Calibri"/>
          <w:color w:val="000000" w:themeColor="text1"/>
        </w:rPr>
        <w:t>To be found guilty of a criminal offence, it must be shown that the person had the required mens rea at the time of carrying out the criminal act</w:t>
      </w:r>
      <w:r w:rsidR="00145418" w:rsidRPr="00C612A4">
        <w:rPr>
          <w:rFonts w:ascii="Calibri" w:hAnsi="Calibri" w:cs="Calibri"/>
          <w:color w:val="000000" w:themeColor="text1"/>
        </w:rPr>
        <w:t xml:space="preserve">. </w:t>
      </w:r>
      <w:r w:rsidR="00C612A4" w:rsidRPr="00C612A4">
        <w:rPr>
          <w:rFonts w:ascii="Calibri" w:hAnsi="Calibri" w:cs="Calibri"/>
          <w:color w:val="000000"/>
        </w:rPr>
        <w:t>(Neu, 2012)</w:t>
      </w:r>
    </w:p>
    <w:p w14:paraId="739E9EF3" w14:textId="77777777" w:rsidR="00C612A4" w:rsidRDefault="00C612A4" w:rsidP="00145418">
      <w:pPr>
        <w:rPr>
          <w:rFonts w:ascii="Calibri" w:hAnsi="Calibri" w:cs="Calibri"/>
          <w:color w:val="000000" w:themeColor="text1"/>
        </w:rPr>
      </w:pPr>
    </w:p>
    <w:p w14:paraId="2B455C0D" w14:textId="1467F7EB" w:rsidR="00145418" w:rsidRPr="00C612A4" w:rsidRDefault="00145418" w:rsidP="00145418">
      <w:pPr>
        <w:rPr>
          <w:rFonts w:ascii="Calibri" w:hAnsi="Calibri" w:cs="Calibri"/>
          <w:color w:val="000000" w:themeColor="text1"/>
        </w:rPr>
      </w:pPr>
      <w:r w:rsidRPr="00C612A4">
        <w:rPr>
          <w:rFonts w:ascii="Calibri" w:hAnsi="Calibri" w:cs="Calibri"/>
          <w:color w:val="000000" w:themeColor="text1"/>
        </w:rPr>
        <w:t xml:space="preserve">When looking at offences the two methods of assessing mens rea are objective or subjective. </w:t>
      </w:r>
    </w:p>
    <w:p w14:paraId="745F7BA7" w14:textId="77777777" w:rsidR="00145418" w:rsidRPr="00C612A4" w:rsidRDefault="00145418" w:rsidP="00145418">
      <w:pPr>
        <w:rPr>
          <w:rFonts w:ascii="Calibri" w:hAnsi="Calibri" w:cs="Calibri"/>
          <w:color w:val="000000" w:themeColor="text1"/>
        </w:rPr>
      </w:pPr>
    </w:p>
    <w:p w14:paraId="08B2165D" w14:textId="1CD0D355" w:rsidR="00145418" w:rsidRPr="00C612A4" w:rsidRDefault="00145418" w:rsidP="00145418">
      <w:pPr>
        <w:rPr>
          <w:rFonts w:ascii="Calibri" w:hAnsi="Calibri" w:cs="Calibri"/>
          <w:color w:val="000000" w:themeColor="text1"/>
        </w:rPr>
      </w:pPr>
      <w:r w:rsidRPr="00C612A4">
        <w:rPr>
          <w:rFonts w:ascii="Calibri" w:hAnsi="Calibri" w:cs="Calibri"/>
          <w:color w:val="000000" w:themeColor="text1"/>
        </w:rPr>
        <w:t>With the objective method, the mens rea requirement used is to</w:t>
      </w:r>
      <w:r w:rsidRPr="00C612A4">
        <w:rPr>
          <w:rFonts w:ascii="Calibri" w:hAnsi="Calibri" w:cs="Calibri"/>
          <w:color w:val="000000" w:themeColor="text1"/>
          <w:shd w:val="clear" w:color="auto" w:fill="FFFFFF"/>
        </w:rPr>
        <w:t xml:space="preserve"> look at an external standard of reasonableness. An example being negligence, focus on what a reasonable person in the defendant’s position would have done and if the defendant reached that standard.</w:t>
      </w:r>
    </w:p>
    <w:p w14:paraId="2D810303" w14:textId="7FA75955" w:rsidR="00145418" w:rsidRPr="00C612A4" w:rsidRDefault="00145418" w:rsidP="00145418">
      <w:pPr>
        <w:rPr>
          <w:rFonts w:ascii="Calibri" w:hAnsi="Calibri" w:cs="Calibri"/>
          <w:color w:val="000000" w:themeColor="text1"/>
        </w:rPr>
      </w:pPr>
      <w:r w:rsidRPr="00C612A4">
        <w:rPr>
          <w:rFonts w:ascii="Calibri" w:hAnsi="Calibri" w:cs="Calibri"/>
          <w:color w:val="000000" w:themeColor="text1"/>
        </w:rPr>
        <w:t xml:space="preserve">The subjective method to indicate the mens rea requirement is looking internally to the mind, an example criminal damage. To satisfy mens rea the prosecution must prove the defendant foresaw the risk of causing damage. </w:t>
      </w:r>
      <w:r w:rsidR="00C612A4" w:rsidRPr="00C612A4">
        <w:rPr>
          <w:rFonts w:ascii="Calibri" w:hAnsi="Calibri" w:cs="Calibri"/>
          <w:color w:val="000000"/>
        </w:rPr>
        <w:t>(Reed and Bohlander, 2018</w:t>
      </w:r>
      <w:r w:rsidR="00C612A4">
        <w:rPr>
          <w:rFonts w:ascii="Calibri" w:hAnsi="Calibri" w:cs="Calibri"/>
          <w:color w:val="000000"/>
        </w:rPr>
        <w:t>.</w:t>
      </w:r>
      <w:r w:rsidR="00C612A4" w:rsidRPr="00C612A4">
        <w:rPr>
          <w:rFonts w:ascii="Calibri" w:hAnsi="Calibri" w:cs="Calibri"/>
          <w:color w:val="000000"/>
        </w:rPr>
        <w:t>)</w:t>
      </w:r>
    </w:p>
    <w:p w14:paraId="794DB690" w14:textId="77777777" w:rsidR="00145418" w:rsidRPr="00C612A4" w:rsidRDefault="00145418" w:rsidP="00145418">
      <w:pPr>
        <w:rPr>
          <w:rFonts w:ascii="Calibri" w:hAnsi="Calibri" w:cs="Calibri"/>
          <w:color w:val="000000" w:themeColor="text1"/>
        </w:rPr>
      </w:pPr>
    </w:p>
    <w:p w14:paraId="13E9EEB2" w14:textId="6A31C77A" w:rsidR="00145418" w:rsidRDefault="00145418" w:rsidP="00145418">
      <w:pPr>
        <w:rPr>
          <w:rFonts w:ascii="Calibri" w:hAnsi="Calibri" w:cs="Calibri"/>
          <w:color w:val="000000" w:themeColor="text1"/>
        </w:rPr>
      </w:pPr>
      <w:r w:rsidRPr="00C612A4">
        <w:rPr>
          <w:rFonts w:ascii="Calibri" w:hAnsi="Calibri" w:cs="Calibri"/>
          <w:color w:val="000000" w:themeColor="text1"/>
        </w:rPr>
        <w:t>The main forms of mens rea are, intention, recklessness and negligence</w:t>
      </w:r>
      <w:r w:rsidR="00C612A4">
        <w:rPr>
          <w:rFonts w:ascii="Calibri" w:hAnsi="Calibri" w:cs="Calibri"/>
          <w:color w:val="000000" w:themeColor="text1"/>
        </w:rPr>
        <w:t>.</w:t>
      </w:r>
    </w:p>
    <w:p w14:paraId="4B5A8BF5" w14:textId="44B0A488" w:rsidR="000E36EC" w:rsidRPr="00C612A4" w:rsidRDefault="00D061F8">
      <w:pPr>
        <w:rPr>
          <w:rFonts w:ascii="Calibri" w:hAnsi="Calibri" w:cs="Calibri"/>
          <w:color w:val="000000" w:themeColor="text1"/>
        </w:rPr>
      </w:pPr>
      <w:r w:rsidRPr="00C612A4">
        <w:rPr>
          <w:rFonts w:ascii="Calibri" w:hAnsi="Calibri" w:cs="Calibri"/>
          <w:color w:val="000000" w:themeColor="text1"/>
        </w:rPr>
        <w:t xml:space="preserve">This essay aims to evaluate the challenges associated with the concept of </w:t>
      </w:r>
      <w:r w:rsidR="00145418" w:rsidRPr="00C612A4">
        <w:rPr>
          <w:rFonts w:ascii="Calibri" w:hAnsi="Calibri" w:cs="Calibri"/>
          <w:color w:val="000000" w:themeColor="text1"/>
        </w:rPr>
        <w:t>m</w:t>
      </w:r>
      <w:r w:rsidRPr="00C612A4">
        <w:rPr>
          <w:rFonts w:ascii="Calibri" w:hAnsi="Calibri" w:cs="Calibri"/>
          <w:color w:val="000000" w:themeColor="text1"/>
        </w:rPr>
        <w:t xml:space="preserve">ens </w:t>
      </w:r>
      <w:r w:rsidR="00145418" w:rsidRPr="00C612A4">
        <w:rPr>
          <w:rFonts w:ascii="Calibri" w:hAnsi="Calibri" w:cs="Calibri"/>
          <w:color w:val="000000" w:themeColor="text1"/>
        </w:rPr>
        <w:t>r</w:t>
      </w:r>
      <w:r w:rsidRPr="00C612A4">
        <w:rPr>
          <w:rFonts w:ascii="Calibri" w:hAnsi="Calibri" w:cs="Calibri"/>
          <w:color w:val="000000" w:themeColor="text1"/>
        </w:rPr>
        <w:t>ea and the confirmation of criminal liability within the law.</w:t>
      </w:r>
    </w:p>
    <w:p w14:paraId="42E761AD" w14:textId="77777777" w:rsidR="00DB4723" w:rsidRPr="00C612A4" w:rsidRDefault="00DB4723">
      <w:pPr>
        <w:rPr>
          <w:rFonts w:ascii="Calibri" w:hAnsi="Calibri" w:cs="Calibri"/>
          <w:color w:val="000000" w:themeColor="text1"/>
        </w:rPr>
      </w:pPr>
    </w:p>
    <w:p w14:paraId="035D53F9" w14:textId="77777777" w:rsidR="00145418" w:rsidRPr="00C612A4" w:rsidRDefault="00145418" w:rsidP="00145418">
      <w:pPr>
        <w:rPr>
          <w:rFonts w:ascii="Calibri" w:hAnsi="Calibri" w:cs="Calibri"/>
          <w:color w:val="000000" w:themeColor="text1"/>
        </w:rPr>
      </w:pPr>
    </w:p>
    <w:p w14:paraId="62D0682C" w14:textId="77777777" w:rsidR="00145418" w:rsidRPr="00C612A4" w:rsidRDefault="00145418" w:rsidP="00145418">
      <w:pPr>
        <w:rPr>
          <w:rFonts w:ascii="Calibri" w:hAnsi="Calibri" w:cs="Calibri"/>
          <w:color w:val="000000" w:themeColor="text1"/>
        </w:rPr>
      </w:pPr>
    </w:p>
    <w:p w14:paraId="3E3909AD" w14:textId="77777777" w:rsidR="00034DDC" w:rsidRDefault="00034DDC" w:rsidP="00145418">
      <w:pPr>
        <w:rPr>
          <w:rFonts w:ascii="Calibri" w:hAnsi="Calibri" w:cs="Calibri"/>
          <w:color w:val="000000" w:themeColor="text1"/>
        </w:rPr>
      </w:pPr>
    </w:p>
    <w:p w14:paraId="3326A4A6" w14:textId="35CAC01E" w:rsidR="00145418" w:rsidRPr="00C612A4" w:rsidRDefault="00145418" w:rsidP="00145418">
      <w:pPr>
        <w:rPr>
          <w:rFonts w:ascii="Calibri" w:hAnsi="Calibri" w:cs="Calibri"/>
          <w:color w:val="000000" w:themeColor="text1"/>
        </w:rPr>
      </w:pPr>
      <w:r w:rsidRPr="00C612A4">
        <w:rPr>
          <w:rFonts w:ascii="Calibri" w:hAnsi="Calibri" w:cs="Calibri"/>
          <w:color w:val="000000" w:themeColor="text1"/>
        </w:rPr>
        <w:t>In the case of</w:t>
      </w:r>
      <w:r w:rsidR="00C612A4" w:rsidRPr="00C612A4">
        <w:rPr>
          <w:rFonts w:ascii="Calibri" w:hAnsi="Calibri" w:cs="Calibri"/>
          <w:color w:val="000000"/>
          <w:shd w:val="clear" w:color="auto" w:fill="FBFBFB"/>
        </w:rPr>
        <w:t xml:space="preserve"> </w:t>
      </w:r>
      <w:r w:rsidR="00C612A4">
        <w:rPr>
          <w:rFonts w:ascii="Calibri" w:hAnsi="Calibri" w:cs="Calibri"/>
          <w:color w:val="000000"/>
          <w:shd w:val="clear" w:color="auto" w:fill="FBFBFB"/>
        </w:rPr>
        <w:t>('Fagan V Metropolitan Police Commissioner', 1969</w:t>
      </w:r>
      <w:r w:rsidR="00C612A4">
        <w:rPr>
          <w:rFonts w:ascii="Calibri" w:hAnsi="Calibri" w:cs="Calibri"/>
          <w:color w:val="000000"/>
          <w:shd w:val="clear" w:color="auto" w:fill="FBFBFB"/>
        </w:rPr>
        <w:t>)</w:t>
      </w:r>
      <w:r w:rsidRPr="00C612A4">
        <w:rPr>
          <w:rFonts w:ascii="Calibri" w:hAnsi="Calibri" w:cs="Calibri"/>
          <w:color w:val="000000" w:themeColor="text1"/>
        </w:rPr>
        <w:t xml:space="preserve"> The defendant accidentally stopped his car on a policeman’s foot. When the officer made it known to the defendant that his car was stopped on top of his foot and to move the vehicle, the defendant then refused to move.</w:t>
      </w:r>
    </w:p>
    <w:p w14:paraId="6C873A36" w14:textId="77777777" w:rsidR="00145418" w:rsidRPr="00C612A4" w:rsidRDefault="00145418" w:rsidP="00145418">
      <w:pPr>
        <w:rPr>
          <w:rFonts w:ascii="Calibri" w:hAnsi="Calibri" w:cs="Calibri"/>
          <w:color w:val="000000" w:themeColor="text1"/>
        </w:rPr>
      </w:pPr>
    </w:p>
    <w:p w14:paraId="1AD11584" w14:textId="0ACA258E" w:rsidR="00145418" w:rsidRPr="00C612A4" w:rsidRDefault="00145418" w:rsidP="00145418">
      <w:pPr>
        <w:rPr>
          <w:rFonts w:ascii="Calibri" w:hAnsi="Calibri" w:cs="Calibri"/>
          <w:color w:val="000000" w:themeColor="text1"/>
        </w:rPr>
      </w:pPr>
      <w:r w:rsidRPr="00C612A4">
        <w:rPr>
          <w:rFonts w:ascii="Calibri" w:hAnsi="Calibri" w:cs="Calibri"/>
          <w:color w:val="000000" w:themeColor="text1"/>
        </w:rPr>
        <w:t>The defendant was unaware when his car had first made contact with the officer’s foot but by then refusing to move his vehicle the mens rea arises and coincides with the actus rea making the defendant then liable for his actions.</w:t>
      </w:r>
    </w:p>
    <w:p w14:paraId="5FA50B07" w14:textId="6BA0FA19" w:rsidR="00145418" w:rsidRPr="00C612A4" w:rsidRDefault="00145418">
      <w:pPr>
        <w:rPr>
          <w:rFonts w:ascii="Calibri" w:hAnsi="Calibri" w:cs="Calibri"/>
          <w:color w:val="000000" w:themeColor="text1"/>
        </w:rPr>
      </w:pPr>
      <w:r w:rsidRPr="00C612A4">
        <w:rPr>
          <w:rFonts w:ascii="Calibri" w:hAnsi="Calibri" w:cs="Calibri"/>
          <w:color w:val="000000" w:themeColor="text1"/>
        </w:rPr>
        <w:t>Other cases are not so straightforward to be able to always prove the defendant’s mens rea at the time of when the crime is committed which</w:t>
      </w:r>
      <w:r w:rsidR="000976F5" w:rsidRPr="00C612A4">
        <w:rPr>
          <w:rFonts w:ascii="Calibri" w:hAnsi="Calibri" w:cs="Calibri"/>
          <w:color w:val="000000" w:themeColor="text1"/>
        </w:rPr>
        <w:t xml:space="preserve"> like stated</w:t>
      </w:r>
      <w:r w:rsidRPr="00C612A4">
        <w:rPr>
          <w:rFonts w:ascii="Calibri" w:hAnsi="Calibri" w:cs="Calibri"/>
          <w:color w:val="000000" w:themeColor="text1"/>
        </w:rPr>
        <w:t xml:space="preserve"> makes it a challenge in courts for the judge to be able to properly convict the person.</w:t>
      </w:r>
    </w:p>
    <w:p w14:paraId="26C4297B" w14:textId="77777777" w:rsidR="00145418" w:rsidRPr="00C612A4" w:rsidRDefault="00145418">
      <w:pPr>
        <w:rPr>
          <w:rFonts w:ascii="Calibri" w:hAnsi="Calibri" w:cs="Calibri"/>
          <w:color w:val="000000" w:themeColor="text1"/>
        </w:rPr>
      </w:pPr>
    </w:p>
    <w:p w14:paraId="14F718E4" w14:textId="1752D2F0" w:rsidR="00145418" w:rsidRPr="00C612A4" w:rsidRDefault="00145418" w:rsidP="00145418">
      <w:pPr>
        <w:autoSpaceDE w:val="0"/>
        <w:autoSpaceDN w:val="0"/>
        <w:adjustRightInd w:val="0"/>
        <w:rPr>
          <w:rFonts w:ascii="Calibri" w:eastAsia="Times New Roman" w:hAnsi="Calibri" w:cs="Calibri"/>
          <w:color w:val="000000" w:themeColor="text1"/>
          <w:kern w:val="0"/>
          <w:lang w:eastAsia="en-GB"/>
          <w14:ligatures w14:val="none"/>
        </w:rPr>
      </w:pPr>
      <w:r w:rsidRPr="00C612A4">
        <w:rPr>
          <w:rFonts w:ascii="Calibri" w:hAnsi="Calibri" w:cs="Calibri"/>
          <w:color w:val="000000" w:themeColor="text1"/>
        </w:rPr>
        <w:t xml:space="preserve">One of the most culpable forms of mens rea is intention. This is because it is more blameworthy to cause harm deliberately. Intention is used in more serious offences, an example being murder. This requires the intention to kill or cause serious grievous bodily harm to another. </w:t>
      </w:r>
      <w:r w:rsidRPr="00C612A4">
        <w:rPr>
          <w:rFonts w:ascii="Calibri" w:hAnsi="Calibri" w:cs="Calibri"/>
          <w:color w:val="000000" w:themeColor="text1"/>
          <w:kern w:val="0"/>
        </w:rPr>
        <w:t xml:space="preserve">When the intention of the person is to solely kill or cause serious harm to another, the term becomes direct intention. </w:t>
      </w:r>
      <w:r w:rsidRPr="00C612A4">
        <w:rPr>
          <w:rFonts w:ascii="Calibri" w:eastAsia="Times New Roman" w:hAnsi="Calibri" w:cs="Calibri"/>
          <w:color w:val="000000" w:themeColor="text1"/>
          <w:kern w:val="0"/>
          <w:lang w:eastAsia="en-GB"/>
          <w14:ligatures w14:val="none"/>
        </w:rPr>
        <w:t>(Finch and Fafinski, 2018)</w:t>
      </w:r>
    </w:p>
    <w:p w14:paraId="1708E893" w14:textId="6682A1D7" w:rsidR="00145418" w:rsidRPr="00C612A4" w:rsidRDefault="00145418">
      <w:pPr>
        <w:rPr>
          <w:rFonts w:ascii="Calibri" w:hAnsi="Calibri" w:cs="Calibri"/>
          <w:color w:val="000000" w:themeColor="text1"/>
        </w:rPr>
      </w:pPr>
    </w:p>
    <w:p w14:paraId="1E24F5E6" w14:textId="637EC4C7" w:rsidR="00145418" w:rsidRPr="00C612A4" w:rsidRDefault="00145418">
      <w:pPr>
        <w:rPr>
          <w:rFonts w:ascii="Calibri" w:hAnsi="Calibri" w:cs="Calibri"/>
          <w:color w:val="000000" w:themeColor="text1"/>
        </w:rPr>
      </w:pPr>
      <w:r w:rsidRPr="00C612A4">
        <w:rPr>
          <w:rFonts w:ascii="Calibri" w:hAnsi="Calibri" w:cs="Calibri"/>
          <w:color w:val="000000" w:themeColor="text1"/>
        </w:rPr>
        <w:lastRenderedPageBreak/>
        <w:t xml:space="preserve">When looking at the case of </w:t>
      </w:r>
      <w:r w:rsidR="00C612A4">
        <w:rPr>
          <w:rFonts w:ascii="Calibri" w:hAnsi="Calibri" w:cs="Calibri"/>
          <w:color w:val="000000"/>
          <w:shd w:val="clear" w:color="auto" w:fill="FBFBFB"/>
        </w:rPr>
        <w:t>('R v Moloney', 1985) </w:t>
      </w:r>
      <w:r w:rsidRPr="00C612A4">
        <w:rPr>
          <w:rFonts w:ascii="Calibri" w:hAnsi="Calibri" w:cs="Calibri"/>
          <w:color w:val="000000" w:themeColor="text1"/>
        </w:rPr>
        <w:t xml:space="preserve">the defendant and his stepfather who had a good relationship were engaging in a drunken competition to see who could load a shotgun faster. The defendant won and then was challenged by the stepfather to fire the gun. This resulted in the gun being fired and the stepfather being killed instantly. The defendant was charged with murder. </w:t>
      </w:r>
    </w:p>
    <w:p w14:paraId="27139AC5" w14:textId="77777777" w:rsidR="00145418" w:rsidRPr="00C612A4" w:rsidRDefault="00145418">
      <w:pPr>
        <w:rPr>
          <w:rFonts w:ascii="Calibri" w:hAnsi="Calibri" w:cs="Calibri"/>
          <w:color w:val="000000" w:themeColor="text1"/>
        </w:rPr>
      </w:pPr>
    </w:p>
    <w:p w14:paraId="558EA24D" w14:textId="57533ECF" w:rsidR="00145418" w:rsidRPr="00C612A4" w:rsidRDefault="00145418">
      <w:pPr>
        <w:rPr>
          <w:rFonts w:ascii="Calibri" w:hAnsi="Calibri" w:cs="Calibri"/>
          <w:color w:val="000000" w:themeColor="text1"/>
        </w:rPr>
      </w:pPr>
      <w:r w:rsidRPr="00C612A4">
        <w:rPr>
          <w:rFonts w:ascii="Calibri" w:hAnsi="Calibri" w:cs="Calibri"/>
          <w:color w:val="000000" w:themeColor="text1"/>
        </w:rPr>
        <w:t xml:space="preserve">During the defendants appeal the judgement was that the defendant had not intended to kill his stepfather but the knowledge of foresight of the potential consequences of such an action were to be considered as evidence of criminal intent. Knowing how an action will naturally turn out is proof that the intent was there. </w:t>
      </w:r>
    </w:p>
    <w:p w14:paraId="45DC0F2B" w14:textId="77777777" w:rsidR="00145418" w:rsidRPr="00C612A4" w:rsidRDefault="00145418">
      <w:pPr>
        <w:rPr>
          <w:rFonts w:ascii="Calibri" w:hAnsi="Calibri" w:cs="Calibri"/>
          <w:color w:val="000000" w:themeColor="text1"/>
        </w:rPr>
      </w:pPr>
    </w:p>
    <w:p w14:paraId="01A07143" w14:textId="28AF73F6" w:rsidR="000976F5" w:rsidRDefault="000976F5">
      <w:pPr>
        <w:rPr>
          <w:rFonts w:ascii="Calibri" w:hAnsi="Calibri" w:cs="Calibri"/>
          <w:color w:val="000000" w:themeColor="text1"/>
        </w:rPr>
      </w:pPr>
      <w:r w:rsidRPr="00C612A4">
        <w:rPr>
          <w:rFonts w:ascii="Calibri" w:hAnsi="Calibri" w:cs="Calibri"/>
          <w:color w:val="000000" w:themeColor="text1"/>
        </w:rPr>
        <w:t>On the other hand, looking at this case, it could be argued that being drunk and handling loaded weapons is an act of foolishness and recklessness</w:t>
      </w:r>
      <w:r w:rsidR="00C612A4">
        <w:rPr>
          <w:rFonts w:ascii="Calibri" w:hAnsi="Calibri" w:cs="Calibri"/>
          <w:color w:val="000000" w:themeColor="text1"/>
        </w:rPr>
        <w:t xml:space="preserve"> although k</w:t>
      </w:r>
      <w:r w:rsidRPr="00C612A4">
        <w:rPr>
          <w:rFonts w:ascii="Calibri" w:hAnsi="Calibri" w:cs="Calibri"/>
          <w:color w:val="000000" w:themeColor="text1"/>
        </w:rPr>
        <w:t>nowing that there is a possibility for someone to be hurt is the grounds for mens rea even though the defendants’ intention to kill his stepfather was not</w:t>
      </w:r>
      <w:r w:rsidR="00C612A4">
        <w:rPr>
          <w:rFonts w:ascii="Calibri" w:hAnsi="Calibri" w:cs="Calibri"/>
          <w:color w:val="000000" w:themeColor="text1"/>
        </w:rPr>
        <w:t>. There could be further arguments that while not everyone experiences the same impaired judgement it could be worth defending that alcohol does affect the brain and impair judgement.</w:t>
      </w:r>
    </w:p>
    <w:p w14:paraId="24FA1B77" w14:textId="77777777" w:rsidR="00C612A4" w:rsidRDefault="00C612A4">
      <w:pPr>
        <w:rPr>
          <w:rFonts w:ascii="Calibri" w:hAnsi="Calibri" w:cs="Calibri"/>
          <w:color w:val="000000" w:themeColor="text1"/>
        </w:rPr>
      </w:pPr>
    </w:p>
    <w:p w14:paraId="0EBF32CC" w14:textId="6F095BFF" w:rsidR="00C612A4" w:rsidRPr="00C612A4" w:rsidRDefault="00C612A4">
      <w:pPr>
        <w:rPr>
          <w:rFonts w:ascii="Calibri" w:hAnsi="Calibri" w:cs="Calibri"/>
          <w:color w:val="000000" w:themeColor="text1"/>
        </w:rPr>
      </w:pPr>
      <w:r w:rsidRPr="00C612A4">
        <w:rPr>
          <w:rFonts w:ascii="Calibri" w:hAnsi="Calibri" w:cs="Calibri"/>
          <w:color w:val="000000" w:themeColor="text1"/>
          <w:kern w:val="0"/>
        </w:rPr>
        <w:t xml:space="preserve">Oblique intention is much broader than direct intention and it includes the foreseeable and inescapable consequences of achieving a desired result, even if the consequence itself is not </w:t>
      </w:r>
      <w:r w:rsidRPr="00C612A4">
        <w:rPr>
          <w:rFonts w:ascii="Calibri" w:hAnsi="Calibri" w:cs="Calibri"/>
          <w:color w:val="000000" w:themeColor="text1"/>
          <w:kern w:val="0"/>
        </w:rPr>
        <w:t>desired.</w:t>
      </w:r>
    </w:p>
    <w:p w14:paraId="5DFC0D6A" w14:textId="77777777" w:rsidR="000976F5" w:rsidRPr="00C612A4" w:rsidRDefault="000976F5">
      <w:pPr>
        <w:rPr>
          <w:rFonts w:ascii="Calibri" w:hAnsi="Calibri" w:cs="Calibri"/>
          <w:color w:val="000000" w:themeColor="text1"/>
        </w:rPr>
      </w:pPr>
    </w:p>
    <w:p w14:paraId="767D302A" w14:textId="16A0E538" w:rsidR="00C612A4" w:rsidRPr="00C612A4" w:rsidRDefault="00C612A4" w:rsidP="00C612A4">
      <w:pPr>
        <w:spacing w:after="240"/>
        <w:rPr>
          <w:rStyle w:val="Strong"/>
          <w:rFonts w:ascii="Times New Roman" w:eastAsia="Times New Roman" w:hAnsi="Times New Roman" w:cs="Times New Roman"/>
          <w:b w:val="0"/>
          <w:bCs w:val="0"/>
          <w:kern w:val="0"/>
          <w:lang w:eastAsia="en-GB"/>
          <w14:ligatures w14:val="none"/>
        </w:rPr>
      </w:pPr>
      <w:r w:rsidRPr="00C612A4">
        <w:rPr>
          <w:rFonts w:ascii="Calibri" w:eastAsia="Times New Roman" w:hAnsi="Calibri" w:cs="Calibri"/>
          <w:color w:val="000000" w:themeColor="text1"/>
          <w:kern w:val="0"/>
          <w:lang w:eastAsia="en-GB"/>
          <w14:ligatures w14:val="none"/>
        </w:rPr>
        <w:t xml:space="preserve">When looking at the case of </w:t>
      </w:r>
      <w:r w:rsidRPr="00C612A4">
        <w:rPr>
          <w:rFonts w:ascii="Calibri" w:eastAsia="Times New Roman" w:hAnsi="Calibri" w:cs="Calibri"/>
          <w:color w:val="000000"/>
          <w:kern w:val="0"/>
          <w:lang w:eastAsia="en-GB"/>
          <w14:ligatures w14:val="none"/>
        </w:rPr>
        <w:t>('Hyam v DPP',</w:t>
      </w:r>
      <w:r>
        <w:rPr>
          <w:rFonts w:ascii="Calibri" w:eastAsia="Times New Roman" w:hAnsi="Calibri" w:cs="Calibri"/>
          <w:color w:val="000000"/>
          <w:kern w:val="0"/>
          <w:lang w:eastAsia="en-GB"/>
          <w14:ligatures w14:val="none"/>
        </w:rPr>
        <w:t xml:space="preserve"> </w:t>
      </w:r>
      <w:r w:rsidRPr="00C612A4">
        <w:rPr>
          <w:rFonts w:ascii="Calibri" w:eastAsia="Times New Roman" w:hAnsi="Calibri" w:cs="Calibri"/>
          <w:color w:val="000000"/>
          <w:kern w:val="0"/>
          <w:lang w:eastAsia="en-GB"/>
          <w14:ligatures w14:val="none"/>
        </w:rPr>
        <w:t>1975)</w:t>
      </w:r>
      <w:r>
        <w:rPr>
          <w:rFonts w:ascii="Times New Roman" w:eastAsia="Times New Roman" w:hAnsi="Times New Roman" w:cs="Times New Roman"/>
          <w:kern w:val="0"/>
          <w:lang w:eastAsia="en-GB"/>
          <w14:ligatures w14:val="none"/>
        </w:rPr>
        <w:t xml:space="preserve"> </w:t>
      </w:r>
      <w:r w:rsidRPr="00C612A4">
        <w:rPr>
          <w:rStyle w:val="Strong"/>
          <w:rFonts w:ascii="Calibri" w:hAnsi="Calibri" w:cs="Calibri"/>
          <w:b w:val="0"/>
          <w:bCs w:val="0"/>
          <w:color w:val="000000" w:themeColor="text1"/>
        </w:rPr>
        <w:t>the defendant aimed to frighten Mrs. Booth. Without warning she poured petrol through the letterbox of Mrs. Booth’s house, igniting it with a newspaper which resulted in the death of two of her children. Claiming that she had not meant to kill anyone</w:t>
      </w:r>
      <w:r>
        <w:rPr>
          <w:rStyle w:val="Strong"/>
          <w:rFonts w:ascii="Calibri" w:hAnsi="Calibri" w:cs="Calibri"/>
          <w:b w:val="0"/>
          <w:bCs w:val="0"/>
          <w:color w:val="000000" w:themeColor="text1"/>
        </w:rPr>
        <w:t xml:space="preserve"> but wanted to just frighten Mrs</w:t>
      </w:r>
      <w:r w:rsidRPr="00C612A4">
        <w:rPr>
          <w:rStyle w:val="Strong"/>
          <w:rFonts w:ascii="Calibri" w:hAnsi="Calibri" w:cs="Calibri"/>
          <w:b w:val="0"/>
          <w:bCs w:val="0"/>
          <w:color w:val="000000" w:themeColor="text1"/>
        </w:rPr>
        <w:t>.</w:t>
      </w:r>
      <w:r>
        <w:rPr>
          <w:rStyle w:val="Strong"/>
          <w:rFonts w:ascii="Calibri" w:hAnsi="Calibri" w:cs="Calibri"/>
          <w:b w:val="0"/>
          <w:bCs w:val="0"/>
          <w:color w:val="000000" w:themeColor="text1"/>
        </w:rPr>
        <w:t xml:space="preserve"> Booth.</w:t>
      </w:r>
      <w:r w:rsidRPr="00C612A4">
        <w:rPr>
          <w:rStyle w:val="Strong"/>
          <w:rFonts w:ascii="Calibri" w:hAnsi="Calibri" w:cs="Calibri"/>
          <w:b w:val="0"/>
          <w:bCs w:val="0"/>
          <w:color w:val="000000" w:themeColor="text1"/>
        </w:rPr>
        <w:t xml:space="preserve"> </w:t>
      </w:r>
      <w:r>
        <w:rPr>
          <w:rStyle w:val="Strong"/>
          <w:rFonts w:ascii="Calibri" w:hAnsi="Calibri" w:cs="Calibri"/>
          <w:b w:val="0"/>
          <w:bCs w:val="0"/>
          <w:color w:val="000000" w:themeColor="text1"/>
        </w:rPr>
        <w:t xml:space="preserve">The defendant </w:t>
      </w:r>
      <w:r w:rsidRPr="00C612A4">
        <w:rPr>
          <w:rStyle w:val="Strong"/>
          <w:rFonts w:ascii="Calibri" w:hAnsi="Calibri" w:cs="Calibri"/>
          <w:b w:val="0"/>
          <w:bCs w:val="0"/>
          <w:color w:val="000000" w:themeColor="text1"/>
        </w:rPr>
        <w:t>had foreseen death or grievous bodily harm as a high probable result of her actions.</w:t>
      </w:r>
      <w:r>
        <w:rPr>
          <w:rStyle w:val="Strong"/>
          <w:rFonts w:ascii="Calibri" w:hAnsi="Calibri" w:cs="Calibri"/>
          <w:b w:val="0"/>
          <w:bCs w:val="0"/>
          <w:color w:val="000000" w:themeColor="text1"/>
        </w:rPr>
        <w:t xml:space="preserve"> </w:t>
      </w:r>
      <w:r w:rsidRPr="00C612A4">
        <w:rPr>
          <w:rFonts w:ascii="Calibri" w:hAnsi="Calibri" w:cs="Calibri"/>
          <w:color w:val="000000"/>
        </w:rPr>
        <w:t>(Ignachkov, 2023)</w:t>
      </w:r>
    </w:p>
    <w:p w14:paraId="554236BF" w14:textId="345BAFE6" w:rsidR="00145418" w:rsidRPr="00C612A4" w:rsidRDefault="00145418" w:rsidP="00145418">
      <w:pPr>
        <w:autoSpaceDE w:val="0"/>
        <w:autoSpaceDN w:val="0"/>
        <w:adjustRightInd w:val="0"/>
        <w:rPr>
          <w:rFonts w:ascii="Calibri" w:eastAsia="Times New Roman" w:hAnsi="Calibri" w:cs="Calibri"/>
          <w:color w:val="000000" w:themeColor="text1"/>
          <w:kern w:val="0"/>
          <w:lang w:eastAsia="en-GB"/>
          <w14:ligatures w14:val="none"/>
        </w:rPr>
      </w:pPr>
      <w:r w:rsidRPr="00C612A4">
        <w:rPr>
          <w:rFonts w:ascii="Calibri" w:eastAsia="Times New Roman" w:hAnsi="Calibri" w:cs="Calibri"/>
          <w:color w:val="000000" w:themeColor="text1"/>
          <w:kern w:val="0"/>
          <w:lang w:eastAsia="en-GB"/>
          <w14:ligatures w14:val="none"/>
        </w:rPr>
        <w:t>In the case o</w:t>
      </w:r>
      <w:r w:rsidR="00C612A4">
        <w:rPr>
          <w:rFonts w:ascii="Calibri" w:eastAsia="Times New Roman" w:hAnsi="Calibri" w:cs="Calibri"/>
          <w:color w:val="000000" w:themeColor="text1"/>
          <w:kern w:val="0"/>
          <w:lang w:eastAsia="en-GB"/>
          <w14:ligatures w14:val="none"/>
        </w:rPr>
        <w:t xml:space="preserve">f </w:t>
      </w:r>
      <w:r w:rsidR="00C612A4">
        <w:rPr>
          <w:rFonts w:ascii="Calibri" w:hAnsi="Calibri" w:cs="Calibri"/>
          <w:color w:val="000000"/>
          <w:shd w:val="clear" w:color="auto" w:fill="FBFBFB"/>
        </w:rPr>
        <w:t>('R v Nedrick', 1986)</w:t>
      </w:r>
      <w:r w:rsidRPr="00C612A4">
        <w:rPr>
          <w:rFonts w:ascii="Calibri" w:eastAsia="Times New Roman" w:hAnsi="Calibri" w:cs="Calibri"/>
          <w:color w:val="000000" w:themeColor="text1"/>
          <w:kern w:val="0"/>
          <w:lang w:eastAsia="en-GB"/>
          <w14:ligatures w14:val="none"/>
        </w:rPr>
        <w:t xml:space="preserve"> The defendant held a grudge against a woman. In the middle of the night the defendant drove to her house and then poured petrol through her letterbox, igniting it. He then left the scene and drove home. As a result of the fire the woman’s child died and Nedrick was charged with murder. The trial judge directed the jury that if the defendant knew it was highly probable that the act would result in serious bodily harm to someone, even if he did not desire that result, he would be guilty of murder.</w:t>
      </w:r>
    </w:p>
    <w:p w14:paraId="47D9BAF2" w14:textId="0CCEE9E9" w:rsidR="00145418" w:rsidRPr="00C612A4" w:rsidRDefault="00145418" w:rsidP="00145418">
      <w:pPr>
        <w:autoSpaceDE w:val="0"/>
        <w:autoSpaceDN w:val="0"/>
        <w:adjustRightInd w:val="0"/>
        <w:rPr>
          <w:rFonts w:ascii="Calibri" w:hAnsi="Calibri" w:cs="Calibri"/>
          <w:color w:val="000000" w:themeColor="text1"/>
          <w:shd w:val="clear" w:color="auto" w:fill="FFFFFF"/>
        </w:rPr>
      </w:pPr>
      <w:r w:rsidRPr="00C612A4">
        <w:rPr>
          <w:rFonts w:ascii="Calibri" w:eastAsia="Times New Roman" w:hAnsi="Calibri" w:cs="Calibri"/>
          <w:color w:val="000000" w:themeColor="text1"/>
          <w:kern w:val="0"/>
          <w:lang w:eastAsia="en-GB"/>
          <w14:ligatures w14:val="none"/>
        </w:rPr>
        <w:t>An appeal was allowed</w:t>
      </w:r>
      <w:r w:rsidRPr="00C612A4">
        <w:rPr>
          <w:rFonts w:ascii="Calibri" w:hAnsi="Calibri" w:cs="Calibri"/>
          <w:color w:val="000000" w:themeColor="text1"/>
          <w:shd w:val="clear" w:color="auto" w:fill="FFFFFF"/>
        </w:rPr>
        <w:t xml:space="preserve">, using the precedent case of </w:t>
      </w:r>
      <w:r w:rsidR="00C612A4">
        <w:rPr>
          <w:rFonts w:ascii="Calibri" w:hAnsi="Calibri" w:cs="Calibri"/>
          <w:color w:val="000000"/>
          <w:shd w:val="clear" w:color="auto" w:fill="FBFBFB"/>
        </w:rPr>
        <w:t>('R v Moloney', 1985) </w:t>
      </w:r>
      <w:r w:rsidRPr="00C612A4">
        <w:rPr>
          <w:rFonts w:ascii="Calibri" w:hAnsi="Calibri" w:cs="Calibri"/>
          <w:color w:val="000000" w:themeColor="text1"/>
          <w:shd w:val="clear" w:color="auto" w:fill="FFFFFF"/>
        </w:rPr>
        <w:t>the court held that the jury should be directed that they are not entitled to infer intention unless that they are satisfied that they felt sure that the death was a certainty of the defendant’s actions, and that the defendant knew this.</w:t>
      </w:r>
      <w:r w:rsidR="00C612A4">
        <w:rPr>
          <w:rFonts w:ascii="Calibri" w:hAnsi="Calibri" w:cs="Calibri"/>
          <w:color w:val="000000" w:themeColor="text1"/>
          <w:shd w:val="clear" w:color="auto" w:fill="FFFFFF"/>
        </w:rPr>
        <w:t xml:space="preserve"> </w:t>
      </w:r>
      <w:r w:rsidR="00C612A4">
        <w:rPr>
          <w:color w:val="000000"/>
        </w:rPr>
        <w:t>(</w:t>
      </w:r>
      <w:r w:rsidR="00C612A4" w:rsidRPr="00C612A4">
        <w:rPr>
          <w:rFonts w:ascii="Calibri" w:hAnsi="Calibri" w:cs="Calibri"/>
          <w:color w:val="000000"/>
        </w:rPr>
        <w:t>House of Lords, 2019)</w:t>
      </w:r>
    </w:p>
    <w:p w14:paraId="599695AB" w14:textId="77777777" w:rsidR="00C612A4" w:rsidRPr="00C612A4" w:rsidRDefault="00C612A4" w:rsidP="00145418">
      <w:pPr>
        <w:autoSpaceDE w:val="0"/>
        <w:autoSpaceDN w:val="0"/>
        <w:adjustRightInd w:val="0"/>
        <w:rPr>
          <w:rFonts w:ascii="Calibri" w:hAnsi="Calibri" w:cs="Calibri"/>
          <w:color w:val="000000" w:themeColor="text1"/>
          <w:shd w:val="clear" w:color="auto" w:fill="FFFFFF"/>
        </w:rPr>
      </w:pPr>
    </w:p>
    <w:p w14:paraId="7137A0FD" w14:textId="057F7013" w:rsidR="000976F5" w:rsidRDefault="00C612A4" w:rsidP="00145418">
      <w:pPr>
        <w:autoSpaceDE w:val="0"/>
        <w:autoSpaceDN w:val="0"/>
        <w:adjustRightInd w:val="0"/>
        <w:rPr>
          <w:rFonts w:ascii="Calibri" w:hAnsi="Calibri" w:cs="Calibri"/>
          <w:color w:val="000000" w:themeColor="text1"/>
          <w:shd w:val="clear" w:color="auto" w:fill="FFFFFF"/>
        </w:rPr>
      </w:pPr>
      <w:r w:rsidRPr="00C612A4">
        <w:rPr>
          <w:rFonts w:ascii="Calibri" w:hAnsi="Calibri" w:cs="Calibri"/>
          <w:color w:val="000000" w:themeColor="text1"/>
          <w:kern w:val="0"/>
        </w:rPr>
        <w:t xml:space="preserve">There is an appropriate test for oblique intention which was formulated in the </w:t>
      </w:r>
      <w:r>
        <w:rPr>
          <w:rFonts w:ascii="Calibri" w:hAnsi="Calibri" w:cs="Calibri"/>
          <w:color w:val="000000"/>
          <w:shd w:val="clear" w:color="auto" w:fill="FBFBFB"/>
        </w:rPr>
        <w:t>('R v Nedrick', 1986)</w:t>
      </w:r>
      <w:r w:rsidRPr="00C612A4">
        <w:rPr>
          <w:rFonts w:ascii="Calibri" w:eastAsia="Times New Roman" w:hAnsi="Calibri" w:cs="Calibri"/>
          <w:color w:val="000000" w:themeColor="text1"/>
          <w:kern w:val="0"/>
          <w:lang w:eastAsia="en-GB"/>
          <w14:ligatures w14:val="none"/>
        </w:rPr>
        <w:t xml:space="preserve"> </w:t>
      </w:r>
      <w:r w:rsidRPr="00C612A4">
        <w:rPr>
          <w:rFonts w:ascii="Calibri" w:hAnsi="Calibri" w:cs="Calibri"/>
          <w:color w:val="000000" w:themeColor="text1"/>
          <w:kern w:val="0"/>
        </w:rPr>
        <w:t>case. A jury may find that the defendant intended an outcome, if it was a virtually certain consequence of his/her actions</w:t>
      </w:r>
      <w:r w:rsidRPr="00C612A4">
        <w:rPr>
          <w:rFonts w:ascii="Calibri" w:hAnsi="Calibri" w:cs="Calibri"/>
          <w:color w:val="000000" w:themeColor="text1"/>
          <w:kern w:val="0"/>
        </w:rPr>
        <w:t xml:space="preserve">. </w:t>
      </w:r>
      <w:r w:rsidR="000976F5" w:rsidRPr="00C612A4">
        <w:rPr>
          <w:rFonts w:ascii="Calibri" w:hAnsi="Calibri" w:cs="Calibri"/>
          <w:color w:val="000000" w:themeColor="text1"/>
          <w:shd w:val="clear" w:color="auto" w:fill="FFFFFF"/>
        </w:rPr>
        <w:t>In this case even if it was not the intention of murder the actions of the defendant in this case showed that the possible results were always going to be either serious harm to another or criminal damage by destroying the property with igniting the petrol.</w:t>
      </w:r>
    </w:p>
    <w:p w14:paraId="7384132E" w14:textId="77777777" w:rsidR="00C612A4" w:rsidRDefault="00C612A4" w:rsidP="00145418">
      <w:pPr>
        <w:autoSpaceDE w:val="0"/>
        <w:autoSpaceDN w:val="0"/>
        <w:adjustRightInd w:val="0"/>
        <w:rPr>
          <w:rFonts w:ascii="Calibri" w:hAnsi="Calibri" w:cs="Calibri"/>
          <w:color w:val="000000" w:themeColor="text1"/>
          <w:shd w:val="clear" w:color="auto" w:fill="FFFFFF"/>
        </w:rPr>
      </w:pPr>
    </w:p>
    <w:p w14:paraId="6B2E7137" w14:textId="6A9D0D7E" w:rsidR="00C612A4" w:rsidRPr="00C612A4" w:rsidRDefault="00C612A4" w:rsidP="00145418">
      <w:pPr>
        <w:autoSpaceDE w:val="0"/>
        <w:autoSpaceDN w:val="0"/>
        <w:adjustRightInd w:val="0"/>
        <w:rPr>
          <w:rFonts w:ascii="Calibri" w:hAnsi="Calibri" w:cs="Calibri"/>
          <w:color w:val="000000" w:themeColor="text1"/>
          <w:shd w:val="clear" w:color="auto" w:fill="FFFFFF"/>
        </w:rPr>
      </w:pPr>
      <w:r>
        <w:rPr>
          <w:rFonts w:ascii="Calibri" w:hAnsi="Calibri" w:cs="Calibri"/>
          <w:color w:val="000000" w:themeColor="text1"/>
          <w:shd w:val="clear" w:color="auto" w:fill="FFFFFF"/>
        </w:rPr>
        <w:lastRenderedPageBreak/>
        <w:t xml:space="preserve">Negligence in mens rea refers to the failure to exercise reasonable care, resulting in harm or possible injury to another. To establish negligence the prosecution must prove that the defendant breached a duty of care and that this has caused harm to the victim. An example of negligence could be a driver was distracted while behind the wheel and caused harm to another, while they did not intent to injure or kill another their actions breached the duty of care. </w:t>
      </w:r>
      <w:r w:rsidRPr="00C612A4">
        <w:rPr>
          <w:rFonts w:ascii="Calibri" w:hAnsi="Calibri" w:cs="Calibri"/>
          <w:color w:val="000000"/>
        </w:rPr>
        <w:t>(Baker, 1987)</w:t>
      </w:r>
    </w:p>
    <w:p w14:paraId="3162E9AB" w14:textId="77777777" w:rsidR="00C612A4" w:rsidRDefault="00C612A4" w:rsidP="00145418">
      <w:pPr>
        <w:autoSpaceDE w:val="0"/>
        <w:autoSpaceDN w:val="0"/>
        <w:adjustRightInd w:val="0"/>
        <w:rPr>
          <w:rFonts w:ascii="Calibri" w:hAnsi="Calibri" w:cs="Calibri"/>
          <w:color w:val="000000" w:themeColor="text1"/>
          <w:shd w:val="clear" w:color="auto" w:fill="FFFFFF"/>
        </w:rPr>
      </w:pPr>
    </w:p>
    <w:p w14:paraId="4E1AB094" w14:textId="4D67B272" w:rsidR="00145418" w:rsidRPr="00C612A4" w:rsidRDefault="00145418" w:rsidP="00145418">
      <w:pPr>
        <w:autoSpaceDE w:val="0"/>
        <w:autoSpaceDN w:val="0"/>
        <w:adjustRightInd w:val="0"/>
        <w:rPr>
          <w:rFonts w:ascii="Calibri" w:hAnsi="Calibri" w:cs="Calibri"/>
          <w:color w:val="000000" w:themeColor="text1"/>
          <w:kern w:val="0"/>
        </w:rPr>
      </w:pPr>
      <w:r w:rsidRPr="00C612A4">
        <w:rPr>
          <w:rFonts w:ascii="Calibri" w:hAnsi="Calibri" w:cs="Calibri"/>
          <w:color w:val="000000" w:themeColor="text1"/>
          <w:kern w:val="0"/>
        </w:rPr>
        <w:t>Recklessness is the less culpable form of mens rea. The prosecution may establish that the mens rea in offences based on unjustified risk-taking leading to unlawful harm or damage.</w:t>
      </w:r>
    </w:p>
    <w:p w14:paraId="3CB44B44" w14:textId="5AAC553A" w:rsidR="00C612A4" w:rsidRDefault="00C612A4" w:rsidP="00145418">
      <w:pPr>
        <w:autoSpaceDE w:val="0"/>
        <w:autoSpaceDN w:val="0"/>
        <w:adjustRightInd w:val="0"/>
        <w:rPr>
          <w:rFonts w:ascii="Calibri" w:hAnsi="Calibri" w:cs="Calibri"/>
          <w:color w:val="000000" w:themeColor="text1"/>
          <w:kern w:val="0"/>
        </w:rPr>
      </w:pPr>
      <w:r>
        <w:rPr>
          <w:rFonts w:ascii="Calibri" w:hAnsi="Calibri" w:cs="Calibri"/>
          <w:color w:val="000000" w:themeColor="text1"/>
          <w:kern w:val="0"/>
        </w:rPr>
        <w:t>In the following cases there is both risk-taking due to the actions of the defendants which led to unlawful harm and damage, establishing recklessness.</w:t>
      </w:r>
    </w:p>
    <w:p w14:paraId="5BB7DF23" w14:textId="77777777" w:rsidR="00C612A4" w:rsidRPr="00C612A4" w:rsidRDefault="00C612A4" w:rsidP="00145418">
      <w:pPr>
        <w:autoSpaceDE w:val="0"/>
        <w:autoSpaceDN w:val="0"/>
        <w:adjustRightInd w:val="0"/>
        <w:rPr>
          <w:rFonts w:ascii="Calibri" w:hAnsi="Calibri" w:cs="Calibri"/>
          <w:color w:val="000000" w:themeColor="text1"/>
          <w:kern w:val="0"/>
        </w:rPr>
      </w:pPr>
    </w:p>
    <w:p w14:paraId="700E29C4" w14:textId="5A4B7FF1" w:rsidR="00145418" w:rsidRPr="00C612A4" w:rsidRDefault="00C612A4" w:rsidP="00145418">
      <w:pPr>
        <w:autoSpaceDE w:val="0"/>
        <w:autoSpaceDN w:val="0"/>
        <w:adjustRightInd w:val="0"/>
        <w:rPr>
          <w:rFonts w:ascii="Calibri" w:hAnsi="Calibri" w:cs="Calibri"/>
          <w:color w:val="000000" w:themeColor="text1"/>
          <w:kern w:val="0"/>
        </w:rPr>
      </w:pPr>
      <w:r w:rsidRPr="00C612A4">
        <w:rPr>
          <w:rFonts w:ascii="Calibri" w:hAnsi="Calibri" w:cs="Calibri"/>
          <w:color w:val="000000"/>
          <w:shd w:val="clear" w:color="auto" w:fill="FBFBFB"/>
        </w:rPr>
        <w:t>('R v Caldwell',1982)</w:t>
      </w:r>
      <w:r>
        <w:rPr>
          <w:rFonts w:ascii="Calibri" w:hAnsi="Calibri" w:cs="Calibri"/>
          <w:color w:val="000000"/>
          <w:shd w:val="clear" w:color="auto" w:fill="FBFBFB"/>
        </w:rPr>
        <w:t xml:space="preserve"> </w:t>
      </w:r>
      <w:r w:rsidR="00145418" w:rsidRPr="00C612A4">
        <w:rPr>
          <w:rFonts w:ascii="Calibri" w:hAnsi="Calibri" w:cs="Calibri"/>
          <w:color w:val="000000" w:themeColor="text1"/>
          <w:kern w:val="0"/>
        </w:rPr>
        <w:t>was a case which involved self-induced intoxication. The defendant who had a grievance against the owner of the hotel where he was employed got very drunk and set fire to the hotel, where there were guests staying.  While he pleaded guilty to one count, he contested another on the basis that because he was so drunk the thought of other people in the hotel had not crossed his mind. In this case the objective recklessness test required the prosecution to prove the risk would have been obvious to a reasonable person and that the prosecution were not required to prove the defendant themselves foresaw the risk.</w:t>
      </w:r>
    </w:p>
    <w:p w14:paraId="5B809CD9" w14:textId="77777777" w:rsidR="00145418" w:rsidRPr="00C612A4" w:rsidRDefault="00145418" w:rsidP="00145418">
      <w:pPr>
        <w:autoSpaceDE w:val="0"/>
        <w:autoSpaceDN w:val="0"/>
        <w:adjustRightInd w:val="0"/>
        <w:rPr>
          <w:rFonts w:ascii="Calibri" w:hAnsi="Calibri" w:cs="Calibri"/>
          <w:color w:val="000000" w:themeColor="text1"/>
          <w:kern w:val="0"/>
        </w:rPr>
      </w:pPr>
    </w:p>
    <w:p w14:paraId="21030FC3" w14:textId="1DD92640" w:rsidR="00145418" w:rsidRPr="00C612A4" w:rsidRDefault="00145418" w:rsidP="00145418">
      <w:pPr>
        <w:autoSpaceDE w:val="0"/>
        <w:autoSpaceDN w:val="0"/>
        <w:adjustRightInd w:val="0"/>
        <w:rPr>
          <w:rFonts w:ascii="Calibri" w:hAnsi="Calibri" w:cs="Calibri"/>
          <w:color w:val="000000" w:themeColor="text1"/>
          <w:kern w:val="0"/>
        </w:rPr>
      </w:pPr>
      <w:r w:rsidRPr="00C612A4">
        <w:rPr>
          <w:rFonts w:ascii="Calibri" w:hAnsi="Calibri" w:cs="Calibri"/>
          <w:color w:val="000000" w:themeColor="text1"/>
          <w:kern w:val="0"/>
        </w:rPr>
        <w:t xml:space="preserve">In another case </w:t>
      </w:r>
      <w:r w:rsidR="00C612A4">
        <w:rPr>
          <w:rFonts w:ascii="Calibri" w:hAnsi="Calibri" w:cs="Calibri"/>
          <w:color w:val="000000"/>
          <w:shd w:val="clear" w:color="auto" w:fill="FBFBFB"/>
        </w:rPr>
        <w:t>('R v Cunningham',1957)</w:t>
      </w:r>
      <w:r w:rsidR="00C612A4">
        <w:rPr>
          <w:rFonts w:ascii="Calibri" w:hAnsi="Calibri" w:cs="Calibri"/>
          <w:color w:val="000000"/>
          <w:shd w:val="clear" w:color="auto" w:fill="FBFBFB"/>
        </w:rPr>
        <w:t xml:space="preserve"> </w:t>
      </w:r>
      <w:r w:rsidRPr="00C612A4">
        <w:rPr>
          <w:rFonts w:ascii="Calibri" w:hAnsi="Calibri" w:cs="Calibri"/>
          <w:color w:val="000000" w:themeColor="text1"/>
          <w:kern w:val="0"/>
        </w:rPr>
        <w:t>The defendant removed a gas meter to be able to steal the money inside. The meter itself was connected to a neighbouring house. At the time of the meter removal the gas leaked into the property which led to the occupant being poisoned by the gas. The subjective recklessness test required the prosecution to prove that the defendant had foreseen the risk themselves.</w:t>
      </w:r>
    </w:p>
    <w:p w14:paraId="12218FFA" w14:textId="33F4D84F" w:rsidR="00145418" w:rsidRPr="00C612A4" w:rsidRDefault="00145418" w:rsidP="00DB4723">
      <w:pPr>
        <w:autoSpaceDE w:val="0"/>
        <w:autoSpaceDN w:val="0"/>
        <w:adjustRightInd w:val="0"/>
        <w:rPr>
          <w:rFonts w:ascii="Calibri" w:eastAsia="Times New Roman" w:hAnsi="Calibri" w:cs="Calibri"/>
          <w:color w:val="000000" w:themeColor="text1"/>
          <w:kern w:val="0"/>
          <w:lang w:eastAsia="en-GB"/>
          <w14:ligatures w14:val="none"/>
        </w:rPr>
      </w:pPr>
    </w:p>
    <w:p w14:paraId="27041ADC" w14:textId="77777777" w:rsidR="00C612A4" w:rsidRDefault="00C612A4" w:rsidP="00DB4723">
      <w:pPr>
        <w:autoSpaceDE w:val="0"/>
        <w:autoSpaceDN w:val="0"/>
        <w:adjustRightInd w:val="0"/>
        <w:rPr>
          <w:rFonts w:ascii="Calibri" w:eastAsia="Times New Roman" w:hAnsi="Calibri" w:cs="Calibri"/>
          <w:color w:val="000000" w:themeColor="text1"/>
          <w:kern w:val="0"/>
          <w:lang w:eastAsia="en-GB"/>
          <w14:ligatures w14:val="none"/>
        </w:rPr>
      </w:pPr>
    </w:p>
    <w:p w14:paraId="5FBC72D4" w14:textId="77777777" w:rsidR="00034DDC" w:rsidRDefault="00034DDC" w:rsidP="00DB4723">
      <w:pPr>
        <w:autoSpaceDE w:val="0"/>
        <w:autoSpaceDN w:val="0"/>
        <w:adjustRightInd w:val="0"/>
        <w:rPr>
          <w:rFonts w:ascii="Calibri" w:eastAsia="Times New Roman" w:hAnsi="Calibri" w:cs="Calibri"/>
          <w:color w:val="000000" w:themeColor="text1"/>
          <w:kern w:val="0"/>
          <w:lang w:eastAsia="en-GB"/>
          <w14:ligatures w14:val="none"/>
        </w:rPr>
      </w:pPr>
    </w:p>
    <w:p w14:paraId="3AA6F9D9" w14:textId="517A6689" w:rsidR="000976F5" w:rsidRPr="00C612A4" w:rsidRDefault="00145418" w:rsidP="00DB4723">
      <w:pPr>
        <w:autoSpaceDE w:val="0"/>
        <w:autoSpaceDN w:val="0"/>
        <w:adjustRightInd w:val="0"/>
        <w:rPr>
          <w:rFonts w:ascii="Calibri" w:eastAsia="Times New Roman" w:hAnsi="Calibri" w:cs="Calibri"/>
          <w:color w:val="000000" w:themeColor="text1"/>
          <w:kern w:val="0"/>
          <w:lang w:eastAsia="en-GB"/>
          <w14:ligatures w14:val="none"/>
        </w:rPr>
      </w:pPr>
      <w:r w:rsidRPr="00C612A4">
        <w:rPr>
          <w:rFonts w:ascii="Calibri" w:eastAsia="Times New Roman" w:hAnsi="Calibri" w:cs="Calibri"/>
          <w:color w:val="000000" w:themeColor="text1"/>
          <w:kern w:val="0"/>
          <w:lang w:eastAsia="en-GB"/>
          <w14:ligatures w14:val="none"/>
        </w:rPr>
        <w:t xml:space="preserve">In conclusion mens rea presents many challenges confirming the criminal liability within the law. In some cases, it is possible that individuals can be held responsible for actions they may not have intended or foresaw leading to possible injustices. </w:t>
      </w:r>
    </w:p>
    <w:p w14:paraId="4CC14A7B" w14:textId="77777777" w:rsidR="000976F5" w:rsidRPr="00C612A4" w:rsidRDefault="000976F5" w:rsidP="00DB4723">
      <w:pPr>
        <w:autoSpaceDE w:val="0"/>
        <w:autoSpaceDN w:val="0"/>
        <w:adjustRightInd w:val="0"/>
        <w:rPr>
          <w:rFonts w:ascii="Calibri" w:eastAsia="Times New Roman" w:hAnsi="Calibri" w:cs="Calibri"/>
          <w:color w:val="000000" w:themeColor="text1"/>
          <w:kern w:val="0"/>
          <w:lang w:eastAsia="en-GB"/>
          <w14:ligatures w14:val="none"/>
        </w:rPr>
      </w:pPr>
    </w:p>
    <w:p w14:paraId="4A0AE518" w14:textId="4C4E518B" w:rsidR="00145418" w:rsidRPr="00C612A4" w:rsidRDefault="00145418" w:rsidP="00DB4723">
      <w:pPr>
        <w:autoSpaceDE w:val="0"/>
        <w:autoSpaceDN w:val="0"/>
        <w:adjustRightInd w:val="0"/>
        <w:rPr>
          <w:rFonts w:ascii="Calibri" w:eastAsia="Times New Roman" w:hAnsi="Calibri" w:cs="Calibri"/>
          <w:color w:val="000000" w:themeColor="text1"/>
          <w:kern w:val="0"/>
          <w:lang w:eastAsia="en-GB"/>
          <w14:ligatures w14:val="none"/>
        </w:rPr>
      </w:pPr>
      <w:r w:rsidRPr="00C612A4">
        <w:rPr>
          <w:rFonts w:ascii="Calibri" w:eastAsia="Times New Roman" w:hAnsi="Calibri" w:cs="Calibri"/>
          <w:color w:val="000000" w:themeColor="text1"/>
          <w:kern w:val="0"/>
          <w:lang w:eastAsia="en-GB"/>
          <w14:ligatures w14:val="none"/>
        </w:rPr>
        <w:t xml:space="preserve">As stated, it is always challenging to prove what was in someone’s mind at the time of the crime and in </w:t>
      </w:r>
      <w:r w:rsidR="00C612A4">
        <w:rPr>
          <w:rFonts w:ascii="Calibri" w:eastAsia="Times New Roman" w:hAnsi="Calibri" w:cs="Calibri"/>
          <w:color w:val="000000" w:themeColor="text1"/>
          <w:kern w:val="0"/>
          <w:lang w:eastAsia="en-GB"/>
          <w14:ligatures w14:val="none"/>
        </w:rPr>
        <w:t xml:space="preserve">some </w:t>
      </w:r>
      <w:r w:rsidR="00C612A4" w:rsidRPr="00C612A4">
        <w:rPr>
          <w:rFonts w:ascii="Calibri" w:eastAsia="Times New Roman" w:hAnsi="Calibri" w:cs="Calibri"/>
          <w:color w:val="000000" w:themeColor="text1"/>
          <w:kern w:val="0"/>
          <w:lang w:eastAsia="en-GB"/>
          <w14:ligatures w14:val="none"/>
        </w:rPr>
        <w:t>case</w:t>
      </w:r>
      <w:r w:rsidR="00C612A4">
        <w:rPr>
          <w:rFonts w:ascii="Calibri" w:eastAsia="Times New Roman" w:hAnsi="Calibri" w:cs="Calibri"/>
          <w:color w:val="000000" w:themeColor="text1"/>
          <w:kern w:val="0"/>
          <w:lang w:eastAsia="en-GB"/>
          <w14:ligatures w14:val="none"/>
        </w:rPr>
        <w:t xml:space="preserve">s a prosecutor must prove that the defendant had the mens rea when committing an offence whether that be of recklessness or the intention. Other challenges faced are whether it can be proved the defendant had the capacity of mens rea to be culpable of an offence. </w:t>
      </w:r>
      <w:r w:rsidR="00C612A4" w:rsidRPr="00C612A4">
        <w:rPr>
          <w:rFonts w:ascii="Calibri" w:hAnsi="Calibri" w:cs="Calibri"/>
          <w:color w:val="000000"/>
        </w:rPr>
        <w:t>(</w:t>
      </w:r>
      <w:r w:rsidR="00C612A4" w:rsidRPr="00C612A4">
        <w:rPr>
          <w:rFonts w:ascii="Calibri" w:hAnsi="Calibri" w:cs="Calibri"/>
          <w:color w:val="000000"/>
        </w:rPr>
        <w:t>College</w:t>
      </w:r>
      <w:r w:rsidR="00C612A4" w:rsidRPr="00C612A4">
        <w:rPr>
          <w:rFonts w:ascii="Calibri" w:hAnsi="Calibri" w:cs="Calibri"/>
          <w:color w:val="000000"/>
        </w:rPr>
        <w:t xml:space="preserve"> of policing, 2016</w:t>
      </w:r>
      <w:r w:rsidR="00C612A4">
        <w:rPr>
          <w:rFonts w:ascii="Calibri" w:hAnsi="Calibri" w:cs="Calibri"/>
          <w:color w:val="000000"/>
        </w:rPr>
        <w:t>.</w:t>
      </w:r>
      <w:r w:rsidR="00C612A4" w:rsidRPr="00C612A4">
        <w:rPr>
          <w:rFonts w:ascii="Calibri" w:hAnsi="Calibri" w:cs="Calibri"/>
          <w:color w:val="000000"/>
        </w:rPr>
        <w:t>)</w:t>
      </w:r>
      <w:r w:rsidR="00C612A4">
        <w:rPr>
          <w:rFonts w:ascii="Calibri" w:hAnsi="Calibri" w:cs="Calibri"/>
          <w:color w:val="000000"/>
        </w:rPr>
        <w:t xml:space="preserve"> </w:t>
      </w:r>
      <w:r w:rsidR="00C612A4">
        <w:rPr>
          <w:rFonts w:ascii="Calibri" w:eastAsia="Times New Roman" w:hAnsi="Calibri" w:cs="Calibri"/>
          <w:color w:val="000000" w:themeColor="text1"/>
          <w:kern w:val="0"/>
          <w:lang w:eastAsia="en-GB"/>
          <w14:ligatures w14:val="none"/>
        </w:rPr>
        <w:t xml:space="preserve"> Further investigation would commence if the defendant has learning difficulties, mental health issues. </w:t>
      </w:r>
      <w:r w:rsidR="00C612A4" w:rsidRPr="00C612A4">
        <w:rPr>
          <w:rFonts w:ascii="Calibri" w:hAnsi="Calibri" w:cs="Calibri"/>
          <w:color w:val="000000"/>
        </w:rPr>
        <w:t>(Crown Prosecution Service, 2019)</w:t>
      </w:r>
    </w:p>
    <w:p w14:paraId="41586467" w14:textId="77777777" w:rsidR="00145418" w:rsidRDefault="00145418" w:rsidP="00DB4723">
      <w:pPr>
        <w:autoSpaceDE w:val="0"/>
        <w:autoSpaceDN w:val="0"/>
        <w:adjustRightInd w:val="0"/>
        <w:rPr>
          <w:rFonts w:ascii="Calibri" w:eastAsia="Times New Roman" w:hAnsi="Calibri" w:cs="Calibri"/>
          <w:color w:val="000000" w:themeColor="text1"/>
          <w:kern w:val="0"/>
          <w:lang w:eastAsia="en-GB"/>
          <w14:ligatures w14:val="none"/>
        </w:rPr>
      </w:pPr>
    </w:p>
    <w:p w14:paraId="05FB60E3" w14:textId="0E4B9B23" w:rsidR="00145418" w:rsidRPr="00C612A4" w:rsidRDefault="00145418" w:rsidP="00DB4723">
      <w:pPr>
        <w:autoSpaceDE w:val="0"/>
        <w:autoSpaceDN w:val="0"/>
        <w:adjustRightInd w:val="0"/>
        <w:rPr>
          <w:rFonts w:ascii="Calibri" w:eastAsia="Times New Roman" w:hAnsi="Calibri" w:cs="Calibri"/>
          <w:color w:val="000000" w:themeColor="text1"/>
          <w:kern w:val="0"/>
          <w:lang w:eastAsia="en-GB"/>
          <w14:ligatures w14:val="none"/>
        </w:rPr>
      </w:pPr>
      <w:r w:rsidRPr="00C612A4">
        <w:rPr>
          <w:rFonts w:ascii="Calibri" w:eastAsia="Times New Roman" w:hAnsi="Calibri" w:cs="Calibri"/>
          <w:color w:val="000000" w:themeColor="text1"/>
          <w:kern w:val="0"/>
          <w:lang w:eastAsia="en-GB"/>
          <w14:ligatures w14:val="none"/>
        </w:rPr>
        <w:t xml:space="preserve">On the other </w:t>
      </w:r>
      <w:r w:rsidR="000976F5" w:rsidRPr="00C612A4">
        <w:rPr>
          <w:rFonts w:ascii="Calibri" w:eastAsia="Times New Roman" w:hAnsi="Calibri" w:cs="Calibri"/>
          <w:color w:val="000000" w:themeColor="text1"/>
          <w:kern w:val="0"/>
          <w:lang w:eastAsia="en-GB"/>
          <w14:ligatures w14:val="none"/>
        </w:rPr>
        <w:t>hand,</w:t>
      </w:r>
      <w:r w:rsidRPr="00C612A4">
        <w:rPr>
          <w:rFonts w:ascii="Calibri" w:eastAsia="Times New Roman" w:hAnsi="Calibri" w:cs="Calibri"/>
          <w:color w:val="000000" w:themeColor="text1"/>
          <w:kern w:val="0"/>
          <w:lang w:eastAsia="en-GB"/>
          <w14:ligatures w14:val="none"/>
        </w:rPr>
        <w:t xml:space="preserve"> </w:t>
      </w:r>
      <w:r w:rsidR="00C612A4">
        <w:rPr>
          <w:rFonts w:ascii="Calibri" w:eastAsia="Times New Roman" w:hAnsi="Calibri" w:cs="Calibri"/>
          <w:color w:val="000000" w:themeColor="text1"/>
          <w:kern w:val="0"/>
          <w:lang w:eastAsia="en-GB"/>
          <w14:ligatures w14:val="none"/>
        </w:rPr>
        <w:t>the challenges with mens rea is that by trying to establish mens rea often relies on witness testimonies and circumstantial evidence surrounding the criminal act. Addressing the challenges requires ongoing efforts to reform the legal standards set and promote consistency in the case proceedings.</w:t>
      </w:r>
    </w:p>
    <w:p w14:paraId="4FF9C819" w14:textId="2524E731" w:rsidR="00145418" w:rsidRDefault="00145418" w:rsidP="00DB4723">
      <w:pPr>
        <w:autoSpaceDE w:val="0"/>
        <w:autoSpaceDN w:val="0"/>
        <w:adjustRightInd w:val="0"/>
        <w:rPr>
          <w:rFonts w:ascii="Calibri" w:eastAsia="Times New Roman" w:hAnsi="Calibri" w:cs="Calibri"/>
          <w:kern w:val="0"/>
          <w:lang w:eastAsia="en-GB"/>
          <w14:ligatures w14:val="none"/>
        </w:rPr>
      </w:pPr>
    </w:p>
    <w:p w14:paraId="55FDA291" w14:textId="77777777" w:rsidR="00C612A4" w:rsidRDefault="00C612A4" w:rsidP="00DB4723">
      <w:pPr>
        <w:autoSpaceDE w:val="0"/>
        <w:autoSpaceDN w:val="0"/>
        <w:adjustRightInd w:val="0"/>
        <w:rPr>
          <w:rFonts w:ascii="Calibri" w:eastAsia="Times New Roman" w:hAnsi="Calibri" w:cs="Calibri"/>
          <w:kern w:val="0"/>
          <w:lang w:eastAsia="en-GB"/>
          <w14:ligatures w14:val="none"/>
        </w:rPr>
      </w:pPr>
    </w:p>
    <w:p w14:paraId="54D11B45" w14:textId="2D351654" w:rsidR="00560B6C" w:rsidRPr="00C612A4" w:rsidRDefault="00560B6C">
      <w:pPr>
        <w:rPr>
          <w:rFonts w:ascii="Calibri" w:hAnsi="Calibri" w:cs="Calibri"/>
          <w:color w:val="2C3E50"/>
          <w:u w:val="single"/>
          <w:shd w:val="clear" w:color="auto" w:fill="FFFFFF"/>
        </w:rPr>
      </w:pPr>
      <w:r w:rsidRPr="00C612A4">
        <w:rPr>
          <w:rFonts w:ascii="Calibri" w:hAnsi="Calibri" w:cs="Calibri"/>
          <w:color w:val="2C3E50"/>
          <w:u w:val="single"/>
          <w:shd w:val="clear" w:color="auto" w:fill="FFFFFF"/>
        </w:rPr>
        <w:lastRenderedPageBreak/>
        <w:t>References</w:t>
      </w:r>
    </w:p>
    <w:p w14:paraId="7FC0F6A8" w14:textId="77777777" w:rsidR="00560B6C" w:rsidRDefault="00560B6C"/>
    <w:p w14:paraId="4DCA20A7" w14:textId="23A6002F" w:rsidR="00C612A4" w:rsidRDefault="00C612A4" w:rsidP="00C612A4">
      <w:pPr>
        <w:pStyle w:val="NormalWeb"/>
        <w:spacing w:before="0" w:beforeAutospacing="0" w:after="240" w:afterAutospacing="0" w:line="360" w:lineRule="atLeast"/>
        <w:rPr>
          <w:rFonts w:ascii="Calibri" w:hAnsi="Calibri" w:cs="Calibri"/>
          <w:color w:val="000000"/>
        </w:rPr>
      </w:pPr>
      <w:r w:rsidRPr="00C612A4">
        <w:rPr>
          <w:rFonts w:ascii="Calibri" w:hAnsi="Calibri" w:cs="Calibri"/>
          <w:color w:val="000000"/>
        </w:rPr>
        <w:t>Baker, B.M. (1987). Mens Rea, Negligence and Criminal Law Reform.</w:t>
      </w:r>
      <w:r w:rsidRPr="00C612A4">
        <w:rPr>
          <w:rStyle w:val="apple-converted-space"/>
          <w:rFonts w:ascii="Calibri" w:eastAsiaTheme="majorEastAsia" w:hAnsi="Calibri" w:cs="Calibri"/>
          <w:color w:val="000000"/>
        </w:rPr>
        <w:t> </w:t>
      </w:r>
      <w:r w:rsidRPr="00C612A4">
        <w:rPr>
          <w:rFonts w:ascii="Calibri" w:hAnsi="Calibri" w:cs="Calibri"/>
          <w:i/>
          <w:iCs/>
          <w:color w:val="000000"/>
        </w:rPr>
        <w:t>Law and Philosophy</w:t>
      </w:r>
      <w:r w:rsidRPr="00C612A4">
        <w:rPr>
          <w:rFonts w:ascii="Calibri" w:hAnsi="Calibri" w:cs="Calibri"/>
          <w:color w:val="000000"/>
        </w:rPr>
        <w:t xml:space="preserve">, [online] 6(1), pp.53–88. Available at: </w:t>
      </w:r>
      <w:hyperlink r:id="rId5" w:history="1">
        <w:r w:rsidRPr="00CF7745">
          <w:rPr>
            <w:rStyle w:val="Hyperlink"/>
            <w:rFonts w:ascii="Calibri" w:hAnsi="Calibri" w:cs="Calibri"/>
          </w:rPr>
          <w:t>https://www.jstor.org/stable/3504679</w:t>
        </w:r>
      </w:hyperlink>
      <w:r>
        <w:rPr>
          <w:rFonts w:ascii="Calibri" w:hAnsi="Calibri" w:cs="Calibri"/>
          <w:color w:val="000000"/>
        </w:rPr>
        <w:t xml:space="preserve"> </w:t>
      </w:r>
      <w:r w:rsidRPr="00C612A4">
        <w:rPr>
          <w:rFonts w:ascii="Calibri" w:hAnsi="Calibri" w:cs="Calibri"/>
          <w:color w:val="000000"/>
        </w:rPr>
        <w:t>[Accessed 8 Mar. 2024]</w:t>
      </w:r>
    </w:p>
    <w:p w14:paraId="38945752" w14:textId="753E574F" w:rsidR="00C612A4" w:rsidRPr="00C612A4" w:rsidRDefault="00C612A4" w:rsidP="00C612A4">
      <w:pPr>
        <w:pStyle w:val="NormalWeb"/>
        <w:spacing w:before="0" w:beforeAutospacing="0" w:after="240" w:afterAutospacing="0" w:line="360" w:lineRule="atLeast"/>
        <w:rPr>
          <w:rFonts w:ascii="Calibri" w:hAnsi="Calibri" w:cs="Calibri"/>
          <w:color w:val="000000"/>
        </w:rPr>
      </w:pPr>
      <w:r>
        <w:rPr>
          <w:rFonts w:ascii="Calibri" w:hAnsi="Calibri" w:cs="Calibri"/>
          <w:color w:val="000000"/>
        </w:rPr>
        <w:t>C</w:t>
      </w:r>
      <w:r w:rsidRPr="00C612A4">
        <w:rPr>
          <w:rFonts w:ascii="Calibri" w:hAnsi="Calibri" w:cs="Calibri"/>
          <w:color w:val="000000"/>
        </w:rPr>
        <w:t>ollege of policing (2016).</w:t>
      </w:r>
      <w:r w:rsidRPr="00C612A4">
        <w:rPr>
          <w:rStyle w:val="apple-converted-space"/>
          <w:rFonts w:ascii="Calibri" w:eastAsiaTheme="majorEastAsia" w:hAnsi="Calibri" w:cs="Calibri"/>
          <w:color w:val="000000"/>
        </w:rPr>
        <w:t> </w:t>
      </w:r>
      <w:r w:rsidRPr="00C612A4">
        <w:rPr>
          <w:rFonts w:ascii="Calibri" w:hAnsi="Calibri" w:cs="Calibri"/>
          <w:i/>
          <w:iCs/>
          <w:color w:val="000000"/>
        </w:rPr>
        <w:t>Mental Health and the Criminal Justice System | College of Policing</w:t>
      </w:r>
      <w:r w:rsidRPr="00C612A4">
        <w:rPr>
          <w:rFonts w:ascii="Calibri" w:hAnsi="Calibri" w:cs="Calibri"/>
          <w:color w:val="000000"/>
        </w:rPr>
        <w:t xml:space="preserve">. [online] www.college.police.uk. Available at: </w:t>
      </w:r>
      <w:hyperlink r:id="rId6" w:history="1">
        <w:r w:rsidRPr="00CF7745">
          <w:rPr>
            <w:rStyle w:val="Hyperlink"/>
            <w:rFonts w:ascii="Calibri" w:hAnsi="Calibri" w:cs="Calibri"/>
          </w:rPr>
          <w:t>https://www.college.police.uk/app/mental-health/mental-health-and-criminal-justice-system#:~:text=Mens%20rea%20is%20a%20different</w:t>
        </w:r>
      </w:hyperlink>
      <w:r>
        <w:rPr>
          <w:rFonts w:ascii="Calibri" w:hAnsi="Calibri" w:cs="Calibri"/>
          <w:color w:val="000000"/>
        </w:rPr>
        <w:t xml:space="preserve"> </w:t>
      </w:r>
      <w:r w:rsidRPr="00C612A4">
        <w:rPr>
          <w:rFonts w:ascii="Calibri" w:hAnsi="Calibri" w:cs="Calibri"/>
          <w:color w:val="000000"/>
        </w:rPr>
        <w:t>[Accessed 8 Mar. 2024].</w:t>
      </w:r>
    </w:p>
    <w:p w14:paraId="5E537BDC" w14:textId="7DAB605A" w:rsidR="00C612A4" w:rsidRPr="00C612A4" w:rsidRDefault="00C612A4" w:rsidP="00C612A4">
      <w:pPr>
        <w:pStyle w:val="NormalWeb"/>
        <w:spacing w:before="0" w:beforeAutospacing="0" w:after="240" w:afterAutospacing="0" w:line="360" w:lineRule="atLeast"/>
        <w:rPr>
          <w:rFonts w:ascii="Calibri" w:hAnsi="Calibri" w:cs="Calibri"/>
          <w:color w:val="000000"/>
        </w:rPr>
      </w:pPr>
      <w:r w:rsidRPr="00C612A4">
        <w:rPr>
          <w:rFonts w:ascii="Calibri" w:hAnsi="Calibri" w:cs="Calibri"/>
          <w:color w:val="000000"/>
        </w:rPr>
        <w:t>Crown Prosecution Service (2019).</w:t>
      </w:r>
      <w:r w:rsidRPr="00C612A4">
        <w:rPr>
          <w:rStyle w:val="apple-converted-space"/>
          <w:rFonts w:ascii="Calibri" w:eastAsiaTheme="majorEastAsia" w:hAnsi="Calibri" w:cs="Calibri"/>
          <w:color w:val="000000"/>
        </w:rPr>
        <w:t> </w:t>
      </w:r>
      <w:r w:rsidRPr="00C612A4">
        <w:rPr>
          <w:rFonts w:ascii="Calibri" w:hAnsi="Calibri" w:cs="Calibri"/>
          <w:i/>
          <w:iCs/>
          <w:color w:val="000000"/>
        </w:rPr>
        <w:t>Mental Health Conditions and Disorders: Draft Prosecution Guidance | The Crown Prosecution Service</w:t>
      </w:r>
      <w:r w:rsidRPr="00C612A4">
        <w:rPr>
          <w:rFonts w:ascii="Calibri" w:hAnsi="Calibri" w:cs="Calibri"/>
          <w:color w:val="000000"/>
        </w:rPr>
        <w:t xml:space="preserve">. CPS.gov.uk. Available at: </w:t>
      </w:r>
      <w:hyperlink r:id="rId7" w:history="1">
        <w:r w:rsidRPr="00CF7745">
          <w:rPr>
            <w:rStyle w:val="Hyperlink"/>
            <w:rFonts w:ascii="Calibri" w:hAnsi="Calibri" w:cs="Calibri"/>
          </w:rPr>
          <w:t>https://www.cps.gov.uk/publication/mental-health-conditions-and-disorders-draft-prosecution-guidance</w:t>
        </w:r>
      </w:hyperlink>
      <w:r>
        <w:rPr>
          <w:rFonts w:ascii="Calibri" w:hAnsi="Calibri" w:cs="Calibri"/>
          <w:color w:val="000000"/>
        </w:rPr>
        <w:t xml:space="preserve"> </w:t>
      </w:r>
      <w:r w:rsidRPr="00C612A4">
        <w:rPr>
          <w:rFonts w:ascii="Calibri" w:hAnsi="Calibri" w:cs="Calibri"/>
          <w:color w:val="000000"/>
        </w:rPr>
        <w:t>[Accessed 1 Mar. 2024]</w:t>
      </w:r>
    </w:p>
    <w:p w14:paraId="43C394EB" w14:textId="77777777" w:rsidR="00C612A4" w:rsidRPr="00C612A4" w:rsidRDefault="00C612A4" w:rsidP="00C612A4">
      <w:pPr>
        <w:pStyle w:val="NormalWeb"/>
        <w:spacing w:before="0" w:beforeAutospacing="0" w:after="240" w:afterAutospacing="0" w:line="360" w:lineRule="atLeast"/>
        <w:rPr>
          <w:rFonts w:ascii="Calibri" w:hAnsi="Calibri" w:cs="Calibri"/>
          <w:color w:val="000000"/>
        </w:rPr>
      </w:pPr>
      <w:r w:rsidRPr="00C612A4">
        <w:rPr>
          <w:rFonts w:ascii="Calibri" w:hAnsi="Calibri" w:cs="Calibri"/>
          <w:color w:val="000000"/>
        </w:rPr>
        <w:t>Finch, E. and Fafinski, S. (2018).</w:t>
      </w:r>
      <w:r w:rsidRPr="00C612A4">
        <w:rPr>
          <w:rStyle w:val="apple-converted-space"/>
          <w:rFonts w:ascii="Calibri" w:eastAsiaTheme="majorEastAsia" w:hAnsi="Calibri" w:cs="Calibri"/>
          <w:color w:val="000000"/>
        </w:rPr>
        <w:t> </w:t>
      </w:r>
      <w:r w:rsidRPr="00C612A4">
        <w:rPr>
          <w:rFonts w:ascii="Calibri" w:hAnsi="Calibri" w:cs="Calibri"/>
          <w:i/>
          <w:iCs/>
          <w:color w:val="000000"/>
        </w:rPr>
        <w:t>Law Express: Criminal Law</w:t>
      </w:r>
      <w:r w:rsidRPr="00C612A4">
        <w:rPr>
          <w:rFonts w:ascii="Calibri" w:hAnsi="Calibri" w:cs="Calibri"/>
          <w:color w:val="000000"/>
        </w:rPr>
        <w:t>. Pearson UK, pp.22–55.</w:t>
      </w:r>
    </w:p>
    <w:p w14:paraId="4134C7B9" w14:textId="0C85A22D" w:rsidR="00C612A4" w:rsidRPr="00C612A4" w:rsidRDefault="00C612A4" w:rsidP="00C612A4">
      <w:pPr>
        <w:pStyle w:val="NormalWeb"/>
        <w:spacing w:before="0" w:beforeAutospacing="0" w:after="240" w:afterAutospacing="0" w:line="360" w:lineRule="atLeast"/>
        <w:rPr>
          <w:rFonts w:ascii="Calibri" w:hAnsi="Calibri" w:cs="Calibri"/>
          <w:color w:val="000000"/>
        </w:rPr>
      </w:pPr>
      <w:r w:rsidRPr="00C612A4">
        <w:rPr>
          <w:rFonts w:ascii="Calibri" w:hAnsi="Calibri" w:cs="Calibri"/>
          <w:color w:val="000000"/>
        </w:rPr>
        <w:t>House of Lords (2019).</w:t>
      </w:r>
      <w:r w:rsidRPr="00C612A4">
        <w:rPr>
          <w:rStyle w:val="apple-converted-space"/>
          <w:rFonts w:ascii="Calibri" w:eastAsiaTheme="majorEastAsia" w:hAnsi="Calibri" w:cs="Calibri"/>
          <w:color w:val="000000"/>
        </w:rPr>
        <w:t> </w:t>
      </w:r>
      <w:r w:rsidRPr="00C612A4">
        <w:rPr>
          <w:rFonts w:ascii="Calibri" w:hAnsi="Calibri" w:cs="Calibri"/>
          <w:i/>
          <w:iCs/>
          <w:color w:val="000000"/>
        </w:rPr>
        <w:t xml:space="preserve">House of Lords - Regina v. </w:t>
      </w:r>
      <w:proofErr w:type="spellStart"/>
      <w:r w:rsidRPr="00C612A4">
        <w:rPr>
          <w:rFonts w:ascii="Calibri" w:hAnsi="Calibri" w:cs="Calibri"/>
          <w:i/>
          <w:iCs/>
          <w:color w:val="000000"/>
        </w:rPr>
        <w:t>Woollin</w:t>
      </w:r>
      <w:proofErr w:type="spellEnd"/>
      <w:r w:rsidRPr="00C612A4">
        <w:rPr>
          <w:rFonts w:ascii="Calibri" w:hAnsi="Calibri" w:cs="Calibri"/>
          <w:color w:val="000000"/>
        </w:rPr>
        <w:t xml:space="preserve">. Parliament.uk. Available at: </w:t>
      </w:r>
      <w:hyperlink r:id="rId8" w:history="1">
        <w:r w:rsidRPr="00CF7745">
          <w:rPr>
            <w:rStyle w:val="Hyperlink"/>
            <w:rFonts w:ascii="Calibri" w:hAnsi="Calibri" w:cs="Calibri"/>
          </w:rPr>
          <w:t>https://publications.parliament.uk/pa/ld199798/ldjudgmt/jd980722/wool.htm</w:t>
        </w:r>
      </w:hyperlink>
      <w:r>
        <w:rPr>
          <w:rFonts w:ascii="Calibri" w:hAnsi="Calibri" w:cs="Calibri"/>
          <w:color w:val="000000"/>
        </w:rPr>
        <w:t xml:space="preserve"> </w:t>
      </w:r>
      <w:r w:rsidRPr="00C612A4">
        <w:rPr>
          <w:rFonts w:ascii="Calibri" w:hAnsi="Calibri" w:cs="Calibri"/>
          <w:color w:val="000000"/>
        </w:rPr>
        <w:t>[Accessed 5 Mar. 2024]</w:t>
      </w:r>
    </w:p>
    <w:p w14:paraId="20DEE192" w14:textId="77D39EF2" w:rsidR="00C612A4" w:rsidRPr="00C612A4" w:rsidRDefault="00C612A4" w:rsidP="00C612A4">
      <w:pPr>
        <w:pStyle w:val="NormalWeb"/>
        <w:spacing w:before="0" w:beforeAutospacing="0" w:after="240" w:afterAutospacing="0" w:line="360" w:lineRule="atLeast"/>
        <w:rPr>
          <w:rFonts w:ascii="Calibri" w:hAnsi="Calibri" w:cs="Calibri"/>
          <w:color w:val="000000"/>
        </w:rPr>
      </w:pPr>
      <w:r w:rsidRPr="00C612A4">
        <w:rPr>
          <w:rFonts w:ascii="Calibri" w:hAnsi="Calibri" w:cs="Calibri"/>
          <w:color w:val="000000"/>
        </w:rPr>
        <w:t>Ignachkov, B. (2023).</w:t>
      </w:r>
      <w:r w:rsidRPr="00C612A4">
        <w:rPr>
          <w:rStyle w:val="apple-converted-space"/>
          <w:rFonts w:ascii="Calibri" w:eastAsiaTheme="majorEastAsia" w:hAnsi="Calibri" w:cs="Calibri"/>
          <w:color w:val="000000"/>
        </w:rPr>
        <w:t> </w:t>
      </w:r>
      <w:r w:rsidRPr="00C612A4">
        <w:rPr>
          <w:rFonts w:ascii="Calibri" w:hAnsi="Calibri" w:cs="Calibri"/>
          <w:i/>
          <w:iCs/>
          <w:color w:val="000000"/>
        </w:rPr>
        <w:t>Case Summary: Hyam V DPP [1975] AC 55</w:t>
      </w:r>
      <w:r w:rsidRPr="00C612A4">
        <w:rPr>
          <w:rFonts w:ascii="Calibri" w:hAnsi="Calibri" w:cs="Calibri"/>
          <w:color w:val="000000"/>
        </w:rPr>
        <w:t xml:space="preserve">. </w:t>
      </w:r>
      <w:proofErr w:type="gramStart"/>
      <w:r w:rsidRPr="00C612A4">
        <w:rPr>
          <w:rFonts w:ascii="Calibri" w:hAnsi="Calibri" w:cs="Calibri"/>
          <w:color w:val="000000"/>
        </w:rPr>
        <w:t>Careerinlaw.net .</w:t>
      </w:r>
      <w:proofErr w:type="gramEnd"/>
      <w:r w:rsidRPr="00C612A4">
        <w:rPr>
          <w:rFonts w:ascii="Calibri" w:hAnsi="Calibri" w:cs="Calibri"/>
          <w:color w:val="000000"/>
        </w:rPr>
        <w:t xml:space="preserve"> Available at:</w:t>
      </w:r>
      <w:r>
        <w:rPr>
          <w:rFonts w:ascii="Calibri" w:hAnsi="Calibri" w:cs="Calibri"/>
          <w:color w:val="000000"/>
        </w:rPr>
        <w:t xml:space="preserve"> </w:t>
      </w:r>
      <w:hyperlink r:id="rId9" w:history="1">
        <w:r w:rsidRPr="00CF7745">
          <w:rPr>
            <w:rStyle w:val="Hyperlink"/>
            <w:rFonts w:ascii="Calibri" w:hAnsi="Calibri" w:cs="Calibri"/>
          </w:rPr>
          <w:t>https://careerinlaw.net/uk/case-summary-hyam-v-dpp-1975-ac-55</w:t>
        </w:r>
      </w:hyperlink>
      <w:r>
        <w:rPr>
          <w:rFonts w:ascii="Calibri" w:hAnsi="Calibri" w:cs="Calibri"/>
          <w:color w:val="000000"/>
        </w:rPr>
        <w:t xml:space="preserve"> </w:t>
      </w:r>
      <w:r w:rsidRPr="00C612A4">
        <w:rPr>
          <w:rFonts w:ascii="Calibri" w:hAnsi="Calibri" w:cs="Calibri"/>
          <w:color w:val="000000"/>
        </w:rPr>
        <w:t>[Accessed 12 Feb. 2024]</w:t>
      </w:r>
    </w:p>
    <w:p w14:paraId="21805DF5" w14:textId="1D7DA29A" w:rsidR="00C612A4" w:rsidRDefault="00C612A4" w:rsidP="00C612A4">
      <w:pPr>
        <w:pStyle w:val="NormalWeb"/>
        <w:spacing w:before="0" w:beforeAutospacing="0" w:after="240" w:afterAutospacing="0" w:line="360" w:lineRule="atLeast"/>
        <w:rPr>
          <w:rFonts w:ascii="Calibri" w:hAnsi="Calibri" w:cs="Calibri"/>
          <w:color w:val="000000"/>
        </w:rPr>
      </w:pPr>
      <w:r w:rsidRPr="00C612A4">
        <w:rPr>
          <w:rFonts w:ascii="Calibri" w:hAnsi="Calibri" w:cs="Calibri"/>
          <w:color w:val="000000"/>
        </w:rPr>
        <w:t>Neu, J. (2012). Minds on Trial.</w:t>
      </w:r>
      <w:r w:rsidRPr="00C612A4">
        <w:rPr>
          <w:rStyle w:val="apple-converted-space"/>
          <w:rFonts w:ascii="Calibri" w:eastAsiaTheme="majorEastAsia" w:hAnsi="Calibri" w:cs="Calibri"/>
          <w:color w:val="000000"/>
        </w:rPr>
        <w:t> </w:t>
      </w:r>
      <w:r w:rsidRPr="00C612A4">
        <w:rPr>
          <w:rFonts w:ascii="Calibri" w:hAnsi="Calibri" w:cs="Calibri"/>
          <w:i/>
          <w:iCs/>
          <w:color w:val="000000"/>
        </w:rPr>
        <w:t>Oxford University Press eBooks</w:t>
      </w:r>
      <w:r w:rsidRPr="00C612A4">
        <w:rPr>
          <w:rFonts w:ascii="Calibri" w:hAnsi="Calibri" w:cs="Calibri"/>
          <w:color w:val="000000"/>
        </w:rPr>
        <w:t>, pp.129–158.</w:t>
      </w:r>
      <w:r>
        <w:rPr>
          <w:rFonts w:ascii="Calibri" w:hAnsi="Calibri" w:cs="Calibri"/>
          <w:color w:val="000000"/>
        </w:rPr>
        <w:t xml:space="preserve">  </w:t>
      </w:r>
      <w:hyperlink r:id="rId10" w:history="1">
        <w:r w:rsidRPr="00CF7745">
          <w:rPr>
            <w:rStyle w:val="Hyperlink"/>
            <w:rFonts w:ascii="Calibri" w:hAnsi="Calibri" w:cs="Calibri"/>
          </w:rPr>
          <w:t>https://doi.org/10.1093/acprof:oso/97801998629</w:t>
        </w:r>
        <w:r w:rsidRPr="00CF7745">
          <w:rPr>
            <w:rStyle w:val="Hyperlink"/>
            <w:rFonts w:ascii="Calibri" w:hAnsi="Calibri" w:cs="Calibri"/>
          </w:rPr>
          <w:t>8</w:t>
        </w:r>
        <w:r w:rsidRPr="00CF7745">
          <w:rPr>
            <w:rStyle w:val="Hyperlink"/>
            <w:rFonts w:ascii="Calibri" w:hAnsi="Calibri" w:cs="Calibri"/>
          </w:rPr>
          <w:t>6.003.0008</w:t>
        </w:r>
      </w:hyperlink>
      <w:r w:rsidRPr="00C612A4">
        <w:rPr>
          <w:rFonts w:ascii="Calibri" w:hAnsi="Calibri" w:cs="Calibri"/>
          <w:color w:val="000000"/>
        </w:rPr>
        <w:t>.</w:t>
      </w:r>
      <w:r>
        <w:rPr>
          <w:rFonts w:ascii="Calibri" w:hAnsi="Calibri" w:cs="Calibri"/>
          <w:color w:val="000000"/>
        </w:rPr>
        <w:t xml:space="preserve"> [Accessed 8 Mar. 2024]</w:t>
      </w:r>
    </w:p>
    <w:p w14:paraId="56B11D69" w14:textId="77777777" w:rsidR="00C612A4" w:rsidRPr="00C612A4" w:rsidRDefault="00C612A4" w:rsidP="00C612A4">
      <w:pPr>
        <w:pStyle w:val="NormalWeb"/>
        <w:spacing w:before="0" w:beforeAutospacing="0" w:after="240" w:afterAutospacing="0" w:line="360" w:lineRule="atLeast"/>
        <w:rPr>
          <w:rFonts w:ascii="Calibri" w:hAnsi="Calibri" w:cs="Calibri"/>
          <w:color w:val="000000"/>
        </w:rPr>
      </w:pPr>
      <w:r w:rsidRPr="00C612A4">
        <w:rPr>
          <w:rFonts w:ascii="Calibri" w:hAnsi="Calibri" w:cs="Calibri"/>
          <w:color w:val="000000"/>
        </w:rPr>
        <w:t>Reed, A. and Bohlander, M. (2018).</w:t>
      </w:r>
      <w:r w:rsidRPr="00C612A4">
        <w:rPr>
          <w:rStyle w:val="apple-converted-space"/>
          <w:rFonts w:ascii="Calibri" w:eastAsiaTheme="majorEastAsia" w:hAnsi="Calibri" w:cs="Calibri"/>
          <w:color w:val="000000"/>
        </w:rPr>
        <w:t> </w:t>
      </w:r>
      <w:r w:rsidRPr="00C612A4">
        <w:rPr>
          <w:rFonts w:ascii="Calibri" w:hAnsi="Calibri" w:cs="Calibri"/>
          <w:i/>
          <w:iCs/>
          <w:color w:val="000000"/>
        </w:rPr>
        <w:t>Homicide in Criminal Law</w:t>
      </w:r>
      <w:r w:rsidRPr="00C612A4">
        <w:rPr>
          <w:rFonts w:ascii="Calibri" w:hAnsi="Calibri" w:cs="Calibri"/>
          <w:color w:val="000000"/>
        </w:rPr>
        <w:t>. Routledge, pp.2–7.</w:t>
      </w:r>
    </w:p>
    <w:p w14:paraId="6CFC4A5A" w14:textId="241A8E9F" w:rsidR="00560B6C" w:rsidRPr="00C612A4" w:rsidRDefault="00C612A4" w:rsidP="00560B6C">
      <w:pPr>
        <w:pStyle w:val="NormalWeb"/>
        <w:spacing w:before="0" w:beforeAutospacing="0" w:after="240" w:afterAutospacing="0" w:line="360" w:lineRule="atLeast"/>
        <w:rPr>
          <w:rFonts w:ascii="Calibri" w:hAnsi="Calibri" w:cs="Calibri"/>
          <w:color w:val="000000"/>
          <w:u w:val="single"/>
        </w:rPr>
      </w:pPr>
      <w:r w:rsidRPr="00C612A4">
        <w:rPr>
          <w:rFonts w:ascii="Calibri" w:hAnsi="Calibri" w:cs="Calibri"/>
          <w:color w:val="000000"/>
          <w:u w:val="single"/>
        </w:rPr>
        <w:t>Cases</w:t>
      </w:r>
    </w:p>
    <w:p w14:paraId="6EA93F1F" w14:textId="77777777" w:rsidR="00C612A4" w:rsidRDefault="00C612A4">
      <w:pPr>
        <w:rPr>
          <w:rFonts w:ascii="Calibri" w:hAnsi="Calibri" w:cs="Calibri"/>
          <w:color w:val="000000" w:themeColor="text1"/>
        </w:rPr>
      </w:pPr>
      <w:r w:rsidRPr="00C612A4">
        <w:rPr>
          <w:rFonts w:ascii="Calibri" w:hAnsi="Calibri" w:cs="Calibri"/>
          <w:color w:val="000000" w:themeColor="text1"/>
        </w:rPr>
        <w:t xml:space="preserve">Fagan V Metropolitan Police Commissioner </w:t>
      </w:r>
      <w:r>
        <w:rPr>
          <w:rFonts w:ascii="Calibri" w:hAnsi="Calibri" w:cs="Calibri"/>
          <w:color w:val="000000" w:themeColor="text1"/>
        </w:rPr>
        <w:t>[1</w:t>
      </w:r>
      <w:r w:rsidRPr="00C612A4">
        <w:rPr>
          <w:rFonts w:ascii="Calibri" w:hAnsi="Calibri" w:cs="Calibri"/>
          <w:color w:val="000000" w:themeColor="text1"/>
        </w:rPr>
        <w:t>969</w:t>
      </w:r>
      <w:r>
        <w:rPr>
          <w:rFonts w:ascii="Calibri" w:hAnsi="Calibri" w:cs="Calibri"/>
          <w:color w:val="000000" w:themeColor="text1"/>
        </w:rPr>
        <w:t>]</w:t>
      </w:r>
    </w:p>
    <w:p w14:paraId="2CFCF7D6" w14:textId="77777777" w:rsidR="00C612A4" w:rsidRDefault="00C612A4">
      <w:pPr>
        <w:rPr>
          <w:rStyle w:val="Strong"/>
          <w:rFonts w:ascii="Calibri" w:hAnsi="Calibri" w:cs="Calibri"/>
          <w:b w:val="0"/>
          <w:bCs w:val="0"/>
          <w:color w:val="000000" w:themeColor="text1"/>
        </w:rPr>
      </w:pPr>
    </w:p>
    <w:p w14:paraId="6DE77368" w14:textId="27DB8EAB" w:rsidR="00C612A4" w:rsidRDefault="00C612A4">
      <w:pPr>
        <w:rPr>
          <w:rStyle w:val="Strong"/>
          <w:rFonts w:ascii="Calibri" w:hAnsi="Calibri" w:cs="Calibri"/>
          <w:b w:val="0"/>
          <w:bCs w:val="0"/>
          <w:color w:val="000000" w:themeColor="text1"/>
        </w:rPr>
      </w:pPr>
      <w:r w:rsidRPr="00C612A4">
        <w:rPr>
          <w:rStyle w:val="Strong"/>
          <w:rFonts w:ascii="Calibri" w:hAnsi="Calibri" w:cs="Calibri"/>
          <w:b w:val="0"/>
          <w:bCs w:val="0"/>
          <w:color w:val="000000" w:themeColor="text1"/>
        </w:rPr>
        <w:t>Hyam v DPP</w:t>
      </w:r>
      <w:r w:rsidRPr="00C612A4">
        <w:rPr>
          <w:rStyle w:val="apple-converted-space"/>
          <w:rFonts w:ascii="Calibri" w:hAnsi="Calibri" w:cs="Calibri"/>
          <w:b/>
          <w:bCs/>
          <w:color w:val="000000" w:themeColor="text1"/>
        </w:rPr>
        <w:t> </w:t>
      </w:r>
      <w:r>
        <w:rPr>
          <w:rStyle w:val="Strong"/>
          <w:rFonts w:ascii="Calibri" w:hAnsi="Calibri" w:cs="Calibri"/>
          <w:b w:val="0"/>
          <w:bCs w:val="0"/>
          <w:color w:val="000000" w:themeColor="text1"/>
        </w:rPr>
        <w:t>[</w:t>
      </w:r>
      <w:r w:rsidRPr="00C612A4">
        <w:rPr>
          <w:rStyle w:val="Strong"/>
          <w:rFonts w:ascii="Calibri" w:hAnsi="Calibri" w:cs="Calibri"/>
          <w:b w:val="0"/>
          <w:bCs w:val="0"/>
          <w:color w:val="000000" w:themeColor="text1"/>
        </w:rPr>
        <w:t>1975</w:t>
      </w:r>
      <w:r>
        <w:rPr>
          <w:rStyle w:val="Strong"/>
          <w:rFonts w:ascii="Calibri" w:hAnsi="Calibri" w:cs="Calibri"/>
          <w:b w:val="0"/>
          <w:bCs w:val="0"/>
          <w:color w:val="000000" w:themeColor="text1"/>
        </w:rPr>
        <w:t>]</w:t>
      </w:r>
    </w:p>
    <w:p w14:paraId="7F47823A" w14:textId="77777777" w:rsidR="00C612A4" w:rsidRDefault="00C612A4">
      <w:pPr>
        <w:rPr>
          <w:rFonts w:ascii="Calibri" w:hAnsi="Calibri" w:cs="Calibri"/>
          <w:color w:val="000000" w:themeColor="text1"/>
          <w:kern w:val="0"/>
        </w:rPr>
      </w:pPr>
    </w:p>
    <w:p w14:paraId="6343533E" w14:textId="7FBC8BAE" w:rsidR="00C612A4" w:rsidRDefault="00C612A4">
      <w:pPr>
        <w:rPr>
          <w:rFonts w:ascii="Calibri" w:hAnsi="Calibri" w:cs="Calibri"/>
          <w:color w:val="000000" w:themeColor="text1"/>
          <w:kern w:val="0"/>
        </w:rPr>
      </w:pPr>
      <w:r w:rsidRPr="00C612A4">
        <w:rPr>
          <w:rFonts w:ascii="Calibri" w:hAnsi="Calibri" w:cs="Calibri"/>
          <w:color w:val="000000" w:themeColor="text1"/>
          <w:kern w:val="0"/>
        </w:rPr>
        <w:t xml:space="preserve">R v Caldwell </w:t>
      </w:r>
      <w:r>
        <w:rPr>
          <w:rFonts w:ascii="Calibri" w:hAnsi="Calibri" w:cs="Calibri"/>
          <w:color w:val="000000" w:themeColor="text1"/>
          <w:kern w:val="0"/>
        </w:rPr>
        <w:t>[</w:t>
      </w:r>
      <w:r w:rsidRPr="00C612A4">
        <w:rPr>
          <w:rFonts w:ascii="Calibri" w:hAnsi="Calibri" w:cs="Calibri"/>
          <w:color w:val="000000" w:themeColor="text1"/>
          <w:kern w:val="0"/>
        </w:rPr>
        <w:t>1982</w:t>
      </w:r>
      <w:r>
        <w:rPr>
          <w:rFonts w:ascii="Calibri" w:hAnsi="Calibri" w:cs="Calibri"/>
          <w:color w:val="000000" w:themeColor="text1"/>
          <w:kern w:val="0"/>
        </w:rPr>
        <w:t>]</w:t>
      </w:r>
    </w:p>
    <w:p w14:paraId="5FCE4BA9" w14:textId="77777777" w:rsidR="00C612A4" w:rsidRDefault="00C612A4">
      <w:pPr>
        <w:rPr>
          <w:rFonts w:ascii="Calibri" w:hAnsi="Calibri" w:cs="Calibri"/>
          <w:color w:val="000000" w:themeColor="text1"/>
          <w:kern w:val="0"/>
        </w:rPr>
      </w:pPr>
    </w:p>
    <w:p w14:paraId="28DD521C" w14:textId="755BDA30" w:rsidR="00C612A4" w:rsidRDefault="00C612A4">
      <w:pPr>
        <w:rPr>
          <w:rFonts w:ascii="Calibri" w:hAnsi="Calibri" w:cs="Calibri"/>
          <w:color w:val="000000" w:themeColor="text1"/>
          <w:kern w:val="0"/>
        </w:rPr>
      </w:pPr>
      <w:r w:rsidRPr="00C612A4">
        <w:rPr>
          <w:rFonts w:ascii="Calibri" w:hAnsi="Calibri" w:cs="Calibri"/>
          <w:color w:val="000000" w:themeColor="text1"/>
          <w:kern w:val="0"/>
        </w:rPr>
        <w:t xml:space="preserve">R v Cunningham </w:t>
      </w:r>
      <w:r>
        <w:rPr>
          <w:rFonts w:ascii="Calibri" w:hAnsi="Calibri" w:cs="Calibri"/>
          <w:color w:val="000000" w:themeColor="text1"/>
          <w:kern w:val="0"/>
        </w:rPr>
        <w:t>[</w:t>
      </w:r>
      <w:r w:rsidRPr="00C612A4">
        <w:rPr>
          <w:rFonts w:ascii="Calibri" w:hAnsi="Calibri" w:cs="Calibri"/>
          <w:color w:val="000000" w:themeColor="text1"/>
          <w:kern w:val="0"/>
        </w:rPr>
        <w:t>1957</w:t>
      </w:r>
      <w:r>
        <w:rPr>
          <w:rFonts w:ascii="Calibri" w:hAnsi="Calibri" w:cs="Calibri"/>
          <w:color w:val="000000" w:themeColor="text1"/>
          <w:kern w:val="0"/>
        </w:rPr>
        <w:t>]</w:t>
      </w:r>
    </w:p>
    <w:p w14:paraId="21CB5F80" w14:textId="77777777" w:rsidR="00C612A4" w:rsidRDefault="00C612A4">
      <w:pPr>
        <w:rPr>
          <w:rFonts w:ascii="Calibri" w:hAnsi="Calibri" w:cs="Calibri"/>
          <w:color w:val="000000" w:themeColor="text1"/>
        </w:rPr>
      </w:pPr>
    </w:p>
    <w:p w14:paraId="4DA3B4D1" w14:textId="083985B7" w:rsidR="00C612A4" w:rsidRDefault="00C612A4">
      <w:pPr>
        <w:rPr>
          <w:rFonts w:ascii="Calibri" w:hAnsi="Calibri" w:cs="Calibri"/>
          <w:color w:val="000000" w:themeColor="text1"/>
          <w:kern w:val="0"/>
        </w:rPr>
      </w:pPr>
      <w:r w:rsidRPr="00C612A4">
        <w:rPr>
          <w:rFonts w:ascii="Calibri" w:hAnsi="Calibri" w:cs="Calibri"/>
          <w:color w:val="000000" w:themeColor="text1"/>
        </w:rPr>
        <w:t xml:space="preserve">R v Moloney </w:t>
      </w:r>
      <w:r>
        <w:rPr>
          <w:rFonts w:ascii="Calibri" w:hAnsi="Calibri" w:cs="Calibri"/>
          <w:color w:val="000000" w:themeColor="text1"/>
        </w:rPr>
        <w:t>[1</w:t>
      </w:r>
      <w:r w:rsidRPr="00C612A4">
        <w:rPr>
          <w:rFonts w:ascii="Calibri" w:hAnsi="Calibri" w:cs="Calibri"/>
          <w:color w:val="000000" w:themeColor="text1"/>
        </w:rPr>
        <w:t>985</w:t>
      </w:r>
      <w:r>
        <w:rPr>
          <w:rFonts w:ascii="Calibri" w:hAnsi="Calibri" w:cs="Calibri"/>
          <w:color w:val="000000" w:themeColor="text1"/>
        </w:rPr>
        <w:t>]</w:t>
      </w:r>
    </w:p>
    <w:p w14:paraId="5DDD2B7B" w14:textId="77777777" w:rsidR="00B743C4" w:rsidRDefault="00B743C4">
      <w:pPr>
        <w:rPr>
          <w:rFonts w:ascii="Calibri" w:hAnsi="Calibri" w:cs="Calibri"/>
          <w:color w:val="000000"/>
          <w:shd w:val="clear" w:color="auto" w:fill="FBFBFB"/>
        </w:rPr>
      </w:pPr>
    </w:p>
    <w:p w14:paraId="1C5C9C0E" w14:textId="71301D33" w:rsidR="00C612A4" w:rsidRDefault="00C612A4">
      <w:r>
        <w:rPr>
          <w:rFonts w:ascii="Calibri" w:hAnsi="Calibri" w:cs="Calibri"/>
          <w:color w:val="000000"/>
          <w:shd w:val="clear" w:color="auto" w:fill="FBFBFB"/>
        </w:rPr>
        <w:t xml:space="preserve">R v Nedrick </w:t>
      </w:r>
      <w:r>
        <w:rPr>
          <w:rFonts w:ascii="Calibri" w:hAnsi="Calibri" w:cs="Calibri"/>
          <w:color w:val="000000"/>
          <w:shd w:val="clear" w:color="auto" w:fill="FBFBFB"/>
        </w:rPr>
        <w:t>[</w:t>
      </w:r>
      <w:r>
        <w:rPr>
          <w:rFonts w:ascii="Calibri" w:hAnsi="Calibri" w:cs="Calibri"/>
          <w:color w:val="000000"/>
          <w:shd w:val="clear" w:color="auto" w:fill="FBFBFB"/>
        </w:rPr>
        <w:t>1986)</w:t>
      </w:r>
    </w:p>
    <w:sectPr w:rsidR="00C612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3D14E2"/>
    <w:multiLevelType w:val="multilevel"/>
    <w:tmpl w:val="CE1A63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616354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BB5"/>
    <w:rsid w:val="00034DDC"/>
    <w:rsid w:val="000976F5"/>
    <w:rsid w:val="000E36EC"/>
    <w:rsid w:val="000F7320"/>
    <w:rsid w:val="000F77AC"/>
    <w:rsid w:val="00145418"/>
    <w:rsid w:val="00382BB5"/>
    <w:rsid w:val="00464B17"/>
    <w:rsid w:val="00474BA2"/>
    <w:rsid w:val="0048670E"/>
    <w:rsid w:val="00560B6C"/>
    <w:rsid w:val="00823914"/>
    <w:rsid w:val="008553CE"/>
    <w:rsid w:val="008F695C"/>
    <w:rsid w:val="00B743C4"/>
    <w:rsid w:val="00C340D2"/>
    <w:rsid w:val="00C612A4"/>
    <w:rsid w:val="00CF697C"/>
    <w:rsid w:val="00D061F8"/>
    <w:rsid w:val="00D972F4"/>
    <w:rsid w:val="00DB4723"/>
    <w:rsid w:val="00F120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CB4210"/>
  <w15:chartTrackingRefBased/>
  <w15:docId w15:val="{DD600564-E239-9D4B-B4F7-E7BCF3AED1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2B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2B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2B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2B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2B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2BB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2BB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2BB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2BB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2B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2B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2B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2B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2B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2B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2B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2B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2BB5"/>
    <w:rPr>
      <w:rFonts w:eastAsiaTheme="majorEastAsia" w:cstheme="majorBidi"/>
      <w:color w:val="272727" w:themeColor="text1" w:themeTint="D8"/>
    </w:rPr>
  </w:style>
  <w:style w:type="paragraph" w:styleId="Title">
    <w:name w:val="Title"/>
    <w:basedOn w:val="Normal"/>
    <w:next w:val="Normal"/>
    <w:link w:val="TitleChar"/>
    <w:uiPriority w:val="10"/>
    <w:qFormat/>
    <w:rsid w:val="00382BB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2B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2BB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2B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2BB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82BB5"/>
    <w:rPr>
      <w:i/>
      <w:iCs/>
      <w:color w:val="404040" w:themeColor="text1" w:themeTint="BF"/>
    </w:rPr>
  </w:style>
  <w:style w:type="paragraph" w:styleId="ListParagraph">
    <w:name w:val="List Paragraph"/>
    <w:basedOn w:val="Normal"/>
    <w:uiPriority w:val="34"/>
    <w:qFormat/>
    <w:rsid w:val="00382BB5"/>
    <w:pPr>
      <w:ind w:left="720"/>
      <w:contextualSpacing/>
    </w:pPr>
  </w:style>
  <w:style w:type="character" w:styleId="IntenseEmphasis">
    <w:name w:val="Intense Emphasis"/>
    <w:basedOn w:val="DefaultParagraphFont"/>
    <w:uiPriority w:val="21"/>
    <w:qFormat/>
    <w:rsid w:val="00382BB5"/>
    <w:rPr>
      <w:i/>
      <w:iCs/>
      <w:color w:val="0F4761" w:themeColor="accent1" w:themeShade="BF"/>
    </w:rPr>
  </w:style>
  <w:style w:type="paragraph" w:styleId="IntenseQuote">
    <w:name w:val="Intense Quote"/>
    <w:basedOn w:val="Normal"/>
    <w:next w:val="Normal"/>
    <w:link w:val="IntenseQuoteChar"/>
    <w:uiPriority w:val="30"/>
    <w:qFormat/>
    <w:rsid w:val="00382B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2BB5"/>
    <w:rPr>
      <w:i/>
      <w:iCs/>
      <w:color w:val="0F4761" w:themeColor="accent1" w:themeShade="BF"/>
    </w:rPr>
  </w:style>
  <w:style w:type="character" w:styleId="IntenseReference">
    <w:name w:val="Intense Reference"/>
    <w:basedOn w:val="DefaultParagraphFont"/>
    <w:uiPriority w:val="32"/>
    <w:qFormat/>
    <w:rsid w:val="00382BB5"/>
    <w:rPr>
      <w:b/>
      <w:bCs/>
      <w:smallCaps/>
      <w:color w:val="0F4761" w:themeColor="accent1" w:themeShade="BF"/>
      <w:spacing w:val="5"/>
    </w:rPr>
  </w:style>
  <w:style w:type="paragraph" w:styleId="NormalWeb">
    <w:name w:val="Normal (Web)"/>
    <w:basedOn w:val="Normal"/>
    <w:uiPriority w:val="99"/>
    <w:semiHidden/>
    <w:unhideWhenUsed/>
    <w:rsid w:val="000E36EC"/>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label">
    <w:name w:val="label"/>
    <w:basedOn w:val="DefaultParagraphFont"/>
    <w:rsid w:val="000E36EC"/>
  </w:style>
  <w:style w:type="character" w:styleId="Hyperlink">
    <w:name w:val="Hyperlink"/>
    <w:basedOn w:val="DefaultParagraphFont"/>
    <w:uiPriority w:val="99"/>
    <w:unhideWhenUsed/>
    <w:rsid w:val="000E36EC"/>
    <w:rPr>
      <w:color w:val="0000FF"/>
      <w:u w:val="single"/>
    </w:rPr>
  </w:style>
  <w:style w:type="character" w:customStyle="1" w:styleId="apple-converted-space">
    <w:name w:val="apple-converted-space"/>
    <w:basedOn w:val="DefaultParagraphFont"/>
    <w:rsid w:val="00560B6C"/>
  </w:style>
  <w:style w:type="character" w:styleId="Emphasis">
    <w:name w:val="Emphasis"/>
    <w:basedOn w:val="DefaultParagraphFont"/>
    <w:uiPriority w:val="20"/>
    <w:qFormat/>
    <w:rsid w:val="000F7320"/>
    <w:rPr>
      <w:i/>
      <w:iCs/>
    </w:rPr>
  </w:style>
  <w:style w:type="character" w:styleId="Strong">
    <w:name w:val="Strong"/>
    <w:basedOn w:val="DefaultParagraphFont"/>
    <w:uiPriority w:val="22"/>
    <w:qFormat/>
    <w:rsid w:val="000F7320"/>
    <w:rPr>
      <w:b/>
      <w:bCs/>
    </w:rPr>
  </w:style>
  <w:style w:type="character" w:styleId="UnresolvedMention">
    <w:name w:val="Unresolved Mention"/>
    <w:basedOn w:val="DefaultParagraphFont"/>
    <w:uiPriority w:val="99"/>
    <w:semiHidden/>
    <w:unhideWhenUsed/>
    <w:rsid w:val="00C612A4"/>
    <w:rPr>
      <w:color w:val="605E5C"/>
      <w:shd w:val="clear" w:color="auto" w:fill="E1DFDD"/>
    </w:rPr>
  </w:style>
  <w:style w:type="character" w:styleId="FollowedHyperlink">
    <w:name w:val="FollowedHyperlink"/>
    <w:basedOn w:val="DefaultParagraphFont"/>
    <w:uiPriority w:val="99"/>
    <w:semiHidden/>
    <w:unhideWhenUsed/>
    <w:rsid w:val="00C612A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615793">
      <w:bodyDiv w:val="1"/>
      <w:marLeft w:val="0"/>
      <w:marRight w:val="0"/>
      <w:marTop w:val="0"/>
      <w:marBottom w:val="0"/>
      <w:divBdr>
        <w:top w:val="none" w:sz="0" w:space="0" w:color="auto"/>
        <w:left w:val="none" w:sz="0" w:space="0" w:color="auto"/>
        <w:bottom w:val="none" w:sz="0" w:space="0" w:color="auto"/>
        <w:right w:val="none" w:sz="0" w:space="0" w:color="auto"/>
      </w:divBdr>
    </w:div>
    <w:div w:id="68158477">
      <w:bodyDiv w:val="1"/>
      <w:marLeft w:val="0"/>
      <w:marRight w:val="0"/>
      <w:marTop w:val="0"/>
      <w:marBottom w:val="0"/>
      <w:divBdr>
        <w:top w:val="none" w:sz="0" w:space="0" w:color="auto"/>
        <w:left w:val="none" w:sz="0" w:space="0" w:color="auto"/>
        <w:bottom w:val="none" w:sz="0" w:space="0" w:color="auto"/>
        <w:right w:val="none" w:sz="0" w:space="0" w:color="auto"/>
      </w:divBdr>
      <w:divsChild>
        <w:div w:id="226496079">
          <w:marLeft w:val="300"/>
          <w:marRight w:val="0"/>
          <w:marTop w:val="0"/>
          <w:marBottom w:val="300"/>
          <w:divBdr>
            <w:top w:val="none" w:sz="0" w:space="0" w:color="auto"/>
            <w:left w:val="none" w:sz="0" w:space="0" w:color="auto"/>
            <w:bottom w:val="none" w:sz="0" w:space="0" w:color="auto"/>
            <w:right w:val="none" w:sz="0" w:space="0" w:color="auto"/>
          </w:divBdr>
        </w:div>
        <w:div w:id="1948586592">
          <w:marLeft w:val="0"/>
          <w:marRight w:val="0"/>
          <w:marTop w:val="0"/>
          <w:marBottom w:val="0"/>
          <w:divBdr>
            <w:top w:val="none" w:sz="0" w:space="0" w:color="auto"/>
            <w:left w:val="none" w:sz="0" w:space="0" w:color="auto"/>
            <w:bottom w:val="none" w:sz="0" w:space="0" w:color="auto"/>
            <w:right w:val="none" w:sz="0" w:space="0" w:color="auto"/>
          </w:divBdr>
        </w:div>
      </w:divsChild>
    </w:div>
    <w:div w:id="106510782">
      <w:bodyDiv w:val="1"/>
      <w:marLeft w:val="0"/>
      <w:marRight w:val="0"/>
      <w:marTop w:val="0"/>
      <w:marBottom w:val="0"/>
      <w:divBdr>
        <w:top w:val="none" w:sz="0" w:space="0" w:color="auto"/>
        <w:left w:val="none" w:sz="0" w:space="0" w:color="auto"/>
        <w:bottom w:val="none" w:sz="0" w:space="0" w:color="auto"/>
        <w:right w:val="none" w:sz="0" w:space="0" w:color="auto"/>
      </w:divBdr>
    </w:div>
    <w:div w:id="148332215">
      <w:bodyDiv w:val="1"/>
      <w:marLeft w:val="0"/>
      <w:marRight w:val="0"/>
      <w:marTop w:val="0"/>
      <w:marBottom w:val="0"/>
      <w:divBdr>
        <w:top w:val="none" w:sz="0" w:space="0" w:color="auto"/>
        <w:left w:val="none" w:sz="0" w:space="0" w:color="auto"/>
        <w:bottom w:val="none" w:sz="0" w:space="0" w:color="auto"/>
        <w:right w:val="none" w:sz="0" w:space="0" w:color="auto"/>
      </w:divBdr>
      <w:divsChild>
        <w:div w:id="1633360131">
          <w:marLeft w:val="0"/>
          <w:marRight w:val="0"/>
          <w:marTop w:val="0"/>
          <w:marBottom w:val="0"/>
          <w:divBdr>
            <w:top w:val="none" w:sz="0" w:space="0" w:color="auto"/>
            <w:left w:val="none" w:sz="0" w:space="0" w:color="auto"/>
            <w:bottom w:val="none" w:sz="0" w:space="0" w:color="auto"/>
            <w:right w:val="none" w:sz="0" w:space="0" w:color="auto"/>
          </w:divBdr>
        </w:div>
      </w:divsChild>
    </w:div>
    <w:div w:id="191651751">
      <w:bodyDiv w:val="1"/>
      <w:marLeft w:val="0"/>
      <w:marRight w:val="0"/>
      <w:marTop w:val="0"/>
      <w:marBottom w:val="0"/>
      <w:divBdr>
        <w:top w:val="none" w:sz="0" w:space="0" w:color="auto"/>
        <w:left w:val="none" w:sz="0" w:space="0" w:color="auto"/>
        <w:bottom w:val="none" w:sz="0" w:space="0" w:color="auto"/>
        <w:right w:val="none" w:sz="0" w:space="0" w:color="auto"/>
      </w:divBdr>
      <w:divsChild>
        <w:div w:id="1430203252">
          <w:marLeft w:val="0"/>
          <w:marRight w:val="0"/>
          <w:marTop w:val="0"/>
          <w:marBottom w:val="0"/>
          <w:divBdr>
            <w:top w:val="none" w:sz="0" w:space="0" w:color="auto"/>
            <w:left w:val="none" w:sz="0" w:space="0" w:color="auto"/>
            <w:bottom w:val="none" w:sz="0" w:space="0" w:color="auto"/>
            <w:right w:val="none" w:sz="0" w:space="0" w:color="auto"/>
          </w:divBdr>
        </w:div>
      </w:divsChild>
    </w:div>
    <w:div w:id="216362043">
      <w:bodyDiv w:val="1"/>
      <w:marLeft w:val="0"/>
      <w:marRight w:val="0"/>
      <w:marTop w:val="0"/>
      <w:marBottom w:val="0"/>
      <w:divBdr>
        <w:top w:val="none" w:sz="0" w:space="0" w:color="auto"/>
        <w:left w:val="none" w:sz="0" w:space="0" w:color="auto"/>
        <w:bottom w:val="none" w:sz="0" w:space="0" w:color="auto"/>
        <w:right w:val="none" w:sz="0" w:space="0" w:color="auto"/>
      </w:divBdr>
      <w:divsChild>
        <w:div w:id="1078090782">
          <w:marLeft w:val="0"/>
          <w:marRight w:val="0"/>
          <w:marTop w:val="0"/>
          <w:marBottom w:val="0"/>
          <w:divBdr>
            <w:top w:val="none" w:sz="0" w:space="0" w:color="auto"/>
            <w:left w:val="none" w:sz="0" w:space="0" w:color="auto"/>
            <w:bottom w:val="none" w:sz="0" w:space="0" w:color="auto"/>
            <w:right w:val="none" w:sz="0" w:space="0" w:color="auto"/>
          </w:divBdr>
        </w:div>
      </w:divsChild>
    </w:div>
    <w:div w:id="369453607">
      <w:bodyDiv w:val="1"/>
      <w:marLeft w:val="0"/>
      <w:marRight w:val="0"/>
      <w:marTop w:val="0"/>
      <w:marBottom w:val="0"/>
      <w:divBdr>
        <w:top w:val="none" w:sz="0" w:space="0" w:color="auto"/>
        <w:left w:val="none" w:sz="0" w:space="0" w:color="auto"/>
        <w:bottom w:val="none" w:sz="0" w:space="0" w:color="auto"/>
        <w:right w:val="none" w:sz="0" w:space="0" w:color="auto"/>
      </w:divBdr>
    </w:div>
    <w:div w:id="597371595">
      <w:bodyDiv w:val="1"/>
      <w:marLeft w:val="0"/>
      <w:marRight w:val="0"/>
      <w:marTop w:val="0"/>
      <w:marBottom w:val="0"/>
      <w:divBdr>
        <w:top w:val="none" w:sz="0" w:space="0" w:color="auto"/>
        <w:left w:val="none" w:sz="0" w:space="0" w:color="auto"/>
        <w:bottom w:val="none" w:sz="0" w:space="0" w:color="auto"/>
        <w:right w:val="none" w:sz="0" w:space="0" w:color="auto"/>
      </w:divBdr>
    </w:div>
    <w:div w:id="924997400">
      <w:bodyDiv w:val="1"/>
      <w:marLeft w:val="0"/>
      <w:marRight w:val="0"/>
      <w:marTop w:val="0"/>
      <w:marBottom w:val="0"/>
      <w:divBdr>
        <w:top w:val="none" w:sz="0" w:space="0" w:color="auto"/>
        <w:left w:val="none" w:sz="0" w:space="0" w:color="auto"/>
        <w:bottom w:val="none" w:sz="0" w:space="0" w:color="auto"/>
        <w:right w:val="none" w:sz="0" w:space="0" w:color="auto"/>
      </w:divBdr>
    </w:div>
    <w:div w:id="951982692">
      <w:bodyDiv w:val="1"/>
      <w:marLeft w:val="0"/>
      <w:marRight w:val="0"/>
      <w:marTop w:val="0"/>
      <w:marBottom w:val="0"/>
      <w:divBdr>
        <w:top w:val="none" w:sz="0" w:space="0" w:color="auto"/>
        <w:left w:val="none" w:sz="0" w:space="0" w:color="auto"/>
        <w:bottom w:val="none" w:sz="0" w:space="0" w:color="auto"/>
        <w:right w:val="none" w:sz="0" w:space="0" w:color="auto"/>
      </w:divBdr>
      <w:divsChild>
        <w:div w:id="824249169">
          <w:marLeft w:val="0"/>
          <w:marRight w:val="0"/>
          <w:marTop w:val="0"/>
          <w:marBottom w:val="0"/>
          <w:divBdr>
            <w:top w:val="none" w:sz="0" w:space="0" w:color="auto"/>
            <w:left w:val="none" w:sz="0" w:space="0" w:color="auto"/>
            <w:bottom w:val="none" w:sz="0" w:space="0" w:color="auto"/>
            <w:right w:val="none" w:sz="0" w:space="0" w:color="auto"/>
          </w:divBdr>
        </w:div>
      </w:divsChild>
    </w:div>
    <w:div w:id="1830558196">
      <w:bodyDiv w:val="1"/>
      <w:marLeft w:val="0"/>
      <w:marRight w:val="0"/>
      <w:marTop w:val="0"/>
      <w:marBottom w:val="0"/>
      <w:divBdr>
        <w:top w:val="none" w:sz="0" w:space="0" w:color="auto"/>
        <w:left w:val="none" w:sz="0" w:space="0" w:color="auto"/>
        <w:bottom w:val="none" w:sz="0" w:space="0" w:color="auto"/>
        <w:right w:val="none" w:sz="0" w:space="0" w:color="auto"/>
      </w:divBdr>
      <w:divsChild>
        <w:div w:id="913974944">
          <w:marLeft w:val="0"/>
          <w:marRight w:val="0"/>
          <w:marTop w:val="0"/>
          <w:marBottom w:val="0"/>
          <w:divBdr>
            <w:top w:val="none" w:sz="0" w:space="0" w:color="auto"/>
            <w:left w:val="none" w:sz="0" w:space="0" w:color="auto"/>
            <w:bottom w:val="none" w:sz="0" w:space="0" w:color="auto"/>
            <w:right w:val="none" w:sz="0" w:space="0" w:color="auto"/>
          </w:divBdr>
        </w:div>
      </w:divsChild>
    </w:div>
    <w:div w:id="1913352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lications.parliament.uk/pa/ld199798/ldjudgmt/jd980722/wool.htm" TargetMode="External"/><Relationship Id="rId3" Type="http://schemas.openxmlformats.org/officeDocument/2006/relationships/settings" Target="settings.xml"/><Relationship Id="rId7" Type="http://schemas.openxmlformats.org/officeDocument/2006/relationships/hyperlink" Target="https://www.cps.gov.uk/publication/mental-health-conditions-and-disorders-draft-prosecution-guidance"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ollege.police.uk/app/mental-health/mental-health-and-criminal-justice-system#:~:text=Mens%20rea%20is%20a%20different" TargetMode="External"/><Relationship Id="rId11" Type="http://schemas.openxmlformats.org/officeDocument/2006/relationships/fontTable" Target="fontTable.xml"/><Relationship Id="rId5" Type="http://schemas.openxmlformats.org/officeDocument/2006/relationships/hyperlink" Target="https://www.jstor.org/stable/3504679" TargetMode="External"/><Relationship Id="rId10" Type="http://schemas.openxmlformats.org/officeDocument/2006/relationships/hyperlink" Target="https://doi.org/10.1093/acprof:oso/9780199862986.003.0008" TargetMode="External"/><Relationship Id="rId4" Type="http://schemas.openxmlformats.org/officeDocument/2006/relationships/webSettings" Target="webSettings.xml"/><Relationship Id="rId9" Type="http://schemas.openxmlformats.org/officeDocument/2006/relationships/hyperlink" Target="https://careerinlaw.net/uk/case-summary-hyam-v-dpp-1975-ac-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4</Pages>
  <Words>1900</Words>
  <Characters>9220</Characters>
  <Application>Microsoft Office Word</Application>
  <DocSecurity>0</DocSecurity>
  <Lines>196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Louisa O'Neill</dc:creator>
  <cp:keywords/>
  <dc:description/>
  <cp:lastModifiedBy>Louisa O'Neill</cp:lastModifiedBy>
  <cp:revision>4</cp:revision>
  <dcterms:created xsi:type="dcterms:W3CDTF">2024-03-14T15:11:00Z</dcterms:created>
  <dcterms:modified xsi:type="dcterms:W3CDTF">2024-03-14T15:16:00Z</dcterms:modified>
</cp:coreProperties>
</file>