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763903" w14:textId="4976194F" w:rsidR="009574A6" w:rsidRPr="00593BEB" w:rsidRDefault="008F21A2" w:rsidP="009574A6">
      <w:pPr>
        <w:spacing w:before="100" w:beforeAutospacing="1" w:after="100" w:afterAutospacing="1" w:line="240" w:lineRule="auto"/>
        <w:jc w:val="center"/>
        <w:rPr>
          <w:rFonts w:ascii="Arial" w:eastAsia="Times New Roman" w:hAnsi="Arial" w:cs="Arial"/>
          <w:b/>
          <w:sz w:val="24"/>
          <w:szCs w:val="24"/>
          <w:lang w:eastAsia="en-GB"/>
        </w:rPr>
      </w:pPr>
      <w:r w:rsidRPr="00593BEB">
        <w:rPr>
          <w:rFonts w:ascii="Arial" w:eastAsia="Times New Roman" w:hAnsi="Arial" w:cs="Arial"/>
          <w:b/>
          <w:sz w:val="24"/>
          <w:szCs w:val="24"/>
          <w:lang w:eastAsia="en-GB"/>
        </w:rPr>
        <w:t>Sexual Health Software Application Assessment:</w:t>
      </w:r>
    </w:p>
    <w:p w14:paraId="6443D05C" w14:textId="73823A5C" w:rsidR="008F21A2" w:rsidRDefault="008F21A2" w:rsidP="009574A6">
      <w:pPr>
        <w:spacing w:before="100" w:beforeAutospacing="1" w:after="100" w:afterAutospacing="1" w:line="240" w:lineRule="auto"/>
        <w:jc w:val="center"/>
        <w:rPr>
          <w:rFonts w:ascii="Arial" w:eastAsia="Times New Roman" w:hAnsi="Arial" w:cs="Arial"/>
          <w:b/>
          <w:sz w:val="24"/>
          <w:szCs w:val="24"/>
          <w:lang w:eastAsia="en-GB"/>
        </w:rPr>
      </w:pPr>
      <w:r w:rsidRPr="00593BEB">
        <w:rPr>
          <w:rFonts w:ascii="Arial" w:eastAsia="Times New Roman" w:hAnsi="Arial" w:cs="Arial"/>
          <w:b/>
          <w:sz w:val="24"/>
          <w:szCs w:val="24"/>
          <w:lang w:eastAsia="en-GB"/>
        </w:rPr>
        <w:t>Evaluating the Fit and Impact Using the FITT Framework</w:t>
      </w:r>
    </w:p>
    <w:p w14:paraId="6605CCF0" w14:textId="18A9EFDF" w:rsidR="00512A65" w:rsidRPr="00593BEB" w:rsidRDefault="00512A65" w:rsidP="009574A6">
      <w:pPr>
        <w:spacing w:before="100" w:beforeAutospacing="1" w:after="100" w:afterAutospacing="1" w:line="24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Word Count:</w:t>
      </w:r>
      <w:r w:rsidR="006D54B7">
        <w:rPr>
          <w:rFonts w:ascii="Arial" w:eastAsia="Times New Roman" w:hAnsi="Arial" w:cs="Arial"/>
          <w:b/>
          <w:sz w:val="24"/>
          <w:szCs w:val="24"/>
          <w:lang w:eastAsia="en-GB"/>
        </w:rPr>
        <w:t xml:space="preserve"> 2729</w:t>
      </w:r>
    </w:p>
    <w:p w14:paraId="6716E5B6" w14:textId="57F54F58" w:rsidR="008F21A2" w:rsidRPr="00593BEB" w:rsidRDefault="003B4588" w:rsidP="008F21A2">
      <w:pPr>
        <w:spacing w:before="100" w:beforeAutospacing="1" w:after="100" w:afterAutospacing="1" w:line="240" w:lineRule="auto"/>
        <w:outlineLvl w:val="2"/>
        <w:rPr>
          <w:rFonts w:ascii="Arial" w:eastAsia="Times New Roman" w:hAnsi="Arial" w:cs="Arial"/>
          <w:b/>
          <w:bCs/>
          <w:sz w:val="24"/>
          <w:szCs w:val="24"/>
          <w:lang w:eastAsia="en-GB"/>
        </w:rPr>
      </w:pPr>
      <w:r w:rsidRPr="00593BEB">
        <w:rPr>
          <w:rFonts w:ascii="Arial" w:eastAsia="Times New Roman" w:hAnsi="Arial" w:cs="Arial"/>
          <w:b/>
          <w:bCs/>
          <w:sz w:val="24"/>
          <w:szCs w:val="24"/>
          <w:lang w:eastAsia="en-GB"/>
        </w:rPr>
        <w:t xml:space="preserve">          </w:t>
      </w:r>
      <w:r w:rsidR="008F21A2" w:rsidRPr="00593BEB">
        <w:rPr>
          <w:rFonts w:ascii="Arial" w:eastAsia="Times New Roman" w:hAnsi="Arial" w:cs="Arial"/>
          <w:b/>
          <w:bCs/>
          <w:sz w:val="24"/>
          <w:szCs w:val="24"/>
          <w:lang w:eastAsia="en-GB"/>
        </w:rPr>
        <w:t>Introduction</w:t>
      </w:r>
    </w:p>
    <w:p w14:paraId="2562A5CB" w14:textId="3F47D530" w:rsidR="001529C3" w:rsidRPr="00593BEB" w:rsidRDefault="005C7A5E" w:rsidP="003B4588">
      <w:pPr>
        <w:pStyle w:val="ListParagraph"/>
        <w:spacing w:before="100" w:beforeAutospacing="1" w:after="100" w:afterAutospacing="1" w:line="240" w:lineRule="auto"/>
        <w:jc w:val="both"/>
        <w:outlineLvl w:val="3"/>
        <w:rPr>
          <w:rFonts w:ascii="Arial" w:eastAsia="Times New Roman" w:hAnsi="Arial" w:cs="Arial"/>
          <w:b/>
          <w:bCs/>
          <w:sz w:val="24"/>
          <w:szCs w:val="24"/>
          <w:lang w:eastAsia="en-GB"/>
        </w:rPr>
      </w:pPr>
      <w:r w:rsidRPr="00593BEB">
        <w:rPr>
          <w:rFonts w:ascii="Arial" w:eastAsia="Times New Roman" w:hAnsi="Arial" w:cs="Arial"/>
          <w:sz w:val="24"/>
          <w:szCs w:val="24"/>
          <w:lang w:eastAsia="en-GB"/>
        </w:rPr>
        <w:t xml:space="preserve">Sexual health services play a critical role in promoting public health and addressing the needs of individuals in </w:t>
      </w:r>
      <w:r w:rsidR="0022561B" w:rsidRPr="00593BEB">
        <w:rPr>
          <w:rFonts w:ascii="Arial" w:eastAsia="Times New Roman" w:hAnsi="Arial" w:cs="Arial"/>
          <w:sz w:val="24"/>
          <w:szCs w:val="24"/>
          <w:lang w:eastAsia="en-GB"/>
        </w:rPr>
        <w:t>a highly sensitive and specialis</w:t>
      </w:r>
      <w:r w:rsidRPr="00593BEB">
        <w:rPr>
          <w:rFonts w:ascii="Arial" w:eastAsia="Times New Roman" w:hAnsi="Arial" w:cs="Arial"/>
          <w:sz w:val="24"/>
          <w:szCs w:val="24"/>
          <w:lang w:eastAsia="en-GB"/>
        </w:rPr>
        <w:t>ed area of care</w:t>
      </w:r>
      <w:r w:rsidR="00F807BB" w:rsidRPr="00593BEB">
        <w:rPr>
          <w:rFonts w:ascii="Arial" w:eastAsia="Times New Roman" w:hAnsi="Arial" w:cs="Arial"/>
          <w:sz w:val="24"/>
          <w:szCs w:val="24"/>
          <w:lang w:eastAsia="en-GB"/>
        </w:rPr>
        <w:t xml:space="preserve"> (Mitchell et al 2021)</w:t>
      </w:r>
      <w:r w:rsidRPr="00593BEB">
        <w:rPr>
          <w:rFonts w:ascii="Arial" w:eastAsia="Times New Roman" w:hAnsi="Arial" w:cs="Arial"/>
          <w:sz w:val="24"/>
          <w:szCs w:val="24"/>
          <w:lang w:eastAsia="en-GB"/>
        </w:rPr>
        <w:t xml:space="preserve">. </w:t>
      </w:r>
      <w:r w:rsidR="001529C3" w:rsidRPr="00593BEB">
        <w:rPr>
          <w:rFonts w:ascii="Arial" w:eastAsia="Times New Roman" w:hAnsi="Arial" w:cs="Arial"/>
          <w:sz w:val="24"/>
          <w:szCs w:val="24"/>
          <w:lang w:eastAsia="en-GB"/>
        </w:rPr>
        <w:t xml:space="preserve"> The sexual health service of Swansea Bay University Health Board (SBUHB) offers sexual health testing and treatment, contraception, HIV services, Gender care, counselling and a Pregnancy Advisory Service- all highly sensitive and essential areas of healthcare.</w:t>
      </w:r>
    </w:p>
    <w:p w14:paraId="60F799CB" w14:textId="77777777" w:rsidR="001529C3" w:rsidRPr="00593BEB" w:rsidRDefault="001529C3" w:rsidP="003B4588">
      <w:pPr>
        <w:pStyle w:val="ListParagraph"/>
        <w:spacing w:before="100" w:beforeAutospacing="1" w:after="100" w:afterAutospacing="1" w:line="240" w:lineRule="auto"/>
        <w:jc w:val="both"/>
        <w:outlineLvl w:val="3"/>
        <w:rPr>
          <w:rFonts w:ascii="Arial" w:eastAsia="Times New Roman" w:hAnsi="Arial" w:cs="Arial"/>
          <w:b/>
          <w:bCs/>
          <w:sz w:val="24"/>
          <w:szCs w:val="24"/>
          <w:lang w:eastAsia="en-GB"/>
        </w:rPr>
      </w:pPr>
    </w:p>
    <w:p w14:paraId="7C3EE78E" w14:textId="2937E55B" w:rsidR="00C47578" w:rsidRPr="00593BEB" w:rsidRDefault="0022561B"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Confidentiality has been </w:t>
      </w:r>
      <w:r w:rsidR="001529C3" w:rsidRPr="00593BEB">
        <w:rPr>
          <w:rFonts w:ascii="Arial" w:eastAsia="Times New Roman" w:hAnsi="Arial" w:cs="Arial"/>
          <w:sz w:val="24"/>
          <w:szCs w:val="24"/>
          <w:lang w:eastAsia="en-GB"/>
        </w:rPr>
        <w:t>a priority</w:t>
      </w:r>
      <w:r w:rsidRPr="00593BEB">
        <w:rPr>
          <w:rFonts w:ascii="Arial" w:eastAsia="Times New Roman" w:hAnsi="Arial" w:cs="Arial"/>
          <w:sz w:val="24"/>
          <w:szCs w:val="24"/>
          <w:lang w:eastAsia="en-GB"/>
        </w:rPr>
        <w:t xml:space="preserve"> of sexual health services since the introduction of the Venereal Disease Act </w:t>
      </w:r>
      <w:r w:rsidR="006C6FB0">
        <w:rPr>
          <w:rFonts w:ascii="Arial" w:eastAsia="Times New Roman" w:hAnsi="Arial" w:cs="Arial"/>
          <w:sz w:val="24"/>
          <w:szCs w:val="24"/>
          <w:lang w:eastAsia="en-GB"/>
        </w:rPr>
        <w:t>(</w:t>
      </w:r>
      <w:r w:rsidRPr="00593BEB">
        <w:rPr>
          <w:rFonts w:ascii="Arial" w:eastAsia="Times New Roman" w:hAnsi="Arial" w:cs="Arial"/>
          <w:sz w:val="24"/>
          <w:szCs w:val="24"/>
          <w:lang w:eastAsia="en-GB"/>
        </w:rPr>
        <w:t>1917</w:t>
      </w:r>
      <w:r w:rsidR="006C6FB0">
        <w:rPr>
          <w:rFonts w:ascii="Arial" w:eastAsia="Times New Roman" w:hAnsi="Arial" w:cs="Arial"/>
          <w:sz w:val="24"/>
          <w:szCs w:val="24"/>
          <w:lang w:eastAsia="en-GB"/>
        </w:rPr>
        <w:t>)</w:t>
      </w:r>
      <w:r w:rsidRPr="00593BEB">
        <w:rPr>
          <w:rFonts w:ascii="Arial" w:eastAsia="Times New Roman" w:hAnsi="Arial" w:cs="Arial"/>
          <w:sz w:val="24"/>
          <w:szCs w:val="24"/>
          <w:lang w:eastAsia="en-GB"/>
        </w:rPr>
        <w:t>. This Act offered the protection of anonymity to those accessing sexual health services beyond the routine confidentiality of the rest of the health service</w:t>
      </w:r>
      <w:r w:rsidR="00C47578" w:rsidRPr="00593BEB">
        <w:rPr>
          <w:rFonts w:ascii="Arial" w:eastAsia="Times New Roman" w:hAnsi="Arial" w:cs="Arial"/>
          <w:sz w:val="24"/>
          <w:szCs w:val="24"/>
          <w:lang w:eastAsia="en-GB"/>
        </w:rPr>
        <w:t xml:space="preserve"> (Parker et al 2014)</w:t>
      </w:r>
      <w:r w:rsidRPr="00593BEB">
        <w:rPr>
          <w:rFonts w:ascii="Arial" w:eastAsia="Times New Roman" w:hAnsi="Arial" w:cs="Arial"/>
          <w:sz w:val="24"/>
          <w:szCs w:val="24"/>
          <w:lang w:eastAsia="en-GB"/>
        </w:rPr>
        <w:t xml:space="preserve">. </w:t>
      </w:r>
      <w:r w:rsidR="001529C3" w:rsidRPr="00593BEB">
        <w:rPr>
          <w:rFonts w:ascii="Arial" w:eastAsia="Times New Roman" w:hAnsi="Arial" w:cs="Arial"/>
          <w:sz w:val="24"/>
          <w:szCs w:val="24"/>
          <w:lang w:eastAsia="en-GB"/>
        </w:rPr>
        <w:t xml:space="preserve">Although this Act has now been repealed, it is the recommendation of </w:t>
      </w:r>
      <w:r w:rsidR="00B71379">
        <w:rPr>
          <w:rFonts w:ascii="Arial" w:eastAsia="Times New Roman" w:hAnsi="Arial" w:cs="Arial"/>
          <w:sz w:val="24"/>
          <w:szCs w:val="24"/>
          <w:lang w:eastAsia="en-GB"/>
        </w:rPr>
        <w:t xml:space="preserve">organisations such as </w:t>
      </w:r>
      <w:r w:rsidR="001529C3" w:rsidRPr="00593BEB">
        <w:rPr>
          <w:rFonts w:ascii="Arial" w:eastAsia="Times New Roman" w:hAnsi="Arial" w:cs="Arial"/>
          <w:sz w:val="24"/>
          <w:szCs w:val="24"/>
          <w:lang w:eastAsia="en-GB"/>
        </w:rPr>
        <w:t>the B</w:t>
      </w:r>
      <w:r w:rsidR="00C87C38" w:rsidRPr="00593BEB">
        <w:rPr>
          <w:rFonts w:ascii="Arial" w:eastAsia="Times New Roman" w:hAnsi="Arial" w:cs="Arial"/>
          <w:sz w:val="24"/>
          <w:szCs w:val="24"/>
          <w:lang w:eastAsia="en-GB"/>
        </w:rPr>
        <w:t xml:space="preserve">ritish </w:t>
      </w:r>
      <w:r w:rsidR="001529C3" w:rsidRPr="00593BEB">
        <w:rPr>
          <w:rFonts w:ascii="Arial" w:eastAsia="Times New Roman" w:hAnsi="Arial" w:cs="Arial"/>
          <w:sz w:val="24"/>
          <w:szCs w:val="24"/>
          <w:lang w:eastAsia="en-GB"/>
        </w:rPr>
        <w:t>HIV</w:t>
      </w:r>
      <w:r w:rsidR="00C87C38" w:rsidRPr="00593BEB">
        <w:rPr>
          <w:rFonts w:ascii="Arial" w:eastAsia="Times New Roman" w:hAnsi="Arial" w:cs="Arial"/>
          <w:sz w:val="24"/>
          <w:szCs w:val="24"/>
          <w:lang w:eastAsia="en-GB"/>
        </w:rPr>
        <w:t xml:space="preserve"> </w:t>
      </w:r>
      <w:r w:rsidR="001529C3" w:rsidRPr="00593BEB">
        <w:rPr>
          <w:rFonts w:ascii="Arial" w:eastAsia="Times New Roman" w:hAnsi="Arial" w:cs="Arial"/>
          <w:sz w:val="24"/>
          <w:szCs w:val="24"/>
          <w:lang w:eastAsia="en-GB"/>
        </w:rPr>
        <w:t>A</w:t>
      </w:r>
      <w:r w:rsidR="00C87C38" w:rsidRPr="00593BEB">
        <w:rPr>
          <w:rFonts w:ascii="Arial" w:eastAsia="Times New Roman" w:hAnsi="Arial" w:cs="Arial"/>
          <w:sz w:val="24"/>
          <w:szCs w:val="24"/>
          <w:lang w:eastAsia="en-GB"/>
        </w:rPr>
        <w:t>ssociation (BHIVA)</w:t>
      </w:r>
      <w:r w:rsidR="001529C3" w:rsidRPr="00593BEB">
        <w:rPr>
          <w:rFonts w:ascii="Arial" w:eastAsia="Times New Roman" w:hAnsi="Arial" w:cs="Arial"/>
          <w:sz w:val="24"/>
          <w:szCs w:val="24"/>
          <w:lang w:eastAsia="en-GB"/>
        </w:rPr>
        <w:t xml:space="preserve"> that </w:t>
      </w:r>
      <w:r w:rsidR="00C47578" w:rsidRPr="00593BEB">
        <w:rPr>
          <w:rFonts w:ascii="Arial" w:eastAsia="Times New Roman" w:hAnsi="Arial" w:cs="Arial"/>
          <w:sz w:val="24"/>
          <w:szCs w:val="24"/>
          <w:lang w:eastAsia="en-GB"/>
        </w:rPr>
        <w:t xml:space="preserve">services continue to anonymise data (BHIVA 2015). </w:t>
      </w:r>
      <w:r w:rsidR="00C3205C" w:rsidRPr="00593BEB">
        <w:rPr>
          <w:rFonts w:ascii="Arial" w:eastAsia="Times New Roman" w:hAnsi="Arial" w:cs="Arial"/>
          <w:sz w:val="24"/>
          <w:szCs w:val="24"/>
          <w:lang w:eastAsia="en-GB"/>
        </w:rPr>
        <w:t xml:space="preserve"> </w:t>
      </w:r>
    </w:p>
    <w:p w14:paraId="6384A7A6" w14:textId="77777777" w:rsidR="00C47578" w:rsidRPr="00593BEB" w:rsidRDefault="00C47578"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00713F6E" w14:textId="6587659C" w:rsidR="00766B8F" w:rsidRDefault="005C7A5E"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r w:rsidRPr="00593BEB">
        <w:rPr>
          <w:rFonts w:ascii="Arial" w:eastAsia="Times New Roman" w:hAnsi="Arial" w:cs="Arial"/>
          <w:sz w:val="24"/>
          <w:szCs w:val="24"/>
          <w:lang w:eastAsia="en-GB"/>
        </w:rPr>
        <w:t>The implementation of bespoke s</w:t>
      </w:r>
      <w:r w:rsidR="0022561B" w:rsidRPr="00593BEB">
        <w:rPr>
          <w:rFonts w:ascii="Arial" w:eastAsia="Times New Roman" w:hAnsi="Arial" w:cs="Arial"/>
          <w:sz w:val="24"/>
          <w:szCs w:val="24"/>
          <w:lang w:eastAsia="en-GB"/>
        </w:rPr>
        <w:t>oftware</w:t>
      </w:r>
      <w:r w:rsidRPr="00593BEB">
        <w:rPr>
          <w:rFonts w:ascii="Arial" w:eastAsia="Times New Roman" w:hAnsi="Arial" w:cs="Arial"/>
          <w:sz w:val="24"/>
          <w:szCs w:val="24"/>
          <w:lang w:eastAsia="en-GB"/>
        </w:rPr>
        <w:t xml:space="preserve"> has </w:t>
      </w:r>
      <w:r w:rsidR="0022561B" w:rsidRPr="00593BEB">
        <w:rPr>
          <w:rFonts w:ascii="Arial" w:eastAsia="Times New Roman" w:hAnsi="Arial" w:cs="Arial"/>
          <w:sz w:val="24"/>
          <w:szCs w:val="24"/>
          <w:lang w:eastAsia="en-GB"/>
        </w:rPr>
        <w:t xml:space="preserve">been instrumental in protecting confidentiality by offering </w:t>
      </w:r>
      <w:r w:rsidRPr="00593BEB">
        <w:rPr>
          <w:rFonts w:ascii="Arial" w:eastAsia="Times New Roman" w:hAnsi="Arial" w:cs="Arial"/>
          <w:sz w:val="24"/>
          <w:szCs w:val="24"/>
          <w:lang w:eastAsia="en-GB"/>
        </w:rPr>
        <w:t>solutions that</w:t>
      </w:r>
      <w:r w:rsidR="002B40C4" w:rsidRPr="00593BEB">
        <w:rPr>
          <w:rFonts w:ascii="Arial" w:eastAsia="Times New Roman" w:hAnsi="Arial" w:cs="Arial"/>
          <w:sz w:val="24"/>
          <w:szCs w:val="24"/>
          <w:lang w:eastAsia="en-GB"/>
        </w:rPr>
        <w:t xml:space="preserve"> are tailored to </w:t>
      </w:r>
      <w:r w:rsidR="00EB21D1">
        <w:rPr>
          <w:rFonts w:ascii="Arial" w:eastAsia="Times New Roman" w:hAnsi="Arial" w:cs="Arial"/>
          <w:sz w:val="24"/>
          <w:szCs w:val="24"/>
          <w:lang w:eastAsia="en-GB"/>
        </w:rPr>
        <w:t xml:space="preserve">the </w:t>
      </w:r>
      <w:r w:rsidRPr="00593BEB">
        <w:rPr>
          <w:rFonts w:ascii="Arial" w:eastAsia="Times New Roman" w:hAnsi="Arial" w:cs="Arial"/>
          <w:sz w:val="24"/>
          <w:szCs w:val="24"/>
          <w:lang w:eastAsia="en-GB"/>
        </w:rPr>
        <w:t>operational</w:t>
      </w:r>
      <w:r w:rsidR="007409EB">
        <w:rPr>
          <w:rFonts w:ascii="Arial" w:eastAsia="Times New Roman" w:hAnsi="Arial" w:cs="Arial"/>
          <w:sz w:val="24"/>
          <w:szCs w:val="24"/>
          <w:lang w:eastAsia="en-GB"/>
        </w:rPr>
        <w:t xml:space="preserve"> and</w:t>
      </w:r>
      <w:r w:rsidRPr="00593BEB">
        <w:rPr>
          <w:rFonts w:ascii="Arial" w:eastAsia="Times New Roman" w:hAnsi="Arial" w:cs="Arial"/>
          <w:sz w:val="24"/>
          <w:szCs w:val="24"/>
          <w:lang w:eastAsia="en-GB"/>
        </w:rPr>
        <w:t xml:space="preserve"> clinical</w:t>
      </w:r>
      <w:r w:rsidR="007409EB">
        <w:rPr>
          <w:rFonts w:ascii="Arial" w:eastAsia="Times New Roman" w:hAnsi="Arial" w:cs="Arial"/>
          <w:sz w:val="24"/>
          <w:szCs w:val="24"/>
          <w:lang w:eastAsia="en-GB"/>
        </w:rPr>
        <w:t xml:space="preserve"> n</w:t>
      </w:r>
      <w:r w:rsidR="002B40C4" w:rsidRPr="00593BEB">
        <w:rPr>
          <w:rFonts w:ascii="Arial" w:eastAsia="Times New Roman" w:hAnsi="Arial" w:cs="Arial"/>
          <w:sz w:val="24"/>
          <w:szCs w:val="24"/>
          <w:lang w:eastAsia="en-GB"/>
        </w:rPr>
        <w:t xml:space="preserve">eeds </w:t>
      </w:r>
      <w:r w:rsidRPr="00593BEB">
        <w:rPr>
          <w:rFonts w:ascii="Arial" w:eastAsia="Times New Roman" w:hAnsi="Arial" w:cs="Arial"/>
          <w:sz w:val="24"/>
          <w:szCs w:val="24"/>
          <w:lang w:eastAsia="en-GB"/>
        </w:rPr>
        <w:t xml:space="preserve">of </w:t>
      </w:r>
      <w:r w:rsidR="00EB21D1">
        <w:rPr>
          <w:rFonts w:ascii="Arial" w:eastAsia="Times New Roman" w:hAnsi="Arial" w:cs="Arial"/>
          <w:sz w:val="24"/>
          <w:szCs w:val="24"/>
          <w:lang w:eastAsia="en-GB"/>
        </w:rPr>
        <w:t xml:space="preserve">sexual health </w:t>
      </w:r>
      <w:r w:rsidRPr="00593BEB">
        <w:rPr>
          <w:rFonts w:ascii="Arial" w:eastAsia="Times New Roman" w:hAnsi="Arial" w:cs="Arial"/>
          <w:sz w:val="24"/>
          <w:szCs w:val="24"/>
          <w:lang w:eastAsia="en-GB"/>
        </w:rPr>
        <w:t xml:space="preserve">services. Unlike generic healthcare management systems, bespoke software is designed to </w:t>
      </w:r>
      <w:r w:rsidR="00EB21D1">
        <w:rPr>
          <w:rFonts w:ascii="Arial" w:eastAsia="Times New Roman" w:hAnsi="Arial" w:cs="Arial"/>
          <w:sz w:val="24"/>
          <w:szCs w:val="24"/>
          <w:lang w:eastAsia="en-GB"/>
        </w:rPr>
        <w:t>match</w:t>
      </w:r>
      <w:r w:rsidRPr="00593BEB">
        <w:rPr>
          <w:rFonts w:ascii="Arial" w:eastAsia="Times New Roman" w:hAnsi="Arial" w:cs="Arial"/>
          <w:sz w:val="24"/>
          <w:szCs w:val="24"/>
          <w:lang w:eastAsia="en-GB"/>
        </w:rPr>
        <w:t xml:space="preserve"> with the specific demands of sexual health</w:t>
      </w:r>
      <w:r w:rsidR="00EB21D1">
        <w:rPr>
          <w:rFonts w:ascii="Arial" w:eastAsia="Times New Roman" w:hAnsi="Arial" w:cs="Arial"/>
          <w:sz w:val="24"/>
          <w:szCs w:val="24"/>
          <w:lang w:eastAsia="en-GB"/>
        </w:rPr>
        <w:t>.</w:t>
      </w:r>
    </w:p>
    <w:p w14:paraId="1EE96D50" w14:textId="77777777" w:rsidR="00EB21D1" w:rsidRPr="00593BEB" w:rsidRDefault="00EB21D1"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34ABF8B3" w14:textId="1D45CCDB" w:rsidR="001E65A9" w:rsidRPr="00593BEB" w:rsidRDefault="001E65A9" w:rsidP="003B4588">
      <w:pPr>
        <w:pStyle w:val="ListParagraph"/>
        <w:spacing w:before="100" w:beforeAutospacing="1" w:after="100" w:afterAutospacing="1" w:line="240" w:lineRule="auto"/>
        <w:jc w:val="both"/>
        <w:outlineLvl w:val="3"/>
        <w:rPr>
          <w:rFonts w:ascii="Arial" w:hAnsi="Arial" w:cs="Arial"/>
          <w:sz w:val="24"/>
          <w:szCs w:val="24"/>
        </w:rPr>
      </w:pPr>
      <w:r w:rsidRPr="00593BEB">
        <w:rPr>
          <w:rFonts w:ascii="Arial" w:eastAsia="Times New Roman" w:hAnsi="Arial" w:cs="Arial"/>
          <w:sz w:val="24"/>
          <w:szCs w:val="24"/>
          <w:lang w:eastAsia="en-GB"/>
        </w:rPr>
        <w:t xml:space="preserve">Around </w:t>
      </w:r>
      <w:r w:rsidR="00766B8F" w:rsidRPr="00593BEB">
        <w:rPr>
          <w:rFonts w:ascii="Arial" w:eastAsia="Times New Roman" w:hAnsi="Arial" w:cs="Arial"/>
          <w:sz w:val="24"/>
          <w:szCs w:val="24"/>
          <w:lang w:eastAsia="en-GB"/>
        </w:rPr>
        <w:t>1999, Swansea Bay University Health Board adopted ‘Mill</w:t>
      </w:r>
      <w:r w:rsidRPr="00593BEB">
        <w:rPr>
          <w:rFonts w:ascii="Arial" w:eastAsia="Times New Roman" w:hAnsi="Arial" w:cs="Arial"/>
          <w:sz w:val="24"/>
          <w:szCs w:val="24"/>
          <w:lang w:eastAsia="en-GB"/>
        </w:rPr>
        <w:t>Care’- a software programme created by a company called ‘MillSystems Ltd.’</w:t>
      </w:r>
      <w:r w:rsidR="00766B8F" w:rsidRPr="00593BEB">
        <w:rPr>
          <w:rFonts w:ascii="Arial" w:eastAsia="Times New Roman" w:hAnsi="Arial" w:cs="Arial"/>
          <w:sz w:val="24"/>
          <w:szCs w:val="24"/>
          <w:lang w:eastAsia="en-GB"/>
        </w:rPr>
        <w:t xml:space="preserve">. </w:t>
      </w:r>
      <w:r w:rsidR="00F039C3" w:rsidRPr="00593BEB">
        <w:rPr>
          <w:rFonts w:ascii="Arial" w:eastAsia="Times New Roman" w:hAnsi="Arial" w:cs="Arial"/>
          <w:sz w:val="24"/>
          <w:szCs w:val="24"/>
          <w:lang w:eastAsia="en-GB"/>
        </w:rPr>
        <w:t xml:space="preserve">MillCare is utilised by two Health Boards in Wales- Swansea and Cardiff, as well as several Trusts in England. </w:t>
      </w:r>
      <w:r w:rsidRPr="00593BEB">
        <w:rPr>
          <w:rFonts w:ascii="Arial" w:hAnsi="Arial" w:cs="Arial"/>
          <w:sz w:val="24"/>
          <w:szCs w:val="24"/>
        </w:rPr>
        <w:t>The</w:t>
      </w:r>
      <w:r w:rsidR="00EB21D1">
        <w:rPr>
          <w:rFonts w:ascii="Arial" w:hAnsi="Arial" w:cs="Arial"/>
          <w:sz w:val="24"/>
          <w:szCs w:val="24"/>
        </w:rPr>
        <w:t xml:space="preserve"> MillCare</w:t>
      </w:r>
      <w:r w:rsidRPr="00593BEB">
        <w:rPr>
          <w:rFonts w:ascii="Arial" w:hAnsi="Arial" w:cs="Arial"/>
          <w:sz w:val="24"/>
          <w:szCs w:val="24"/>
        </w:rPr>
        <w:t xml:space="preserve"> software being used is outdated, with no </w:t>
      </w:r>
      <w:r w:rsidR="00702F73" w:rsidRPr="00593BEB">
        <w:rPr>
          <w:rFonts w:ascii="Arial" w:hAnsi="Arial" w:cs="Arial"/>
          <w:sz w:val="24"/>
          <w:szCs w:val="24"/>
        </w:rPr>
        <w:t xml:space="preserve">apparent </w:t>
      </w:r>
      <w:r w:rsidRPr="00593BEB">
        <w:rPr>
          <w:rFonts w:ascii="Arial" w:hAnsi="Arial" w:cs="Arial"/>
          <w:sz w:val="24"/>
          <w:szCs w:val="24"/>
        </w:rPr>
        <w:t>publicly available information online</w:t>
      </w:r>
      <w:r w:rsidR="00EB21D1">
        <w:rPr>
          <w:rFonts w:ascii="Arial" w:hAnsi="Arial" w:cs="Arial"/>
          <w:sz w:val="24"/>
          <w:szCs w:val="24"/>
        </w:rPr>
        <w:t xml:space="preserve"> about the product</w:t>
      </w:r>
      <w:r w:rsidRPr="00593BEB">
        <w:rPr>
          <w:rFonts w:ascii="Arial" w:hAnsi="Arial" w:cs="Arial"/>
          <w:sz w:val="24"/>
          <w:szCs w:val="24"/>
        </w:rPr>
        <w:t>, resulting in limited access to information</w:t>
      </w:r>
      <w:r w:rsidR="007C7740" w:rsidRPr="00593BEB">
        <w:rPr>
          <w:rFonts w:ascii="Arial" w:hAnsi="Arial" w:cs="Arial"/>
          <w:sz w:val="24"/>
          <w:szCs w:val="24"/>
        </w:rPr>
        <w:t>.</w:t>
      </w:r>
      <w:r w:rsidR="00C3205C" w:rsidRPr="00593BEB">
        <w:rPr>
          <w:rFonts w:ascii="Arial" w:hAnsi="Arial" w:cs="Arial"/>
          <w:sz w:val="24"/>
          <w:szCs w:val="24"/>
        </w:rPr>
        <w:t xml:space="preserve"> Additionally, there is no </w:t>
      </w:r>
      <w:r w:rsidR="002B40C4" w:rsidRPr="00593BEB">
        <w:rPr>
          <w:rFonts w:ascii="Arial" w:hAnsi="Arial" w:cs="Arial"/>
          <w:sz w:val="24"/>
          <w:szCs w:val="24"/>
        </w:rPr>
        <w:t xml:space="preserve">evidence within the SBUHB sexual health department or online </w:t>
      </w:r>
      <w:r w:rsidR="00C3205C" w:rsidRPr="00593BEB">
        <w:rPr>
          <w:rFonts w:ascii="Arial" w:hAnsi="Arial" w:cs="Arial"/>
          <w:sz w:val="24"/>
          <w:szCs w:val="24"/>
        </w:rPr>
        <w:t xml:space="preserve">that there has ever been a formal structured or published evaluation of this system since it was implemented. </w:t>
      </w:r>
    </w:p>
    <w:p w14:paraId="614F941B" w14:textId="77777777" w:rsidR="007C7740" w:rsidRPr="00593BEB" w:rsidRDefault="007C7740"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598FC3DF" w14:textId="2464C035" w:rsidR="00E3141E" w:rsidRPr="00593BEB" w:rsidRDefault="007C7740"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r w:rsidRPr="00593BEB">
        <w:rPr>
          <w:rFonts w:ascii="Arial" w:eastAsia="Times New Roman" w:hAnsi="Arial" w:cs="Arial"/>
          <w:sz w:val="24"/>
          <w:szCs w:val="24"/>
          <w:lang w:eastAsia="en-GB"/>
        </w:rPr>
        <w:t>MillSystems Ltd.</w:t>
      </w:r>
      <w:r w:rsidR="00766B8F" w:rsidRPr="00593BEB">
        <w:rPr>
          <w:rFonts w:ascii="Arial" w:eastAsia="Times New Roman" w:hAnsi="Arial" w:cs="Arial"/>
          <w:sz w:val="24"/>
          <w:szCs w:val="24"/>
          <w:lang w:eastAsia="en-GB"/>
        </w:rPr>
        <w:t xml:space="preserve"> offered a bespoke software programme that allow</w:t>
      </w:r>
      <w:r w:rsidR="00F60C9D" w:rsidRPr="00593BEB">
        <w:rPr>
          <w:rFonts w:ascii="Arial" w:eastAsia="Times New Roman" w:hAnsi="Arial" w:cs="Arial"/>
          <w:sz w:val="24"/>
          <w:szCs w:val="24"/>
          <w:lang w:eastAsia="en-GB"/>
        </w:rPr>
        <w:t>s</w:t>
      </w:r>
      <w:r w:rsidR="00766B8F" w:rsidRPr="00593BEB">
        <w:rPr>
          <w:rFonts w:ascii="Arial" w:eastAsia="Times New Roman" w:hAnsi="Arial" w:cs="Arial"/>
          <w:sz w:val="24"/>
          <w:szCs w:val="24"/>
          <w:lang w:eastAsia="en-GB"/>
        </w:rPr>
        <w:t xml:space="preserve"> patients to be registered, separate from the rest of the health service.</w:t>
      </w:r>
      <w:r w:rsidR="00161717" w:rsidRPr="00593BEB">
        <w:rPr>
          <w:rFonts w:ascii="Arial" w:eastAsia="Times New Roman" w:hAnsi="Arial" w:cs="Arial"/>
          <w:i/>
          <w:iCs/>
          <w:sz w:val="24"/>
          <w:szCs w:val="24"/>
          <w:lang w:eastAsia="en-GB"/>
        </w:rPr>
        <w:t xml:space="preserve"> </w:t>
      </w:r>
      <w:r w:rsidR="00161717" w:rsidRPr="00593BEB">
        <w:rPr>
          <w:rFonts w:ascii="Arial" w:eastAsia="Times New Roman" w:hAnsi="Arial" w:cs="Arial"/>
          <w:iCs/>
          <w:sz w:val="24"/>
          <w:szCs w:val="24"/>
          <w:lang w:eastAsia="en-GB"/>
        </w:rPr>
        <w:t>The primary objective of Mill</w:t>
      </w:r>
      <w:r w:rsidR="001E65A9" w:rsidRPr="00593BEB">
        <w:rPr>
          <w:rFonts w:ascii="Arial" w:eastAsia="Times New Roman" w:hAnsi="Arial" w:cs="Arial"/>
          <w:iCs/>
          <w:sz w:val="24"/>
          <w:szCs w:val="24"/>
          <w:lang w:eastAsia="en-GB"/>
        </w:rPr>
        <w:t>C</w:t>
      </w:r>
      <w:r w:rsidR="00161717" w:rsidRPr="00593BEB">
        <w:rPr>
          <w:rFonts w:ascii="Arial" w:eastAsia="Times New Roman" w:hAnsi="Arial" w:cs="Arial"/>
          <w:iCs/>
          <w:sz w:val="24"/>
          <w:szCs w:val="24"/>
          <w:lang w:eastAsia="en-GB"/>
        </w:rPr>
        <w:t xml:space="preserve">are is to enhance the efficiency and reliability of patient record management while ensuring compliance with </w:t>
      </w:r>
      <w:r w:rsidR="001A5042" w:rsidRPr="00593BEB">
        <w:rPr>
          <w:rFonts w:ascii="Arial" w:eastAsia="Times New Roman" w:hAnsi="Arial" w:cs="Arial"/>
          <w:iCs/>
          <w:sz w:val="24"/>
          <w:szCs w:val="24"/>
          <w:lang w:eastAsia="en-GB"/>
        </w:rPr>
        <w:t>legislation such as the N</w:t>
      </w:r>
      <w:r w:rsidR="00C87C38" w:rsidRPr="00593BEB">
        <w:rPr>
          <w:rFonts w:ascii="Arial" w:eastAsia="Times New Roman" w:hAnsi="Arial" w:cs="Arial"/>
          <w:iCs/>
          <w:sz w:val="24"/>
          <w:szCs w:val="24"/>
          <w:lang w:eastAsia="en-GB"/>
        </w:rPr>
        <w:t xml:space="preserve">ational </w:t>
      </w:r>
      <w:r w:rsidR="001A5042" w:rsidRPr="00593BEB">
        <w:rPr>
          <w:rFonts w:ascii="Arial" w:eastAsia="Times New Roman" w:hAnsi="Arial" w:cs="Arial"/>
          <w:iCs/>
          <w:sz w:val="24"/>
          <w:szCs w:val="24"/>
          <w:lang w:eastAsia="en-GB"/>
        </w:rPr>
        <w:t>H</w:t>
      </w:r>
      <w:r w:rsidR="00C87C38" w:rsidRPr="00593BEB">
        <w:rPr>
          <w:rFonts w:ascii="Arial" w:eastAsia="Times New Roman" w:hAnsi="Arial" w:cs="Arial"/>
          <w:iCs/>
          <w:sz w:val="24"/>
          <w:szCs w:val="24"/>
          <w:lang w:eastAsia="en-GB"/>
        </w:rPr>
        <w:t xml:space="preserve">ealth </w:t>
      </w:r>
      <w:r w:rsidR="001A5042" w:rsidRPr="00593BEB">
        <w:rPr>
          <w:rFonts w:ascii="Arial" w:eastAsia="Times New Roman" w:hAnsi="Arial" w:cs="Arial"/>
          <w:iCs/>
          <w:sz w:val="24"/>
          <w:szCs w:val="24"/>
          <w:lang w:eastAsia="en-GB"/>
        </w:rPr>
        <w:t>S</w:t>
      </w:r>
      <w:r w:rsidR="00C87C38" w:rsidRPr="00593BEB">
        <w:rPr>
          <w:rFonts w:ascii="Arial" w:eastAsia="Times New Roman" w:hAnsi="Arial" w:cs="Arial"/>
          <w:iCs/>
          <w:sz w:val="24"/>
          <w:szCs w:val="24"/>
          <w:lang w:eastAsia="en-GB"/>
        </w:rPr>
        <w:t xml:space="preserve">ervice </w:t>
      </w:r>
      <w:r w:rsidR="001A5042" w:rsidRPr="00593BEB">
        <w:rPr>
          <w:rFonts w:ascii="Arial" w:eastAsia="Times New Roman" w:hAnsi="Arial" w:cs="Arial"/>
          <w:iCs/>
          <w:sz w:val="24"/>
          <w:szCs w:val="24"/>
          <w:lang w:eastAsia="en-GB"/>
        </w:rPr>
        <w:t xml:space="preserve">Venereal Disease Regulations </w:t>
      </w:r>
      <w:r w:rsidR="00C87C38" w:rsidRPr="00593BEB">
        <w:rPr>
          <w:rFonts w:ascii="Arial" w:eastAsia="Times New Roman" w:hAnsi="Arial" w:cs="Arial"/>
          <w:iCs/>
          <w:sz w:val="24"/>
          <w:szCs w:val="24"/>
          <w:lang w:eastAsia="en-GB"/>
        </w:rPr>
        <w:t>(</w:t>
      </w:r>
      <w:r w:rsidR="001A5042" w:rsidRPr="00593BEB">
        <w:rPr>
          <w:rFonts w:ascii="Arial" w:eastAsia="Times New Roman" w:hAnsi="Arial" w:cs="Arial"/>
          <w:iCs/>
          <w:sz w:val="24"/>
          <w:szCs w:val="24"/>
          <w:lang w:eastAsia="en-GB"/>
        </w:rPr>
        <w:t>1974</w:t>
      </w:r>
      <w:r w:rsidR="00C87C38" w:rsidRPr="00593BEB">
        <w:rPr>
          <w:rFonts w:ascii="Arial" w:eastAsia="Times New Roman" w:hAnsi="Arial" w:cs="Arial"/>
          <w:iCs/>
          <w:sz w:val="24"/>
          <w:szCs w:val="24"/>
          <w:lang w:eastAsia="en-GB"/>
        </w:rPr>
        <w:t>)</w:t>
      </w:r>
      <w:r w:rsidR="001A5042" w:rsidRPr="00593BEB">
        <w:rPr>
          <w:rFonts w:ascii="Arial" w:eastAsia="Times New Roman" w:hAnsi="Arial" w:cs="Arial"/>
          <w:iCs/>
          <w:sz w:val="24"/>
          <w:szCs w:val="24"/>
          <w:lang w:eastAsia="en-GB"/>
        </w:rPr>
        <w:t xml:space="preserve"> and the Data Protection Act (2018), as well as medical professional standards</w:t>
      </w:r>
      <w:r w:rsidR="00161717" w:rsidRPr="00593BEB">
        <w:rPr>
          <w:rFonts w:ascii="Arial" w:eastAsia="Times New Roman" w:hAnsi="Arial" w:cs="Arial"/>
          <w:iCs/>
          <w:sz w:val="24"/>
          <w:szCs w:val="24"/>
          <w:lang w:eastAsia="en-GB"/>
        </w:rPr>
        <w:t xml:space="preserve"> such as </w:t>
      </w:r>
      <w:r w:rsidR="001A5042" w:rsidRPr="00593BEB">
        <w:rPr>
          <w:rFonts w:ascii="Arial" w:eastAsia="Times New Roman" w:hAnsi="Arial" w:cs="Arial"/>
          <w:iCs/>
          <w:sz w:val="24"/>
          <w:szCs w:val="24"/>
          <w:lang w:eastAsia="en-GB"/>
        </w:rPr>
        <w:t>the ‘</w:t>
      </w:r>
      <w:r w:rsidR="0015402C" w:rsidRPr="00593BEB">
        <w:rPr>
          <w:rFonts w:ascii="Arial" w:eastAsia="Times New Roman" w:hAnsi="Arial" w:cs="Arial"/>
          <w:iCs/>
          <w:sz w:val="24"/>
          <w:szCs w:val="24"/>
          <w:lang w:eastAsia="en-GB"/>
        </w:rPr>
        <w:t>The Code</w:t>
      </w:r>
      <w:r w:rsidR="001A5042" w:rsidRPr="00593BEB">
        <w:rPr>
          <w:rFonts w:ascii="Arial" w:eastAsia="Times New Roman" w:hAnsi="Arial" w:cs="Arial"/>
          <w:iCs/>
          <w:sz w:val="24"/>
          <w:szCs w:val="24"/>
          <w:lang w:eastAsia="en-GB"/>
        </w:rPr>
        <w:t>’ for nurse</w:t>
      </w:r>
      <w:r w:rsidR="0015402C" w:rsidRPr="00593BEB">
        <w:rPr>
          <w:rFonts w:ascii="Arial" w:eastAsia="Times New Roman" w:hAnsi="Arial" w:cs="Arial"/>
          <w:iCs/>
          <w:sz w:val="24"/>
          <w:szCs w:val="24"/>
          <w:lang w:eastAsia="en-GB"/>
        </w:rPr>
        <w:t>s</w:t>
      </w:r>
      <w:r w:rsidR="001A5042" w:rsidRPr="00593BEB">
        <w:rPr>
          <w:rFonts w:ascii="Arial" w:eastAsia="Times New Roman" w:hAnsi="Arial" w:cs="Arial"/>
          <w:iCs/>
          <w:sz w:val="24"/>
          <w:szCs w:val="24"/>
          <w:lang w:eastAsia="en-GB"/>
        </w:rPr>
        <w:t xml:space="preserve"> and midwives (N</w:t>
      </w:r>
      <w:r w:rsidR="008E4EC8" w:rsidRPr="00593BEB">
        <w:rPr>
          <w:rFonts w:ascii="Arial" w:eastAsia="Times New Roman" w:hAnsi="Arial" w:cs="Arial"/>
          <w:iCs/>
          <w:sz w:val="24"/>
          <w:szCs w:val="24"/>
          <w:lang w:eastAsia="en-GB"/>
        </w:rPr>
        <w:t xml:space="preserve">ursing &amp; </w:t>
      </w:r>
      <w:r w:rsidR="001A5042" w:rsidRPr="00593BEB">
        <w:rPr>
          <w:rFonts w:ascii="Arial" w:eastAsia="Times New Roman" w:hAnsi="Arial" w:cs="Arial"/>
          <w:iCs/>
          <w:sz w:val="24"/>
          <w:szCs w:val="24"/>
          <w:lang w:eastAsia="en-GB"/>
        </w:rPr>
        <w:t>M</w:t>
      </w:r>
      <w:r w:rsidR="008E4EC8" w:rsidRPr="00593BEB">
        <w:rPr>
          <w:rFonts w:ascii="Arial" w:eastAsia="Times New Roman" w:hAnsi="Arial" w:cs="Arial"/>
          <w:iCs/>
          <w:sz w:val="24"/>
          <w:szCs w:val="24"/>
          <w:lang w:eastAsia="en-GB"/>
        </w:rPr>
        <w:t xml:space="preserve">idwifery </w:t>
      </w:r>
      <w:r w:rsidR="001A5042" w:rsidRPr="00593BEB">
        <w:rPr>
          <w:rFonts w:ascii="Arial" w:eastAsia="Times New Roman" w:hAnsi="Arial" w:cs="Arial"/>
          <w:iCs/>
          <w:sz w:val="24"/>
          <w:szCs w:val="24"/>
          <w:lang w:eastAsia="en-GB"/>
        </w:rPr>
        <w:t>C</w:t>
      </w:r>
      <w:r w:rsidR="008E4EC8" w:rsidRPr="00593BEB">
        <w:rPr>
          <w:rFonts w:ascii="Arial" w:eastAsia="Times New Roman" w:hAnsi="Arial" w:cs="Arial"/>
          <w:iCs/>
          <w:sz w:val="24"/>
          <w:szCs w:val="24"/>
          <w:lang w:eastAsia="en-GB"/>
        </w:rPr>
        <w:t>ouncil (NMC)</w:t>
      </w:r>
      <w:r w:rsidR="0015402C" w:rsidRPr="00593BEB">
        <w:rPr>
          <w:rFonts w:ascii="Arial" w:eastAsia="Times New Roman" w:hAnsi="Arial" w:cs="Arial"/>
          <w:iCs/>
          <w:sz w:val="24"/>
          <w:szCs w:val="24"/>
          <w:lang w:eastAsia="en-GB"/>
        </w:rPr>
        <w:t xml:space="preserve"> 2018</w:t>
      </w:r>
      <w:r w:rsidR="001A5042" w:rsidRPr="00593BEB">
        <w:rPr>
          <w:rFonts w:ascii="Arial" w:eastAsia="Times New Roman" w:hAnsi="Arial" w:cs="Arial"/>
          <w:iCs/>
          <w:sz w:val="24"/>
          <w:szCs w:val="24"/>
          <w:lang w:eastAsia="en-GB"/>
        </w:rPr>
        <w:t>)</w:t>
      </w:r>
      <w:r w:rsidR="00161717" w:rsidRPr="00593BEB">
        <w:rPr>
          <w:rFonts w:ascii="Arial" w:eastAsia="Times New Roman" w:hAnsi="Arial" w:cs="Arial"/>
          <w:i/>
          <w:iCs/>
          <w:sz w:val="24"/>
          <w:szCs w:val="24"/>
          <w:lang w:eastAsia="en-GB"/>
        </w:rPr>
        <w:t>.</w:t>
      </w:r>
      <w:r w:rsidR="00766B8F" w:rsidRPr="00593BEB">
        <w:rPr>
          <w:rFonts w:ascii="Arial" w:eastAsia="Times New Roman" w:hAnsi="Arial" w:cs="Arial"/>
          <w:sz w:val="24"/>
          <w:szCs w:val="24"/>
          <w:lang w:eastAsia="en-GB"/>
        </w:rPr>
        <w:t xml:space="preserve"> It allocate</w:t>
      </w:r>
      <w:r w:rsidR="00161717" w:rsidRPr="00593BEB">
        <w:rPr>
          <w:rFonts w:ascii="Arial" w:eastAsia="Times New Roman" w:hAnsi="Arial" w:cs="Arial"/>
          <w:sz w:val="24"/>
          <w:szCs w:val="24"/>
          <w:lang w:eastAsia="en-GB"/>
        </w:rPr>
        <w:t>s</w:t>
      </w:r>
      <w:r w:rsidR="00766B8F" w:rsidRPr="00593BEB">
        <w:rPr>
          <w:rFonts w:ascii="Arial" w:eastAsia="Times New Roman" w:hAnsi="Arial" w:cs="Arial"/>
          <w:sz w:val="24"/>
          <w:szCs w:val="24"/>
          <w:lang w:eastAsia="en-GB"/>
        </w:rPr>
        <w:t xml:space="preserve"> the patient a unique number upon registration. This allow</w:t>
      </w:r>
      <w:r w:rsidR="00161717" w:rsidRPr="00593BEB">
        <w:rPr>
          <w:rFonts w:ascii="Arial" w:eastAsia="Times New Roman" w:hAnsi="Arial" w:cs="Arial"/>
          <w:sz w:val="24"/>
          <w:szCs w:val="24"/>
          <w:lang w:eastAsia="en-GB"/>
        </w:rPr>
        <w:t>s</w:t>
      </w:r>
      <w:r w:rsidR="00766B8F" w:rsidRPr="00593BEB">
        <w:rPr>
          <w:rFonts w:ascii="Arial" w:eastAsia="Times New Roman" w:hAnsi="Arial" w:cs="Arial"/>
          <w:sz w:val="24"/>
          <w:szCs w:val="24"/>
          <w:lang w:eastAsia="en-GB"/>
        </w:rPr>
        <w:t xml:space="preserve"> any investigations to be sent to the laboratory on a clinic number and date of birth- ensuring confidentiality. </w:t>
      </w:r>
    </w:p>
    <w:p w14:paraId="7052385E" w14:textId="77777777" w:rsidR="00E3141E" w:rsidRPr="00593BEB" w:rsidRDefault="00E3141E"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139B16C9" w14:textId="5C5D0E18" w:rsidR="00766B8F" w:rsidRPr="00593BEB" w:rsidRDefault="00766B8F"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r w:rsidRPr="00593BEB">
        <w:rPr>
          <w:rFonts w:ascii="Arial" w:eastAsia="Times New Roman" w:hAnsi="Arial" w:cs="Arial"/>
          <w:sz w:val="24"/>
          <w:szCs w:val="24"/>
          <w:lang w:eastAsia="en-GB"/>
        </w:rPr>
        <w:lastRenderedPageBreak/>
        <w:t>The system is also able to store the patient’s full electronic records, case notes</w:t>
      </w:r>
      <w:r w:rsidR="00C877EE" w:rsidRPr="00593BEB">
        <w:rPr>
          <w:rFonts w:ascii="Arial" w:eastAsia="Times New Roman" w:hAnsi="Arial" w:cs="Arial"/>
          <w:sz w:val="24"/>
          <w:szCs w:val="24"/>
          <w:lang w:eastAsia="en-GB"/>
        </w:rPr>
        <w:t>, results management, texting service,</w:t>
      </w:r>
      <w:r w:rsidRPr="00593BEB">
        <w:rPr>
          <w:rFonts w:ascii="Arial" w:eastAsia="Times New Roman" w:hAnsi="Arial" w:cs="Arial"/>
          <w:sz w:val="24"/>
          <w:szCs w:val="24"/>
          <w:lang w:eastAsia="en-GB"/>
        </w:rPr>
        <w:t xml:space="preserve"> and coding required for Public Health Wales data.</w:t>
      </w:r>
      <w:r w:rsidR="001E65A9" w:rsidRPr="00593BEB">
        <w:rPr>
          <w:rFonts w:ascii="Arial" w:eastAsia="Times New Roman" w:hAnsi="Arial" w:cs="Arial"/>
          <w:sz w:val="24"/>
          <w:szCs w:val="24"/>
          <w:lang w:eastAsia="en-GB"/>
        </w:rPr>
        <w:t xml:space="preserve"> </w:t>
      </w:r>
      <w:r w:rsidR="00E3141E" w:rsidRPr="00593BEB">
        <w:rPr>
          <w:rFonts w:ascii="Arial" w:eastAsia="Times New Roman" w:hAnsi="Arial" w:cs="Arial"/>
          <w:sz w:val="24"/>
          <w:szCs w:val="24"/>
          <w:lang w:eastAsia="en-GB"/>
        </w:rPr>
        <w:t>The electronic</w:t>
      </w:r>
      <w:r w:rsidR="002B40C4" w:rsidRPr="00593BEB">
        <w:rPr>
          <w:rFonts w:ascii="Arial" w:eastAsia="Times New Roman" w:hAnsi="Arial" w:cs="Arial"/>
          <w:sz w:val="24"/>
          <w:szCs w:val="24"/>
          <w:lang w:eastAsia="en-GB"/>
        </w:rPr>
        <w:t xml:space="preserve"> patient</w:t>
      </w:r>
      <w:r w:rsidR="00E3141E" w:rsidRPr="00593BEB">
        <w:rPr>
          <w:rFonts w:ascii="Arial" w:eastAsia="Times New Roman" w:hAnsi="Arial" w:cs="Arial"/>
          <w:sz w:val="24"/>
          <w:szCs w:val="24"/>
          <w:lang w:eastAsia="en-GB"/>
        </w:rPr>
        <w:t xml:space="preserve"> records</w:t>
      </w:r>
      <w:r w:rsidR="002B40C4" w:rsidRPr="00593BEB">
        <w:rPr>
          <w:rFonts w:ascii="Arial" w:eastAsia="Times New Roman" w:hAnsi="Arial" w:cs="Arial"/>
          <w:sz w:val="24"/>
          <w:szCs w:val="24"/>
          <w:lang w:eastAsia="en-GB"/>
        </w:rPr>
        <w:t xml:space="preserve"> (EPR)</w:t>
      </w:r>
      <w:r w:rsidR="00E3141E" w:rsidRPr="00593BEB">
        <w:rPr>
          <w:rFonts w:ascii="Arial" w:eastAsia="Times New Roman" w:hAnsi="Arial" w:cs="Arial"/>
          <w:sz w:val="24"/>
          <w:szCs w:val="24"/>
          <w:lang w:eastAsia="en-GB"/>
        </w:rPr>
        <w:t xml:space="preserve"> aspect of MillCare was not introduced to SBUHB until May 2022. </w:t>
      </w:r>
      <w:r w:rsidR="002B40C4" w:rsidRPr="00593BEB">
        <w:rPr>
          <w:rFonts w:ascii="Arial" w:eastAsia="Times New Roman" w:hAnsi="Arial" w:cs="Arial"/>
          <w:sz w:val="24"/>
          <w:szCs w:val="24"/>
          <w:lang w:eastAsia="en-GB"/>
        </w:rPr>
        <w:t>For the purpose of this analysis, the EPR element of MillCare will be examined.</w:t>
      </w:r>
    </w:p>
    <w:p w14:paraId="52C49C19" w14:textId="17431DFE" w:rsidR="00E3141E" w:rsidRPr="00593BEB" w:rsidRDefault="00E3141E"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04E2524C" w14:textId="77777777" w:rsidR="00E3141E" w:rsidRPr="00593BEB" w:rsidRDefault="00E3141E"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3DDCEACC" w14:textId="6EBE275B" w:rsidR="00C3205C" w:rsidRPr="00593BEB" w:rsidRDefault="00C3205C"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MillSystems Ltd. announced that they had gone into liquidation in January 2023, giving no prior warning to the Health Boards using their software. </w:t>
      </w:r>
      <w:r w:rsidR="008910D2" w:rsidRPr="00593BEB">
        <w:rPr>
          <w:rFonts w:ascii="Arial" w:eastAsia="Times New Roman" w:hAnsi="Arial" w:cs="Arial"/>
          <w:sz w:val="24"/>
          <w:szCs w:val="24"/>
          <w:lang w:eastAsia="en-GB"/>
        </w:rPr>
        <w:t>This place</w:t>
      </w:r>
      <w:r w:rsidR="00EB21D1">
        <w:rPr>
          <w:rFonts w:ascii="Arial" w:eastAsia="Times New Roman" w:hAnsi="Arial" w:cs="Arial"/>
          <w:sz w:val="24"/>
          <w:szCs w:val="24"/>
          <w:lang w:eastAsia="en-GB"/>
        </w:rPr>
        <w:t>s</w:t>
      </w:r>
      <w:r w:rsidR="008910D2" w:rsidRPr="00593BEB">
        <w:rPr>
          <w:rFonts w:ascii="Arial" w:eastAsia="Times New Roman" w:hAnsi="Arial" w:cs="Arial"/>
          <w:sz w:val="24"/>
          <w:szCs w:val="24"/>
          <w:lang w:eastAsia="en-GB"/>
        </w:rPr>
        <w:t xml:space="preserve"> SBUHB into a precarious position, whereby they are using an outdated system with no technological support. Therefore, Public Health Wales have been tasked by the Welsh Assembly Government (WAG) with the development of an ‘All Wales’ sexual health system. </w:t>
      </w:r>
    </w:p>
    <w:p w14:paraId="226D3C35" w14:textId="53AB84CF" w:rsidR="008910D2" w:rsidRPr="00593BEB" w:rsidRDefault="008910D2"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6B75C12B" w14:textId="3B1D9CEF" w:rsidR="00161717" w:rsidRPr="00593BEB" w:rsidRDefault="008910D2" w:rsidP="003B4588">
      <w:pPr>
        <w:pStyle w:val="ListParagraph"/>
        <w:spacing w:before="100" w:beforeAutospacing="1" w:after="100" w:afterAutospacing="1" w:line="240" w:lineRule="auto"/>
        <w:jc w:val="both"/>
        <w:outlineLvl w:val="3"/>
        <w:rPr>
          <w:rFonts w:ascii="Arial" w:hAnsi="Arial" w:cs="Arial"/>
          <w:sz w:val="24"/>
          <w:szCs w:val="24"/>
        </w:rPr>
      </w:pPr>
      <w:r w:rsidRPr="00593BEB">
        <w:rPr>
          <w:rFonts w:ascii="Arial" w:eastAsia="Times New Roman" w:hAnsi="Arial" w:cs="Arial"/>
          <w:sz w:val="24"/>
          <w:szCs w:val="24"/>
          <w:lang w:eastAsia="en-GB"/>
        </w:rPr>
        <w:t xml:space="preserve">The evaluation of MillCare is now even more crucial, to ensure this new system will be effective, user-friendly and evidence based. </w:t>
      </w:r>
      <w:r w:rsidR="00BB28E5" w:rsidRPr="00593BEB">
        <w:rPr>
          <w:rFonts w:ascii="Arial" w:eastAsia="Times New Roman" w:hAnsi="Arial" w:cs="Arial"/>
          <w:sz w:val="24"/>
          <w:szCs w:val="24"/>
          <w:lang w:eastAsia="en-GB"/>
        </w:rPr>
        <w:t>The evaluation of</w:t>
      </w:r>
      <w:r w:rsidR="00161717" w:rsidRPr="00593BEB">
        <w:rPr>
          <w:rFonts w:ascii="Arial" w:hAnsi="Arial" w:cs="Arial"/>
          <w:sz w:val="24"/>
          <w:szCs w:val="24"/>
        </w:rPr>
        <w:t xml:space="preserve"> the design, functionality, and impact</w:t>
      </w:r>
      <w:r w:rsidR="00BB28E5" w:rsidRPr="00593BEB">
        <w:rPr>
          <w:rFonts w:ascii="Arial" w:hAnsi="Arial" w:cs="Arial"/>
          <w:sz w:val="24"/>
          <w:szCs w:val="24"/>
        </w:rPr>
        <w:t xml:space="preserve"> of healthcare systems</w:t>
      </w:r>
      <w:r w:rsidR="00161717" w:rsidRPr="00593BEB">
        <w:rPr>
          <w:rFonts w:ascii="Arial" w:hAnsi="Arial" w:cs="Arial"/>
          <w:sz w:val="24"/>
          <w:szCs w:val="24"/>
        </w:rPr>
        <w:t xml:space="preserve"> can determine whether these systems meet the needs of </w:t>
      </w:r>
      <w:r w:rsidR="007409EB">
        <w:rPr>
          <w:rFonts w:ascii="Arial" w:hAnsi="Arial" w:cs="Arial"/>
          <w:sz w:val="24"/>
          <w:szCs w:val="24"/>
        </w:rPr>
        <w:t>the</w:t>
      </w:r>
      <w:r w:rsidR="00161717" w:rsidRPr="00593BEB">
        <w:rPr>
          <w:rFonts w:ascii="Arial" w:hAnsi="Arial" w:cs="Arial"/>
          <w:sz w:val="24"/>
          <w:szCs w:val="24"/>
        </w:rPr>
        <w:t xml:space="preserve"> </w:t>
      </w:r>
      <w:r w:rsidR="007409EB">
        <w:rPr>
          <w:rFonts w:ascii="Arial" w:hAnsi="Arial" w:cs="Arial"/>
          <w:sz w:val="24"/>
          <w:szCs w:val="24"/>
        </w:rPr>
        <w:t>patients and staff</w:t>
      </w:r>
      <w:r w:rsidR="00161717" w:rsidRPr="00593BEB">
        <w:rPr>
          <w:rFonts w:ascii="Arial" w:hAnsi="Arial" w:cs="Arial"/>
          <w:sz w:val="24"/>
          <w:szCs w:val="24"/>
        </w:rPr>
        <w:t>, promote safe practices, and provide accurate information</w:t>
      </w:r>
      <w:r w:rsidR="00F927F7" w:rsidRPr="00593BEB">
        <w:rPr>
          <w:rFonts w:ascii="Arial" w:hAnsi="Arial" w:cs="Arial"/>
          <w:sz w:val="24"/>
          <w:szCs w:val="24"/>
        </w:rPr>
        <w:t xml:space="preserve"> (Murray et al 2016)</w:t>
      </w:r>
      <w:r w:rsidR="00161717" w:rsidRPr="00593BEB">
        <w:rPr>
          <w:rFonts w:ascii="Arial" w:hAnsi="Arial" w:cs="Arial"/>
          <w:sz w:val="24"/>
          <w:szCs w:val="24"/>
        </w:rPr>
        <w:t xml:space="preserve">. </w:t>
      </w:r>
      <w:r w:rsidR="00F81BAA" w:rsidRPr="00593BEB">
        <w:rPr>
          <w:rFonts w:ascii="Arial" w:hAnsi="Arial" w:cs="Arial"/>
          <w:sz w:val="24"/>
          <w:szCs w:val="24"/>
        </w:rPr>
        <w:t>E</w:t>
      </w:r>
      <w:r w:rsidR="00161717" w:rsidRPr="00593BEB">
        <w:rPr>
          <w:rFonts w:ascii="Arial" w:hAnsi="Arial" w:cs="Arial"/>
          <w:sz w:val="24"/>
          <w:szCs w:val="24"/>
        </w:rPr>
        <w:t xml:space="preserve">valuation also identifies potential barriers to access, such as usability issues, and highlights opportunities for personalisation and </w:t>
      </w:r>
      <w:r w:rsidR="00EB21D1">
        <w:rPr>
          <w:rFonts w:ascii="Arial" w:hAnsi="Arial" w:cs="Arial"/>
          <w:sz w:val="24"/>
          <w:szCs w:val="24"/>
        </w:rPr>
        <w:t>adaptations</w:t>
      </w:r>
      <w:r w:rsidR="00F927F7" w:rsidRPr="00593BEB">
        <w:rPr>
          <w:rFonts w:ascii="Arial" w:hAnsi="Arial" w:cs="Arial"/>
          <w:sz w:val="24"/>
          <w:szCs w:val="24"/>
        </w:rPr>
        <w:t xml:space="preserve"> (Murray et al 2016)</w:t>
      </w:r>
      <w:r w:rsidR="00161717" w:rsidRPr="00593BEB">
        <w:rPr>
          <w:rFonts w:ascii="Arial" w:hAnsi="Arial" w:cs="Arial"/>
          <w:sz w:val="24"/>
          <w:szCs w:val="24"/>
        </w:rPr>
        <w:t>.</w:t>
      </w:r>
      <w:r w:rsidR="00702F73" w:rsidRPr="00593BEB">
        <w:rPr>
          <w:rFonts w:ascii="Arial" w:hAnsi="Arial" w:cs="Arial"/>
          <w:sz w:val="24"/>
          <w:szCs w:val="24"/>
        </w:rPr>
        <w:t xml:space="preserve"> </w:t>
      </w:r>
      <w:r w:rsidR="00EB21D1" w:rsidRPr="00EB21D1">
        <w:rPr>
          <w:rFonts w:ascii="Arial" w:hAnsi="Arial" w:cs="Arial"/>
          <w:sz w:val="24"/>
          <w:szCs w:val="24"/>
        </w:rPr>
        <w:t xml:space="preserve">To successfully adopt new technology, </w:t>
      </w:r>
      <w:r w:rsidR="00EB21D1">
        <w:rPr>
          <w:rFonts w:ascii="Arial" w:hAnsi="Arial" w:cs="Arial"/>
          <w:sz w:val="24"/>
          <w:szCs w:val="24"/>
        </w:rPr>
        <w:t>organisations</w:t>
      </w:r>
      <w:r w:rsidR="00EB21D1" w:rsidRPr="00EB21D1">
        <w:rPr>
          <w:rFonts w:ascii="Arial" w:hAnsi="Arial" w:cs="Arial"/>
          <w:sz w:val="24"/>
          <w:szCs w:val="24"/>
        </w:rPr>
        <w:t xml:space="preserve"> need to </w:t>
      </w:r>
      <w:r w:rsidR="00EB21D1">
        <w:rPr>
          <w:rFonts w:ascii="Arial" w:hAnsi="Arial" w:cs="Arial"/>
          <w:sz w:val="24"/>
          <w:szCs w:val="24"/>
        </w:rPr>
        <w:t xml:space="preserve">adapt, </w:t>
      </w:r>
      <w:r w:rsidR="00EB21D1" w:rsidRPr="00EB21D1">
        <w:rPr>
          <w:rFonts w:ascii="Arial" w:hAnsi="Arial" w:cs="Arial"/>
          <w:sz w:val="24"/>
          <w:szCs w:val="24"/>
        </w:rPr>
        <w:t>change the way they work and make adjustments that are</w:t>
      </w:r>
      <w:r w:rsidR="00EB21D1">
        <w:rPr>
          <w:rFonts w:ascii="Arial" w:hAnsi="Arial" w:cs="Arial"/>
          <w:sz w:val="24"/>
          <w:szCs w:val="24"/>
        </w:rPr>
        <w:t xml:space="preserve"> </w:t>
      </w:r>
      <w:r w:rsidR="00EB21D1" w:rsidRPr="00EB21D1">
        <w:rPr>
          <w:rFonts w:ascii="Arial" w:hAnsi="Arial" w:cs="Arial"/>
          <w:sz w:val="24"/>
          <w:szCs w:val="24"/>
        </w:rPr>
        <w:t>n</w:t>
      </w:r>
      <w:r w:rsidR="00EB21D1">
        <w:rPr>
          <w:rFonts w:ascii="Arial" w:hAnsi="Arial" w:cs="Arial"/>
          <w:sz w:val="24"/>
          <w:szCs w:val="24"/>
        </w:rPr>
        <w:t>ot always obvious at first implementation</w:t>
      </w:r>
      <w:r w:rsidR="00EB21D1" w:rsidRPr="00593BEB">
        <w:rPr>
          <w:rFonts w:ascii="Arial" w:hAnsi="Arial" w:cs="Arial"/>
          <w:sz w:val="24"/>
          <w:szCs w:val="24"/>
        </w:rPr>
        <w:t xml:space="preserve"> </w:t>
      </w:r>
      <w:r w:rsidR="00702F73" w:rsidRPr="00593BEB">
        <w:rPr>
          <w:rFonts w:ascii="Arial" w:hAnsi="Arial" w:cs="Arial"/>
          <w:sz w:val="24"/>
          <w:szCs w:val="24"/>
        </w:rPr>
        <w:t>(Tsiknakis &amp; Kouranbali 2009).</w:t>
      </w:r>
    </w:p>
    <w:p w14:paraId="11DBA79A" w14:textId="2096384A" w:rsidR="008910D2" w:rsidRPr="00593BEB" w:rsidRDefault="00161717" w:rsidP="003B4588">
      <w:pPr>
        <w:pStyle w:val="ListParagraph"/>
        <w:spacing w:before="100" w:beforeAutospacing="1" w:after="100" w:afterAutospacing="1" w:line="240" w:lineRule="auto"/>
        <w:jc w:val="both"/>
        <w:outlineLvl w:val="3"/>
        <w:rPr>
          <w:rFonts w:ascii="Arial" w:hAnsi="Arial" w:cs="Arial"/>
          <w:sz w:val="24"/>
          <w:szCs w:val="24"/>
        </w:rPr>
      </w:pPr>
      <w:r w:rsidRPr="00593BEB">
        <w:rPr>
          <w:rFonts w:ascii="Arial" w:hAnsi="Arial" w:cs="Arial"/>
          <w:sz w:val="24"/>
          <w:szCs w:val="24"/>
        </w:rPr>
        <w:t xml:space="preserve">For the purpose of this </w:t>
      </w:r>
      <w:r w:rsidR="00702F73" w:rsidRPr="00593BEB">
        <w:rPr>
          <w:rFonts w:ascii="Arial" w:hAnsi="Arial" w:cs="Arial"/>
          <w:sz w:val="24"/>
          <w:szCs w:val="24"/>
        </w:rPr>
        <w:t>analysis</w:t>
      </w:r>
      <w:r w:rsidRPr="00593BEB">
        <w:rPr>
          <w:rFonts w:ascii="Arial" w:hAnsi="Arial" w:cs="Arial"/>
          <w:sz w:val="24"/>
          <w:szCs w:val="24"/>
        </w:rPr>
        <w:t xml:space="preserve">, the </w:t>
      </w:r>
      <w:r w:rsidR="008910D2" w:rsidRPr="00593BEB">
        <w:rPr>
          <w:rFonts w:ascii="Arial" w:hAnsi="Arial" w:cs="Arial"/>
          <w:sz w:val="24"/>
          <w:szCs w:val="24"/>
        </w:rPr>
        <w:t>‘</w:t>
      </w:r>
      <w:r w:rsidRPr="00593BEB">
        <w:rPr>
          <w:rFonts w:ascii="Arial" w:hAnsi="Arial" w:cs="Arial"/>
          <w:sz w:val="24"/>
          <w:szCs w:val="24"/>
        </w:rPr>
        <w:t>FITT framework</w:t>
      </w:r>
      <w:r w:rsidR="008910D2" w:rsidRPr="00593BEB">
        <w:rPr>
          <w:rFonts w:ascii="Arial" w:hAnsi="Arial" w:cs="Arial"/>
          <w:sz w:val="24"/>
          <w:szCs w:val="24"/>
        </w:rPr>
        <w:t>’</w:t>
      </w:r>
      <w:r w:rsidR="00702F73" w:rsidRPr="00593BEB">
        <w:rPr>
          <w:rFonts w:ascii="Arial" w:hAnsi="Arial" w:cs="Arial"/>
          <w:sz w:val="24"/>
          <w:szCs w:val="24"/>
        </w:rPr>
        <w:t xml:space="preserve"> (Ammenwerth et al 2006)</w:t>
      </w:r>
      <w:r w:rsidRPr="00593BEB">
        <w:rPr>
          <w:rFonts w:ascii="Arial" w:hAnsi="Arial" w:cs="Arial"/>
          <w:sz w:val="24"/>
          <w:szCs w:val="24"/>
        </w:rPr>
        <w:t xml:space="preserve"> has been selected. </w:t>
      </w:r>
    </w:p>
    <w:p w14:paraId="758F5CA6" w14:textId="77777777" w:rsidR="008910D2" w:rsidRPr="00593BEB" w:rsidRDefault="008910D2" w:rsidP="003B4588">
      <w:pPr>
        <w:pStyle w:val="ListParagraph"/>
        <w:spacing w:before="100" w:beforeAutospacing="1" w:after="100" w:afterAutospacing="1" w:line="240" w:lineRule="auto"/>
        <w:jc w:val="both"/>
        <w:outlineLvl w:val="3"/>
        <w:rPr>
          <w:rFonts w:ascii="Arial" w:hAnsi="Arial" w:cs="Arial"/>
          <w:sz w:val="24"/>
          <w:szCs w:val="24"/>
        </w:rPr>
      </w:pPr>
    </w:p>
    <w:p w14:paraId="5C4B262E" w14:textId="16B05792" w:rsidR="008910D2" w:rsidRPr="00593BEB" w:rsidRDefault="008910D2" w:rsidP="003B4588">
      <w:pPr>
        <w:pStyle w:val="ListParagraph"/>
        <w:spacing w:before="100" w:beforeAutospacing="1" w:after="100" w:afterAutospacing="1" w:line="240" w:lineRule="auto"/>
        <w:jc w:val="both"/>
        <w:outlineLvl w:val="3"/>
        <w:rPr>
          <w:rFonts w:ascii="Arial" w:hAnsi="Arial" w:cs="Arial"/>
          <w:b/>
          <w:sz w:val="24"/>
          <w:szCs w:val="24"/>
        </w:rPr>
      </w:pPr>
      <w:r w:rsidRPr="00593BEB">
        <w:rPr>
          <w:rFonts w:ascii="Arial" w:hAnsi="Arial" w:cs="Arial"/>
          <w:b/>
          <w:sz w:val="24"/>
          <w:szCs w:val="24"/>
        </w:rPr>
        <w:t>Methods</w:t>
      </w:r>
    </w:p>
    <w:p w14:paraId="061C35AA" w14:textId="77777777" w:rsidR="008910D2" w:rsidRPr="00593BEB" w:rsidRDefault="008910D2" w:rsidP="003B4588">
      <w:pPr>
        <w:pStyle w:val="ListParagraph"/>
        <w:spacing w:before="100" w:beforeAutospacing="1" w:after="100" w:afterAutospacing="1" w:line="240" w:lineRule="auto"/>
        <w:jc w:val="both"/>
        <w:outlineLvl w:val="3"/>
        <w:rPr>
          <w:rFonts w:ascii="Arial" w:hAnsi="Arial" w:cs="Arial"/>
          <w:sz w:val="24"/>
          <w:szCs w:val="24"/>
        </w:rPr>
      </w:pPr>
    </w:p>
    <w:p w14:paraId="1A188A74" w14:textId="3EC38313" w:rsidR="00161717" w:rsidRPr="00593BEB" w:rsidRDefault="00161717" w:rsidP="003B4588">
      <w:pPr>
        <w:pStyle w:val="ListParagraph"/>
        <w:spacing w:before="100" w:beforeAutospacing="1" w:after="100" w:afterAutospacing="1" w:line="240" w:lineRule="auto"/>
        <w:jc w:val="both"/>
        <w:outlineLvl w:val="3"/>
        <w:rPr>
          <w:rFonts w:ascii="Arial" w:hAnsi="Arial" w:cs="Arial"/>
          <w:sz w:val="24"/>
          <w:szCs w:val="24"/>
        </w:rPr>
      </w:pPr>
      <w:r w:rsidRPr="00593BEB">
        <w:rPr>
          <w:rFonts w:ascii="Arial" w:hAnsi="Arial" w:cs="Arial"/>
          <w:sz w:val="24"/>
          <w:szCs w:val="24"/>
        </w:rPr>
        <w:t>The FITT framework examines the ‘fit’ between individuals, the task, and the technology</w:t>
      </w:r>
      <w:r w:rsidR="00F96CD1" w:rsidRPr="00593BEB">
        <w:rPr>
          <w:rFonts w:ascii="Arial" w:hAnsi="Arial" w:cs="Arial"/>
          <w:sz w:val="24"/>
          <w:szCs w:val="24"/>
        </w:rPr>
        <w:t xml:space="preserve"> (Ammenw</w:t>
      </w:r>
      <w:r w:rsidR="000E1DC8">
        <w:rPr>
          <w:rFonts w:ascii="Arial" w:hAnsi="Arial" w:cs="Arial"/>
          <w:sz w:val="24"/>
          <w:szCs w:val="24"/>
        </w:rPr>
        <w:t>e</w:t>
      </w:r>
      <w:r w:rsidR="00F96CD1" w:rsidRPr="00593BEB">
        <w:rPr>
          <w:rFonts w:ascii="Arial" w:hAnsi="Arial" w:cs="Arial"/>
          <w:sz w:val="24"/>
          <w:szCs w:val="24"/>
        </w:rPr>
        <w:t>rth et al 2006)</w:t>
      </w:r>
      <w:r w:rsidRPr="00593BEB">
        <w:rPr>
          <w:rFonts w:ascii="Arial" w:hAnsi="Arial" w:cs="Arial"/>
          <w:sz w:val="24"/>
          <w:szCs w:val="24"/>
        </w:rPr>
        <w:t>.</w:t>
      </w:r>
      <w:r w:rsidR="00F96CD1" w:rsidRPr="00593BEB">
        <w:rPr>
          <w:rFonts w:ascii="Arial" w:hAnsi="Arial" w:cs="Arial"/>
          <w:sz w:val="24"/>
          <w:szCs w:val="24"/>
        </w:rPr>
        <w:t xml:space="preserve"> The framework, which has been shown to be useful in several case studies, was developed as a tool to analyse factors that influence the success or failure of digital technology in healthcare (Kujala et al 2020). </w:t>
      </w:r>
    </w:p>
    <w:p w14:paraId="593ECB85" w14:textId="0C552C34" w:rsidR="00EE5AF1" w:rsidRPr="00593BEB" w:rsidRDefault="00EE5AF1" w:rsidP="003B4588">
      <w:pPr>
        <w:pStyle w:val="ListParagraph"/>
        <w:spacing w:before="100" w:beforeAutospacing="1" w:after="100" w:afterAutospacing="1" w:line="240" w:lineRule="auto"/>
        <w:jc w:val="both"/>
        <w:outlineLvl w:val="3"/>
        <w:rPr>
          <w:rFonts w:ascii="Arial" w:hAnsi="Arial" w:cs="Arial"/>
          <w:sz w:val="24"/>
          <w:szCs w:val="24"/>
        </w:rPr>
      </w:pPr>
    </w:p>
    <w:p w14:paraId="3A8D817C" w14:textId="2E88D697" w:rsidR="00EE5AF1" w:rsidRPr="00593BEB" w:rsidRDefault="00EE5AF1" w:rsidP="003B4588">
      <w:pPr>
        <w:pStyle w:val="ListParagraph"/>
        <w:spacing w:before="100" w:beforeAutospacing="1" w:after="100" w:afterAutospacing="1" w:line="240" w:lineRule="auto"/>
        <w:jc w:val="both"/>
        <w:outlineLvl w:val="3"/>
        <w:rPr>
          <w:rFonts w:ascii="Arial" w:hAnsi="Arial" w:cs="Arial"/>
          <w:i/>
          <w:sz w:val="18"/>
          <w:szCs w:val="18"/>
        </w:rPr>
      </w:pPr>
      <w:r w:rsidRPr="00593BEB">
        <w:rPr>
          <w:rFonts w:ascii="Arial" w:hAnsi="Arial" w:cs="Arial"/>
          <w:i/>
          <w:sz w:val="18"/>
          <w:szCs w:val="18"/>
        </w:rPr>
        <w:t xml:space="preserve">Figure 1. </w:t>
      </w:r>
      <w:r w:rsidR="00BA14E4" w:rsidRPr="00593BEB">
        <w:rPr>
          <w:rFonts w:ascii="Arial" w:hAnsi="Arial" w:cs="Arial"/>
          <w:i/>
          <w:sz w:val="18"/>
          <w:szCs w:val="18"/>
        </w:rPr>
        <w:t>‘</w:t>
      </w:r>
      <w:r w:rsidRPr="00593BEB">
        <w:rPr>
          <w:rFonts w:ascii="Arial" w:hAnsi="Arial" w:cs="Arial"/>
          <w:i/>
          <w:sz w:val="18"/>
          <w:szCs w:val="18"/>
        </w:rPr>
        <w:t>The FITT framework</w:t>
      </w:r>
      <w:r w:rsidR="00BA14E4" w:rsidRPr="00593BEB">
        <w:rPr>
          <w:rFonts w:ascii="Arial" w:hAnsi="Arial" w:cs="Arial"/>
          <w:i/>
          <w:sz w:val="18"/>
          <w:szCs w:val="18"/>
        </w:rPr>
        <w:t>’</w:t>
      </w:r>
      <w:r w:rsidRPr="00593BEB">
        <w:rPr>
          <w:rFonts w:ascii="Arial" w:hAnsi="Arial" w:cs="Arial"/>
          <w:i/>
          <w:sz w:val="18"/>
          <w:szCs w:val="18"/>
        </w:rPr>
        <w:t xml:space="preserve"> (Fit between individuals, task and technology) </w:t>
      </w:r>
      <w:r w:rsidR="00F927F7" w:rsidRPr="00593BEB">
        <w:rPr>
          <w:rFonts w:ascii="Arial" w:hAnsi="Arial" w:cs="Arial"/>
          <w:i/>
          <w:sz w:val="18"/>
          <w:szCs w:val="18"/>
        </w:rPr>
        <w:t>(</w:t>
      </w:r>
      <w:r w:rsidRPr="00593BEB">
        <w:rPr>
          <w:rFonts w:ascii="Arial" w:hAnsi="Arial" w:cs="Arial"/>
          <w:i/>
          <w:sz w:val="18"/>
          <w:szCs w:val="18"/>
        </w:rPr>
        <w:t>Ammenworth et al 2006</w:t>
      </w:r>
      <w:r w:rsidR="00F927F7" w:rsidRPr="00593BEB">
        <w:rPr>
          <w:rFonts w:ascii="Arial" w:hAnsi="Arial" w:cs="Arial"/>
          <w:i/>
          <w:sz w:val="18"/>
          <w:szCs w:val="18"/>
        </w:rPr>
        <w:t>)</w:t>
      </w:r>
      <w:r w:rsidRPr="00593BEB">
        <w:rPr>
          <w:rFonts w:ascii="Arial" w:hAnsi="Arial" w:cs="Arial"/>
          <w:i/>
          <w:sz w:val="18"/>
          <w:szCs w:val="18"/>
        </w:rPr>
        <w:t>.</w:t>
      </w:r>
    </w:p>
    <w:p w14:paraId="7E9F69D6" w14:textId="17675A97" w:rsidR="00EE5AF1" w:rsidRPr="00593BEB" w:rsidRDefault="00EE5AF1" w:rsidP="003B4588">
      <w:pPr>
        <w:pStyle w:val="ListParagraph"/>
        <w:spacing w:before="100" w:beforeAutospacing="1" w:after="100" w:afterAutospacing="1" w:line="240" w:lineRule="auto"/>
        <w:jc w:val="both"/>
        <w:outlineLvl w:val="3"/>
        <w:rPr>
          <w:rFonts w:ascii="Arial" w:hAnsi="Arial" w:cs="Arial"/>
          <w:sz w:val="24"/>
          <w:szCs w:val="24"/>
        </w:rPr>
      </w:pPr>
    </w:p>
    <w:p w14:paraId="730B225A" w14:textId="2B0F91E1" w:rsidR="00EE5AF1" w:rsidRPr="00593BEB" w:rsidRDefault="00EE5AF1" w:rsidP="008E64B7">
      <w:pPr>
        <w:pStyle w:val="ListParagraph"/>
        <w:spacing w:before="100" w:beforeAutospacing="1" w:after="100" w:afterAutospacing="1" w:line="240" w:lineRule="auto"/>
        <w:jc w:val="center"/>
        <w:outlineLvl w:val="3"/>
        <w:rPr>
          <w:rFonts w:ascii="Arial" w:eastAsia="Times New Roman" w:hAnsi="Arial" w:cs="Arial"/>
          <w:sz w:val="24"/>
          <w:szCs w:val="24"/>
          <w:lang w:eastAsia="en-GB"/>
        </w:rPr>
      </w:pPr>
      <w:r w:rsidRPr="00593BEB">
        <w:rPr>
          <w:rFonts w:ascii="Arial" w:hAnsi="Arial" w:cs="Arial"/>
          <w:noProof/>
          <w:sz w:val="24"/>
          <w:szCs w:val="24"/>
          <w:lang w:eastAsia="en-GB"/>
        </w:rPr>
        <w:drawing>
          <wp:inline distT="0" distB="0" distL="0" distR="0" wp14:anchorId="3543A149" wp14:editId="5244559C">
            <wp:extent cx="3799840" cy="2166655"/>
            <wp:effectExtent l="0" t="0" r="0" b="5080"/>
            <wp:docPr id="2" name="Picture 2" descr="The FITT framework (FITT) by Ammenwerth et al [3 11: IT adop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FITT framework (FITT) by Ammenwerth et al [3 11: IT adoptio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4240" cy="2203376"/>
                    </a:xfrm>
                    <a:prstGeom prst="rect">
                      <a:avLst/>
                    </a:prstGeom>
                    <a:noFill/>
                    <a:ln>
                      <a:noFill/>
                    </a:ln>
                  </pic:spPr>
                </pic:pic>
              </a:graphicData>
            </a:graphic>
          </wp:inline>
        </w:drawing>
      </w:r>
    </w:p>
    <w:p w14:paraId="38AFBF99" w14:textId="49561EBB" w:rsidR="001529C3" w:rsidRPr="00593BEB" w:rsidRDefault="001529C3" w:rsidP="003B4588">
      <w:pPr>
        <w:pStyle w:val="ListParagraph"/>
        <w:spacing w:before="100" w:beforeAutospacing="1" w:after="100" w:afterAutospacing="1" w:line="240" w:lineRule="auto"/>
        <w:jc w:val="both"/>
        <w:outlineLvl w:val="3"/>
        <w:rPr>
          <w:rFonts w:ascii="Arial" w:eastAsia="Times New Roman" w:hAnsi="Arial" w:cs="Arial"/>
          <w:sz w:val="24"/>
          <w:szCs w:val="24"/>
          <w:lang w:eastAsia="en-GB"/>
        </w:rPr>
      </w:pPr>
    </w:p>
    <w:p w14:paraId="07E5D716" w14:textId="77777777" w:rsidR="001529C3" w:rsidRPr="00593BEB" w:rsidRDefault="001529C3" w:rsidP="003B4588">
      <w:pPr>
        <w:pStyle w:val="ListParagraph"/>
        <w:spacing w:before="100" w:beforeAutospacing="1" w:after="100" w:afterAutospacing="1" w:line="240" w:lineRule="auto"/>
        <w:jc w:val="both"/>
        <w:outlineLvl w:val="3"/>
        <w:rPr>
          <w:rFonts w:ascii="Arial" w:eastAsia="Times New Roman" w:hAnsi="Arial" w:cs="Arial"/>
          <w:b/>
          <w:bCs/>
          <w:sz w:val="24"/>
          <w:szCs w:val="24"/>
          <w:lang w:eastAsia="en-GB"/>
        </w:rPr>
      </w:pPr>
    </w:p>
    <w:p w14:paraId="5560B8F8" w14:textId="771AB264" w:rsidR="000B6643" w:rsidRPr="00593BEB" w:rsidRDefault="00980ABB" w:rsidP="003B4588">
      <w:pPr>
        <w:spacing w:before="100" w:beforeAutospacing="1" w:after="100" w:afterAutospacing="1" w:line="240" w:lineRule="auto"/>
        <w:jc w:val="both"/>
        <w:outlineLvl w:val="2"/>
        <w:rPr>
          <w:rFonts w:ascii="Arial" w:eastAsia="Times New Roman" w:hAnsi="Arial" w:cs="Arial"/>
          <w:bCs/>
          <w:sz w:val="24"/>
          <w:szCs w:val="24"/>
          <w:lang w:eastAsia="en-GB"/>
        </w:rPr>
      </w:pPr>
      <w:r w:rsidRPr="00593BEB">
        <w:rPr>
          <w:rFonts w:ascii="Arial" w:eastAsia="Times New Roman" w:hAnsi="Arial" w:cs="Arial"/>
          <w:bCs/>
          <w:sz w:val="24"/>
          <w:szCs w:val="24"/>
          <w:lang w:eastAsia="en-GB"/>
        </w:rPr>
        <w:t>Using the FITT framework, this analysis will examine the fit between the qualities of the individual</w:t>
      </w:r>
      <w:r w:rsidR="000C2374">
        <w:rPr>
          <w:rFonts w:ascii="Arial" w:eastAsia="Times New Roman" w:hAnsi="Arial" w:cs="Arial"/>
          <w:bCs/>
          <w:sz w:val="24"/>
          <w:szCs w:val="24"/>
          <w:lang w:eastAsia="en-GB"/>
        </w:rPr>
        <w:t>s</w:t>
      </w:r>
      <w:r w:rsidRPr="00593BEB">
        <w:rPr>
          <w:rFonts w:ascii="Arial" w:eastAsia="Times New Roman" w:hAnsi="Arial" w:cs="Arial"/>
          <w:bCs/>
          <w:sz w:val="24"/>
          <w:szCs w:val="24"/>
          <w:lang w:eastAsia="en-GB"/>
        </w:rPr>
        <w:t xml:space="preserve"> (e.g. digital literacy, motivation to use technology), the qualities of the technology (e.g. the usability, intuitiveness), and the qualities of the clinical task (workflow, or</w:t>
      </w:r>
      <w:r w:rsidR="000C2374">
        <w:rPr>
          <w:rFonts w:ascii="Arial" w:eastAsia="Times New Roman" w:hAnsi="Arial" w:cs="Arial"/>
          <w:bCs/>
          <w:sz w:val="24"/>
          <w:szCs w:val="24"/>
          <w:lang w:eastAsia="en-GB"/>
        </w:rPr>
        <w:t>ganisational processes) (Ammenw</w:t>
      </w:r>
      <w:r w:rsidR="000E1DC8">
        <w:rPr>
          <w:rFonts w:ascii="Arial" w:eastAsia="Times New Roman" w:hAnsi="Arial" w:cs="Arial"/>
          <w:bCs/>
          <w:sz w:val="24"/>
          <w:szCs w:val="24"/>
          <w:lang w:eastAsia="en-GB"/>
        </w:rPr>
        <w:t>e</w:t>
      </w:r>
      <w:r w:rsidRPr="00593BEB">
        <w:rPr>
          <w:rFonts w:ascii="Arial" w:eastAsia="Times New Roman" w:hAnsi="Arial" w:cs="Arial"/>
          <w:bCs/>
          <w:sz w:val="24"/>
          <w:szCs w:val="24"/>
          <w:lang w:eastAsia="en-GB"/>
        </w:rPr>
        <w:t xml:space="preserve">rth et al 2006). </w:t>
      </w:r>
      <w:r w:rsidR="00137D96" w:rsidRPr="00593BEB">
        <w:rPr>
          <w:rFonts w:ascii="Arial" w:eastAsia="Times New Roman" w:hAnsi="Arial" w:cs="Arial"/>
          <w:bCs/>
          <w:sz w:val="24"/>
          <w:szCs w:val="24"/>
          <w:lang w:eastAsia="en-GB"/>
        </w:rPr>
        <w:t>Unlike other frameworks, such as the Consolidated Framework for Implementation Research (CFIR)</w:t>
      </w:r>
      <w:r w:rsidR="00702F73" w:rsidRPr="00593BEB">
        <w:rPr>
          <w:rFonts w:ascii="Arial" w:eastAsia="Times New Roman" w:hAnsi="Arial" w:cs="Arial"/>
          <w:bCs/>
          <w:sz w:val="24"/>
          <w:szCs w:val="24"/>
          <w:lang w:eastAsia="en-GB"/>
        </w:rPr>
        <w:t xml:space="preserve"> or the Technology Acceptance Model (TAM)</w:t>
      </w:r>
      <w:r w:rsidR="00691516" w:rsidRPr="00593BEB">
        <w:rPr>
          <w:rFonts w:ascii="Arial" w:eastAsia="Times New Roman" w:hAnsi="Arial" w:cs="Arial"/>
          <w:bCs/>
          <w:sz w:val="24"/>
          <w:szCs w:val="24"/>
          <w:lang w:eastAsia="en-GB"/>
        </w:rPr>
        <w:t xml:space="preserve"> </w:t>
      </w:r>
      <w:r w:rsidR="00D909A3" w:rsidRPr="00593BEB">
        <w:rPr>
          <w:rFonts w:ascii="Arial" w:eastAsia="Times New Roman" w:hAnsi="Arial" w:cs="Arial"/>
          <w:bCs/>
          <w:sz w:val="24"/>
          <w:szCs w:val="24"/>
          <w:lang w:eastAsia="en-GB"/>
        </w:rPr>
        <w:t>(Davis 1986</w:t>
      </w:r>
      <w:r w:rsidR="00691516" w:rsidRPr="00593BEB">
        <w:rPr>
          <w:rFonts w:ascii="Arial" w:eastAsia="Times New Roman" w:hAnsi="Arial" w:cs="Arial"/>
          <w:bCs/>
          <w:sz w:val="24"/>
          <w:szCs w:val="24"/>
          <w:lang w:eastAsia="en-GB"/>
        </w:rPr>
        <w:t>)</w:t>
      </w:r>
      <w:r w:rsidR="00137D96" w:rsidRPr="00593BEB">
        <w:rPr>
          <w:rFonts w:ascii="Arial" w:eastAsia="Times New Roman" w:hAnsi="Arial" w:cs="Arial"/>
          <w:bCs/>
          <w:sz w:val="24"/>
          <w:szCs w:val="24"/>
          <w:lang w:eastAsia="en-GB"/>
        </w:rPr>
        <w:t>, the FITT framework uniquely incorporates the interaction aspect</w:t>
      </w:r>
      <w:r w:rsidR="00090219" w:rsidRPr="00593BEB">
        <w:rPr>
          <w:rFonts w:ascii="Arial" w:eastAsia="Times New Roman" w:hAnsi="Arial" w:cs="Arial"/>
          <w:bCs/>
          <w:sz w:val="24"/>
          <w:szCs w:val="24"/>
          <w:lang w:eastAsia="en-GB"/>
        </w:rPr>
        <w:t xml:space="preserve"> (Damschroder et al 2009)</w:t>
      </w:r>
      <w:r w:rsidR="004516E2" w:rsidRPr="00593BEB">
        <w:rPr>
          <w:rFonts w:ascii="Arial" w:eastAsia="Times New Roman" w:hAnsi="Arial" w:cs="Arial"/>
          <w:bCs/>
          <w:sz w:val="24"/>
          <w:szCs w:val="24"/>
          <w:lang w:eastAsia="en-GB"/>
        </w:rPr>
        <w:t>, or the fit between the user and the task (Tsiknakis &amp; Kouranbali 2009)</w:t>
      </w:r>
      <w:r w:rsidR="00137D96" w:rsidRPr="00593BEB">
        <w:rPr>
          <w:rFonts w:ascii="Arial" w:eastAsia="Times New Roman" w:hAnsi="Arial" w:cs="Arial"/>
          <w:bCs/>
          <w:sz w:val="24"/>
          <w:szCs w:val="24"/>
          <w:lang w:eastAsia="en-GB"/>
        </w:rPr>
        <w:t>. According to FITT, the effectiveness of technological interventions is also influenced by the individual’s motivation, knowledge and training (</w:t>
      </w:r>
      <w:r w:rsidR="00D86D64" w:rsidRPr="00593BEB">
        <w:rPr>
          <w:rFonts w:ascii="Arial" w:eastAsia="Times New Roman" w:hAnsi="Arial" w:cs="Arial"/>
          <w:bCs/>
          <w:sz w:val="24"/>
          <w:szCs w:val="24"/>
          <w:lang w:eastAsia="en-GB"/>
        </w:rPr>
        <w:t>Kujala</w:t>
      </w:r>
      <w:r w:rsidR="00137D96" w:rsidRPr="00593BEB">
        <w:rPr>
          <w:rFonts w:ascii="Arial" w:eastAsia="Times New Roman" w:hAnsi="Arial" w:cs="Arial"/>
          <w:bCs/>
          <w:sz w:val="24"/>
          <w:szCs w:val="24"/>
          <w:lang w:eastAsia="en-GB"/>
        </w:rPr>
        <w:t xml:space="preserve"> et al 2020).</w:t>
      </w:r>
      <w:r w:rsidR="00137D96" w:rsidRPr="00593BEB">
        <w:rPr>
          <w:rFonts w:ascii="Arial" w:hAnsi="Arial" w:cs="Arial"/>
          <w:color w:val="242424"/>
          <w:sz w:val="24"/>
          <w:szCs w:val="24"/>
          <w:shd w:val="clear" w:color="auto" w:fill="FAFAFA"/>
        </w:rPr>
        <w:t xml:space="preserve"> </w:t>
      </w:r>
      <w:r w:rsidR="004516E2" w:rsidRPr="00593BEB">
        <w:rPr>
          <w:rFonts w:ascii="Arial" w:hAnsi="Arial" w:cs="Arial"/>
          <w:color w:val="242424"/>
          <w:sz w:val="24"/>
          <w:szCs w:val="24"/>
          <w:shd w:val="clear" w:color="auto" w:fill="FAFAFA"/>
        </w:rPr>
        <w:t xml:space="preserve">By failing to address </w:t>
      </w:r>
      <w:r w:rsidR="000C2374" w:rsidRPr="00593BEB">
        <w:rPr>
          <w:rFonts w:ascii="Arial" w:hAnsi="Arial" w:cs="Arial"/>
          <w:color w:val="242424"/>
          <w:sz w:val="24"/>
          <w:szCs w:val="24"/>
          <w:shd w:val="clear" w:color="auto" w:fill="FAFAFA"/>
        </w:rPr>
        <w:t>these aspects</w:t>
      </w:r>
      <w:r w:rsidR="004516E2" w:rsidRPr="00593BEB">
        <w:rPr>
          <w:rFonts w:ascii="Arial" w:hAnsi="Arial" w:cs="Arial"/>
          <w:color w:val="242424"/>
          <w:sz w:val="24"/>
          <w:szCs w:val="24"/>
          <w:shd w:val="clear" w:color="auto" w:fill="FAFAFA"/>
        </w:rPr>
        <w:t xml:space="preserve">, the implementation of a technology would likely fail, or have poorer outcomes. </w:t>
      </w:r>
    </w:p>
    <w:p w14:paraId="2E85580C" w14:textId="44127DD0" w:rsidR="00070554" w:rsidRPr="00593BEB" w:rsidRDefault="004516E2" w:rsidP="003B4588">
      <w:pPr>
        <w:spacing w:before="100" w:beforeAutospacing="1" w:after="100" w:afterAutospacing="1" w:line="240" w:lineRule="auto"/>
        <w:jc w:val="both"/>
        <w:outlineLvl w:val="2"/>
        <w:rPr>
          <w:rFonts w:ascii="Arial" w:eastAsia="Times New Roman" w:hAnsi="Arial" w:cs="Arial"/>
          <w:bCs/>
          <w:sz w:val="24"/>
          <w:szCs w:val="24"/>
          <w:lang w:eastAsia="en-GB"/>
        </w:rPr>
      </w:pPr>
      <w:r w:rsidRPr="00593BEB">
        <w:rPr>
          <w:rFonts w:ascii="Arial" w:eastAsia="Times New Roman" w:hAnsi="Arial" w:cs="Arial"/>
          <w:bCs/>
          <w:sz w:val="24"/>
          <w:szCs w:val="24"/>
          <w:lang w:eastAsia="en-GB"/>
        </w:rPr>
        <w:t>Using retrospective analysis, the data</w:t>
      </w:r>
      <w:r w:rsidR="00261D1B" w:rsidRPr="00593BEB">
        <w:rPr>
          <w:rFonts w:ascii="Arial" w:eastAsia="Times New Roman" w:hAnsi="Arial" w:cs="Arial"/>
          <w:bCs/>
          <w:sz w:val="24"/>
          <w:szCs w:val="24"/>
          <w:lang w:eastAsia="en-GB"/>
        </w:rPr>
        <w:t xml:space="preserve"> will consist of </w:t>
      </w:r>
      <w:r w:rsidR="00F039C3" w:rsidRPr="00593BEB">
        <w:rPr>
          <w:rFonts w:ascii="Arial" w:eastAsia="Times New Roman" w:hAnsi="Arial" w:cs="Arial"/>
          <w:bCs/>
          <w:sz w:val="24"/>
          <w:szCs w:val="24"/>
          <w:lang w:eastAsia="en-GB"/>
        </w:rPr>
        <w:t xml:space="preserve">qualitative </w:t>
      </w:r>
      <w:r w:rsidR="00261D1B" w:rsidRPr="00593BEB">
        <w:rPr>
          <w:rFonts w:ascii="Arial" w:eastAsia="Times New Roman" w:hAnsi="Arial" w:cs="Arial"/>
          <w:bCs/>
          <w:sz w:val="24"/>
          <w:szCs w:val="24"/>
          <w:lang w:eastAsia="en-GB"/>
        </w:rPr>
        <w:t>feedback from</w:t>
      </w:r>
      <w:r w:rsidRPr="00593BEB">
        <w:rPr>
          <w:rFonts w:ascii="Arial" w:eastAsia="Times New Roman" w:hAnsi="Arial" w:cs="Arial"/>
          <w:bCs/>
          <w:sz w:val="24"/>
          <w:szCs w:val="24"/>
          <w:lang w:eastAsia="en-GB"/>
        </w:rPr>
        <w:t xml:space="preserve"> a convenience sample of</w:t>
      </w:r>
      <w:r w:rsidR="000451AC" w:rsidRPr="00593BEB">
        <w:rPr>
          <w:rFonts w:ascii="Arial" w:eastAsia="Times New Roman" w:hAnsi="Arial" w:cs="Arial"/>
          <w:bCs/>
          <w:sz w:val="24"/>
          <w:szCs w:val="24"/>
          <w:lang w:eastAsia="en-GB"/>
        </w:rPr>
        <w:t xml:space="preserve"> six </w:t>
      </w:r>
      <w:r w:rsidR="00261D1B" w:rsidRPr="00593BEB">
        <w:rPr>
          <w:rFonts w:ascii="Arial" w:eastAsia="Times New Roman" w:hAnsi="Arial" w:cs="Arial"/>
          <w:bCs/>
          <w:sz w:val="24"/>
          <w:szCs w:val="24"/>
          <w:lang w:eastAsia="en-GB"/>
        </w:rPr>
        <w:t>current users of the MillCare software</w:t>
      </w:r>
      <w:r w:rsidR="00A40CBA" w:rsidRPr="00593BEB">
        <w:rPr>
          <w:rFonts w:ascii="Arial" w:eastAsia="Times New Roman" w:hAnsi="Arial" w:cs="Arial"/>
          <w:bCs/>
          <w:sz w:val="24"/>
          <w:szCs w:val="24"/>
          <w:lang w:eastAsia="en-GB"/>
        </w:rPr>
        <w:t xml:space="preserve">, </w:t>
      </w:r>
      <w:r w:rsidR="000C2374">
        <w:rPr>
          <w:rFonts w:ascii="Arial" w:eastAsia="Times New Roman" w:hAnsi="Arial" w:cs="Arial"/>
          <w:bCs/>
          <w:sz w:val="24"/>
          <w:szCs w:val="24"/>
          <w:lang w:eastAsia="en-GB"/>
        </w:rPr>
        <w:t>plus</w:t>
      </w:r>
      <w:r w:rsidR="00A40CBA" w:rsidRPr="00593BEB">
        <w:rPr>
          <w:rFonts w:ascii="Arial" w:eastAsia="Times New Roman" w:hAnsi="Arial" w:cs="Arial"/>
          <w:bCs/>
          <w:sz w:val="24"/>
          <w:szCs w:val="24"/>
          <w:lang w:eastAsia="en-GB"/>
        </w:rPr>
        <w:t xml:space="preserve"> personal experience</w:t>
      </w:r>
      <w:r w:rsidR="00F039C3" w:rsidRPr="00593BEB">
        <w:rPr>
          <w:rFonts w:ascii="Arial" w:eastAsia="Times New Roman" w:hAnsi="Arial" w:cs="Arial"/>
          <w:bCs/>
          <w:sz w:val="24"/>
          <w:szCs w:val="24"/>
          <w:lang w:eastAsia="en-GB"/>
        </w:rPr>
        <w:t xml:space="preserve">. </w:t>
      </w:r>
      <w:r w:rsidR="00395090" w:rsidRPr="00593BEB">
        <w:rPr>
          <w:rFonts w:ascii="Arial" w:eastAsia="Times New Roman" w:hAnsi="Arial" w:cs="Arial"/>
          <w:bCs/>
          <w:sz w:val="24"/>
          <w:szCs w:val="24"/>
          <w:lang w:eastAsia="en-GB"/>
        </w:rPr>
        <w:t>I</w:t>
      </w:r>
      <w:r w:rsidR="005C7FBE" w:rsidRPr="00593BEB">
        <w:rPr>
          <w:rFonts w:ascii="Arial" w:eastAsia="Times New Roman" w:hAnsi="Arial" w:cs="Arial"/>
          <w:bCs/>
          <w:sz w:val="24"/>
          <w:szCs w:val="24"/>
          <w:lang w:eastAsia="en-GB"/>
        </w:rPr>
        <w:t>nformal conversations</w:t>
      </w:r>
      <w:r w:rsidR="000E72C5" w:rsidRPr="00593BEB">
        <w:rPr>
          <w:rFonts w:ascii="Arial" w:eastAsia="Times New Roman" w:hAnsi="Arial" w:cs="Arial"/>
          <w:bCs/>
          <w:sz w:val="24"/>
          <w:szCs w:val="24"/>
          <w:lang w:eastAsia="en-GB"/>
        </w:rPr>
        <w:t xml:space="preserve"> were carried out </w:t>
      </w:r>
      <w:r w:rsidR="002B40C4" w:rsidRPr="00593BEB">
        <w:rPr>
          <w:rFonts w:ascii="Arial" w:eastAsia="Times New Roman" w:hAnsi="Arial" w:cs="Arial"/>
          <w:bCs/>
          <w:sz w:val="24"/>
          <w:szCs w:val="24"/>
          <w:lang w:eastAsia="en-GB"/>
        </w:rPr>
        <w:t xml:space="preserve">with staff from each staff group within the SBUHB sexual health department (clerical, nursing and doctors) </w:t>
      </w:r>
      <w:r w:rsidR="000E72C5" w:rsidRPr="00593BEB">
        <w:rPr>
          <w:rFonts w:ascii="Arial" w:eastAsia="Times New Roman" w:hAnsi="Arial" w:cs="Arial"/>
          <w:bCs/>
          <w:sz w:val="24"/>
          <w:szCs w:val="24"/>
          <w:lang w:eastAsia="en-GB"/>
        </w:rPr>
        <w:t>with questions related specifically to ‘individual, task and technology</w:t>
      </w:r>
      <w:r w:rsidR="002B40C4" w:rsidRPr="00593BEB">
        <w:rPr>
          <w:rFonts w:ascii="Arial" w:eastAsia="Times New Roman" w:hAnsi="Arial" w:cs="Arial"/>
          <w:bCs/>
          <w:sz w:val="24"/>
          <w:szCs w:val="24"/>
          <w:lang w:eastAsia="en-GB"/>
        </w:rPr>
        <w:t>’</w:t>
      </w:r>
      <w:r w:rsidR="000E72C5" w:rsidRPr="00593BEB">
        <w:rPr>
          <w:rFonts w:ascii="Arial" w:eastAsia="Times New Roman" w:hAnsi="Arial" w:cs="Arial"/>
          <w:bCs/>
          <w:sz w:val="24"/>
          <w:szCs w:val="24"/>
          <w:lang w:eastAsia="en-GB"/>
        </w:rPr>
        <w:t xml:space="preserve">. </w:t>
      </w:r>
    </w:p>
    <w:p w14:paraId="6B05E1F0" w14:textId="78F28DF3" w:rsidR="009F23A0" w:rsidRPr="00593BEB" w:rsidRDefault="005C7FBE" w:rsidP="00F039C3">
      <w:pPr>
        <w:spacing w:before="100" w:beforeAutospacing="1" w:after="100" w:afterAutospacing="1" w:line="240" w:lineRule="auto"/>
        <w:jc w:val="both"/>
        <w:outlineLvl w:val="2"/>
        <w:rPr>
          <w:rFonts w:ascii="Arial" w:eastAsia="Times New Roman" w:hAnsi="Arial" w:cs="Arial"/>
          <w:bCs/>
          <w:sz w:val="24"/>
          <w:szCs w:val="24"/>
          <w:lang w:eastAsia="en-GB"/>
        </w:rPr>
      </w:pPr>
      <w:r w:rsidRPr="00593BEB">
        <w:rPr>
          <w:rFonts w:ascii="Arial" w:eastAsia="Times New Roman" w:hAnsi="Arial" w:cs="Arial"/>
          <w:bCs/>
          <w:sz w:val="24"/>
          <w:szCs w:val="24"/>
          <w:lang w:eastAsia="en-GB"/>
        </w:rPr>
        <w:t>A</w:t>
      </w:r>
      <w:r w:rsidR="00980ABB" w:rsidRPr="00593BEB">
        <w:rPr>
          <w:rFonts w:ascii="Arial" w:eastAsia="Times New Roman" w:hAnsi="Arial" w:cs="Arial"/>
          <w:bCs/>
          <w:sz w:val="24"/>
          <w:szCs w:val="24"/>
          <w:lang w:eastAsia="en-GB"/>
        </w:rPr>
        <w:t xml:space="preserve"> qualitative approach to implementing the FITT framework provides the ability to identify and understand the </w:t>
      </w:r>
      <w:r w:rsidR="006A25B6" w:rsidRPr="00593BEB">
        <w:rPr>
          <w:rFonts w:ascii="Arial" w:eastAsia="Times New Roman" w:hAnsi="Arial" w:cs="Arial"/>
          <w:bCs/>
          <w:sz w:val="24"/>
          <w:szCs w:val="24"/>
          <w:lang w:eastAsia="en-GB"/>
        </w:rPr>
        <w:t>users’</w:t>
      </w:r>
      <w:r w:rsidR="00980ABB" w:rsidRPr="00593BEB">
        <w:rPr>
          <w:rFonts w:ascii="Arial" w:eastAsia="Times New Roman" w:hAnsi="Arial" w:cs="Arial"/>
          <w:bCs/>
          <w:sz w:val="24"/>
          <w:szCs w:val="24"/>
          <w:lang w:eastAsia="en-GB"/>
        </w:rPr>
        <w:t xml:space="preserve"> perceptions of the software, which may then result in better usage and efficacy of the system (Schnall et al 2012). When barriers or weaknesses are identified, adjustments can be made, resulting in a better ‘fit’ (Noblin et al 2017). </w:t>
      </w:r>
      <w:r w:rsidR="00BB28E5" w:rsidRPr="00593BEB">
        <w:rPr>
          <w:rFonts w:ascii="Arial" w:eastAsia="Times New Roman" w:hAnsi="Arial" w:cs="Arial"/>
          <w:bCs/>
          <w:sz w:val="24"/>
          <w:szCs w:val="24"/>
          <w:lang w:eastAsia="en-GB"/>
        </w:rPr>
        <w:t xml:space="preserve">Analysing the themes from this data will identify the </w:t>
      </w:r>
      <w:r w:rsidR="004516E2" w:rsidRPr="00593BEB">
        <w:rPr>
          <w:rFonts w:ascii="Arial" w:eastAsia="Times New Roman" w:hAnsi="Arial" w:cs="Arial"/>
          <w:bCs/>
          <w:sz w:val="24"/>
          <w:szCs w:val="24"/>
          <w:lang w:eastAsia="en-GB"/>
        </w:rPr>
        <w:t>complexities o</w:t>
      </w:r>
      <w:r w:rsidR="00BB28E5" w:rsidRPr="00593BEB">
        <w:rPr>
          <w:rFonts w:ascii="Arial" w:eastAsia="Times New Roman" w:hAnsi="Arial" w:cs="Arial"/>
          <w:bCs/>
          <w:sz w:val="24"/>
          <w:szCs w:val="24"/>
          <w:lang w:eastAsia="en-GB"/>
        </w:rPr>
        <w:t>f the current software system</w:t>
      </w:r>
      <w:r w:rsidR="004516E2" w:rsidRPr="00593BEB">
        <w:rPr>
          <w:rFonts w:ascii="Arial" w:eastAsia="Times New Roman" w:hAnsi="Arial" w:cs="Arial"/>
          <w:bCs/>
          <w:sz w:val="24"/>
          <w:szCs w:val="24"/>
          <w:lang w:eastAsia="en-GB"/>
        </w:rPr>
        <w:t xml:space="preserve"> (Tsiknakis &amp; Kouroubali 2009)</w:t>
      </w:r>
      <w:r w:rsidR="00BB28E5" w:rsidRPr="00593BEB">
        <w:rPr>
          <w:rFonts w:ascii="Arial" w:eastAsia="Times New Roman" w:hAnsi="Arial" w:cs="Arial"/>
          <w:bCs/>
          <w:sz w:val="24"/>
          <w:szCs w:val="24"/>
          <w:lang w:eastAsia="en-GB"/>
        </w:rPr>
        <w:t>, and highlight areas that need to be improved or added to the new ‘All Wales’ system.</w:t>
      </w:r>
    </w:p>
    <w:p w14:paraId="61B84293" w14:textId="49FE2E8E" w:rsidR="00A40CBA" w:rsidRPr="00593BEB" w:rsidRDefault="00A40CBA" w:rsidP="00F039C3">
      <w:pPr>
        <w:spacing w:before="100" w:beforeAutospacing="1" w:after="100" w:afterAutospacing="1" w:line="240" w:lineRule="auto"/>
        <w:jc w:val="both"/>
        <w:outlineLvl w:val="2"/>
        <w:rPr>
          <w:rFonts w:ascii="Arial" w:eastAsia="Times New Roman" w:hAnsi="Arial" w:cs="Arial"/>
          <w:b/>
          <w:bCs/>
          <w:sz w:val="24"/>
          <w:szCs w:val="24"/>
          <w:lang w:eastAsia="en-GB"/>
        </w:rPr>
      </w:pPr>
      <w:r w:rsidRPr="00593BEB">
        <w:rPr>
          <w:rFonts w:ascii="Arial" w:eastAsia="Times New Roman" w:hAnsi="Arial" w:cs="Arial"/>
          <w:b/>
          <w:bCs/>
          <w:sz w:val="24"/>
          <w:szCs w:val="24"/>
          <w:lang w:eastAsia="en-GB"/>
        </w:rPr>
        <w:t>Results</w:t>
      </w:r>
    </w:p>
    <w:p w14:paraId="374CDA7F" w14:textId="22A2A30F" w:rsidR="00A40CBA" w:rsidRPr="00593BEB" w:rsidRDefault="003857D6" w:rsidP="00F039C3">
      <w:pPr>
        <w:spacing w:before="100" w:beforeAutospacing="1" w:after="100" w:afterAutospacing="1" w:line="240" w:lineRule="auto"/>
        <w:jc w:val="both"/>
        <w:outlineLvl w:val="2"/>
        <w:rPr>
          <w:rFonts w:ascii="Arial" w:eastAsia="Times New Roman" w:hAnsi="Arial" w:cs="Arial"/>
          <w:b/>
          <w:bCs/>
          <w:sz w:val="24"/>
          <w:szCs w:val="24"/>
          <w:lang w:eastAsia="en-GB"/>
        </w:rPr>
      </w:pPr>
      <w:r w:rsidRPr="00593BEB">
        <w:rPr>
          <w:rFonts w:ascii="Arial" w:hAnsi="Arial" w:cs="Arial"/>
          <w:sz w:val="24"/>
          <w:szCs w:val="24"/>
          <w:shd w:val="clear" w:color="auto" w:fill="FFFFFF"/>
        </w:rPr>
        <w:t xml:space="preserve">The FITT framework was used as a </w:t>
      </w:r>
      <w:r w:rsidR="000E72C5" w:rsidRPr="00593BEB">
        <w:rPr>
          <w:rFonts w:ascii="Arial" w:hAnsi="Arial" w:cs="Arial"/>
          <w:sz w:val="24"/>
          <w:szCs w:val="24"/>
          <w:shd w:val="clear" w:color="auto" w:fill="FFFFFF"/>
        </w:rPr>
        <w:t>structure</w:t>
      </w:r>
      <w:r w:rsidRPr="00593BEB">
        <w:rPr>
          <w:rFonts w:ascii="Arial" w:hAnsi="Arial" w:cs="Arial"/>
          <w:sz w:val="24"/>
          <w:szCs w:val="24"/>
          <w:shd w:val="clear" w:color="auto" w:fill="FFFFFF"/>
        </w:rPr>
        <w:t xml:space="preserve"> to place the identified themes in</w:t>
      </w:r>
      <w:r w:rsidR="00D9049E" w:rsidRPr="00593BEB">
        <w:rPr>
          <w:rFonts w:ascii="Arial" w:hAnsi="Arial" w:cs="Arial"/>
          <w:sz w:val="24"/>
          <w:szCs w:val="24"/>
          <w:shd w:val="clear" w:color="auto" w:fill="FFFFFF"/>
        </w:rPr>
        <w:t>to</w:t>
      </w:r>
      <w:r w:rsidRPr="00593BEB">
        <w:rPr>
          <w:rFonts w:ascii="Arial" w:hAnsi="Arial" w:cs="Arial"/>
          <w:sz w:val="24"/>
          <w:szCs w:val="24"/>
          <w:shd w:val="clear" w:color="auto" w:fill="FFFFFF"/>
        </w:rPr>
        <w:t xml:space="preserve"> context. The themes identified were then categorized into the FITT framework dimensions of individual, task and technology</w:t>
      </w:r>
      <w:r w:rsidR="009122E5" w:rsidRPr="00593BEB">
        <w:rPr>
          <w:rFonts w:ascii="Arial" w:hAnsi="Arial" w:cs="Arial"/>
          <w:sz w:val="24"/>
          <w:szCs w:val="24"/>
          <w:shd w:val="clear" w:color="auto" w:fill="FFFFFF"/>
        </w:rPr>
        <w:t>.</w:t>
      </w:r>
      <w:r w:rsidR="00691516" w:rsidRPr="00593BEB">
        <w:rPr>
          <w:rFonts w:ascii="Arial" w:hAnsi="Arial" w:cs="Arial"/>
          <w:sz w:val="24"/>
          <w:szCs w:val="24"/>
          <w:shd w:val="clear" w:color="auto" w:fill="FFFFFF"/>
        </w:rPr>
        <w:t xml:space="preserve"> </w:t>
      </w:r>
    </w:p>
    <w:p w14:paraId="5B31B8C8" w14:textId="7AFD885D" w:rsidR="00F039C3" w:rsidRPr="00593BEB" w:rsidRDefault="004516E2" w:rsidP="00F039C3">
      <w:pPr>
        <w:spacing w:before="100" w:beforeAutospacing="1" w:after="100" w:afterAutospacing="1" w:line="240" w:lineRule="auto"/>
        <w:jc w:val="both"/>
        <w:outlineLvl w:val="2"/>
        <w:rPr>
          <w:rFonts w:ascii="Arial" w:eastAsia="Times New Roman" w:hAnsi="Arial" w:cs="Arial"/>
          <w:b/>
          <w:bCs/>
          <w:sz w:val="24"/>
          <w:szCs w:val="24"/>
          <w:lang w:eastAsia="en-GB"/>
        </w:rPr>
      </w:pPr>
      <w:r w:rsidRPr="00593BEB">
        <w:rPr>
          <w:rFonts w:ascii="Arial" w:eastAsia="Times New Roman" w:hAnsi="Arial" w:cs="Arial"/>
          <w:b/>
          <w:bCs/>
          <w:sz w:val="24"/>
          <w:szCs w:val="24"/>
          <w:lang w:eastAsia="en-GB"/>
        </w:rPr>
        <w:t>Task &amp; Technology</w:t>
      </w:r>
    </w:p>
    <w:p w14:paraId="22AC80F2" w14:textId="095FF9D8" w:rsidR="004516E2" w:rsidRPr="00593BEB" w:rsidRDefault="000451AC" w:rsidP="00F039C3">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 xml:space="preserve">All six members of staff </w:t>
      </w:r>
      <w:r w:rsidR="004516E2" w:rsidRPr="00593BEB">
        <w:rPr>
          <w:rFonts w:ascii="Arial" w:hAnsi="Arial" w:cs="Arial"/>
          <w:sz w:val="24"/>
          <w:szCs w:val="24"/>
        </w:rPr>
        <w:t>generally agreed that the system save</w:t>
      </w:r>
      <w:r w:rsidR="000A7F73" w:rsidRPr="00593BEB">
        <w:rPr>
          <w:rFonts w:ascii="Arial" w:hAnsi="Arial" w:cs="Arial"/>
          <w:sz w:val="24"/>
          <w:szCs w:val="24"/>
        </w:rPr>
        <w:t>s</w:t>
      </w:r>
      <w:r w:rsidR="004516E2" w:rsidRPr="00593BEB">
        <w:rPr>
          <w:rFonts w:ascii="Arial" w:hAnsi="Arial" w:cs="Arial"/>
          <w:sz w:val="24"/>
          <w:szCs w:val="24"/>
        </w:rPr>
        <w:t xml:space="preserve"> both resources and time, by streamlining processes that were previously manual and </w:t>
      </w:r>
      <w:r w:rsidR="000A7F73" w:rsidRPr="00593BEB">
        <w:rPr>
          <w:rFonts w:ascii="Arial" w:hAnsi="Arial" w:cs="Arial"/>
          <w:sz w:val="24"/>
          <w:szCs w:val="24"/>
        </w:rPr>
        <w:t>took much time to complete</w:t>
      </w:r>
      <w:r w:rsidR="004516E2" w:rsidRPr="00593BEB">
        <w:rPr>
          <w:rFonts w:ascii="Arial" w:hAnsi="Arial" w:cs="Arial"/>
          <w:sz w:val="24"/>
          <w:szCs w:val="24"/>
        </w:rPr>
        <w:t xml:space="preserve">. For </w:t>
      </w:r>
      <w:r w:rsidR="000C2374">
        <w:rPr>
          <w:rFonts w:ascii="Arial" w:hAnsi="Arial" w:cs="Arial"/>
          <w:sz w:val="24"/>
          <w:szCs w:val="24"/>
        </w:rPr>
        <w:t>example</w:t>
      </w:r>
      <w:r w:rsidR="004516E2" w:rsidRPr="00593BEB">
        <w:rPr>
          <w:rFonts w:ascii="Arial" w:hAnsi="Arial" w:cs="Arial"/>
          <w:sz w:val="24"/>
          <w:szCs w:val="24"/>
        </w:rPr>
        <w:t xml:space="preserve">, the system improves governance in results management, addressing a significant issue where results were previously checked manually, leading to occasional errors such as missing results when notes were misplaced. </w:t>
      </w:r>
      <w:r w:rsidR="008901D7" w:rsidRPr="00593BEB">
        <w:rPr>
          <w:rFonts w:ascii="Arial" w:hAnsi="Arial" w:cs="Arial"/>
          <w:sz w:val="24"/>
          <w:szCs w:val="24"/>
        </w:rPr>
        <w:t xml:space="preserve">One </w:t>
      </w:r>
      <w:r w:rsidRPr="00593BEB">
        <w:rPr>
          <w:rFonts w:ascii="Arial" w:hAnsi="Arial" w:cs="Arial"/>
          <w:sz w:val="24"/>
          <w:szCs w:val="24"/>
        </w:rPr>
        <w:t>member of staff</w:t>
      </w:r>
      <w:r w:rsidR="008901D7" w:rsidRPr="00593BEB">
        <w:rPr>
          <w:rFonts w:ascii="Arial" w:hAnsi="Arial" w:cs="Arial"/>
          <w:sz w:val="24"/>
          <w:szCs w:val="24"/>
        </w:rPr>
        <w:t xml:space="preserve"> noted that the results management process could be improved, as it requires leaving the results screen to search for the patient record. A more intuitive process would be </w:t>
      </w:r>
      <w:r w:rsidR="00D213E1">
        <w:rPr>
          <w:rFonts w:ascii="Arial" w:hAnsi="Arial" w:cs="Arial"/>
          <w:sz w:val="24"/>
          <w:szCs w:val="24"/>
        </w:rPr>
        <w:t>preferred</w:t>
      </w:r>
      <w:r w:rsidR="008901D7" w:rsidRPr="00593BEB">
        <w:rPr>
          <w:rFonts w:ascii="Arial" w:hAnsi="Arial" w:cs="Arial"/>
          <w:sz w:val="24"/>
          <w:szCs w:val="24"/>
        </w:rPr>
        <w:t xml:space="preserve">. </w:t>
      </w:r>
      <w:r w:rsidR="000C2374">
        <w:rPr>
          <w:rFonts w:ascii="Arial" w:hAnsi="Arial" w:cs="Arial"/>
          <w:sz w:val="24"/>
          <w:szCs w:val="24"/>
        </w:rPr>
        <w:t>O</w:t>
      </w:r>
      <w:r w:rsidR="004516E2" w:rsidRPr="00593BEB">
        <w:rPr>
          <w:rFonts w:ascii="Arial" w:hAnsi="Arial" w:cs="Arial"/>
          <w:sz w:val="24"/>
          <w:szCs w:val="24"/>
        </w:rPr>
        <w:t>ne manager expressed concerns that</w:t>
      </w:r>
      <w:r w:rsidR="000A7F73" w:rsidRPr="00593BEB">
        <w:rPr>
          <w:rFonts w:ascii="Arial" w:hAnsi="Arial" w:cs="Arial"/>
          <w:sz w:val="24"/>
          <w:szCs w:val="24"/>
        </w:rPr>
        <w:t xml:space="preserve"> when audited,</w:t>
      </w:r>
      <w:r w:rsidR="004516E2" w:rsidRPr="00593BEB">
        <w:rPr>
          <w:rFonts w:ascii="Arial" w:hAnsi="Arial" w:cs="Arial"/>
          <w:sz w:val="24"/>
          <w:szCs w:val="24"/>
        </w:rPr>
        <w:t xml:space="preserve"> documentation quality </w:t>
      </w:r>
      <w:r w:rsidR="000A7F73" w:rsidRPr="00593BEB">
        <w:rPr>
          <w:rFonts w:ascii="Arial" w:hAnsi="Arial" w:cs="Arial"/>
          <w:sz w:val="24"/>
          <w:szCs w:val="24"/>
        </w:rPr>
        <w:t>does</w:t>
      </w:r>
      <w:r w:rsidR="004516E2" w:rsidRPr="00593BEB">
        <w:rPr>
          <w:rFonts w:ascii="Arial" w:hAnsi="Arial" w:cs="Arial"/>
          <w:sz w:val="24"/>
          <w:szCs w:val="24"/>
        </w:rPr>
        <w:t xml:space="preserve"> not ma</w:t>
      </w:r>
      <w:r w:rsidR="000A7F73" w:rsidRPr="00593BEB">
        <w:rPr>
          <w:rFonts w:ascii="Arial" w:hAnsi="Arial" w:cs="Arial"/>
          <w:sz w:val="24"/>
          <w:szCs w:val="24"/>
        </w:rPr>
        <w:t>tch that of paper-based methods.</w:t>
      </w:r>
      <w:r w:rsidR="004516E2" w:rsidRPr="00593BEB">
        <w:rPr>
          <w:rFonts w:ascii="Arial" w:hAnsi="Arial" w:cs="Arial"/>
          <w:sz w:val="24"/>
          <w:szCs w:val="24"/>
        </w:rPr>
        <w:t xml:space="preserve"> </w:t>
      </w:r>
      <w:r w:rsidR="000A7F73" w:rsidRPr="00593BEB">
        <w:rPr>
          <w:rFonts w:ascii="Arial" w:hAnsi="Arial" w:cs="Arial"/>
          <w:sz w:val="24"/>
          <w:szCs w:val="24"/>
        </w:rPr>
        <w:t>However,</w:t>
      </w:r>
      <w:r w:rsidRPr="00593BEB">
        <w:rPr>
          <w:rFonts w:ascii="Arial" w:hAnsi="Arial" w:cs="Arial"/>
          <w:sz w:val="24"/>
          <w:szCs w:val="24"/>
        </w:rPr>
        <w:t xml:space="preserve"> two</w:t>
      </w:r>
      <w:r w:rsidR="007C723E">
        <w:rPr>
          <w:rFonts w:ascii="Arial" w:hAnsi="Arial" w:cs="Arial"/>
          <w:sz w:val="24"/>
          <w:szCs w:val="24"/>
        </w:rPr>
        <w:t xml:space="preserve"> of</w:t>
      </w:r>
      <w:r w:rsidRPr="00593BEB">
        <w:rPr>
          <w:rFonts w:ascii="Arial" w:hAnsi="Arial" w:cs="Arial"/>
          <w:sz w:val="24"/>
          <w:szCs w:val="24"/>
        </w:rPr>
        <w:t xml:space="preserve"> of the nursing members of staff </w:t>
      </w:r>
      <w:r w:rsidR="004516E2" w:rsidRPr="00593BEB">
        <w:rPr>
          <w:rFonts w:ascii="Arial" w:hAnsi="Arial" w:cs="Arial"/>
          <w:sz w:val="24"/>
          <w:szCs w:val="24"/>
        </w:rPr>
        <w:t xml:space="preserve">noted that </w:t>
      </w:r>
      <w:r w:rsidR="00D213E1">
        <w:rPr>
          <w:rFonts w:ascii="Arial" w:hAnsi="Arial" w:cs="Arial"/>
          <w:sz w:val="24"/>
          <w:szCs w:val="24"/>
        </w:rPr>
        <w:t>much of the</w:t>
      </w:r>
      <w:r w:rsidR="004516E2" w:rsidRPr="00593BEB">
        <w:rPr>
          <w:rFonts w:ascii="Arial" w:hAnsi="Arial" w:cs="Arial"/>
          <w:sz w:val="24"/>
          <w:szCs w:val="24"/>
        </w:rPr>
        <w:t xml:space="preserve"> written documentation has been</w:t>
      </w:r>
      <w:r w:rsidR="00D213E1">
        <w:rPr>
          <w:rFonts w:ascii="Arial" w:hAnsi="Arial" w:cs="Arial"/>
          <w:sz w:val="24"/>
          <w:szCs w:val="24"/>
        </w:rPr>
        <w:t xml:space="preserve"> replaced by </w:t>
      </w:r>
      <w:r w:rsidR="004516E2" w:rsidRPr="00593BEB">
        <w:rPr>
          <w:rFonts w:ascii="Arial" w:hAnsi="Arial" w:cs="Arial"/>
          <w:sz w:val="24"/>
          <w:szCs w:val="24"/>
        </w:rPr>
        <w:t>tick-box options</w:t>
      </w:r>
      <w:r w:rsidR="000A7F73" w:rsidRPr="00593BEB">
        <w:rPr>
          <w:rFonts w:ascii="Arial" w:hAnsi="Arial" w:cs="Arial"/>
          <w:sz w:val="24"/>
          <w:szCs w:val="24"/>
        </w:rPr>
        <w:t>, which is why ‘written’ documentation appears less</w:t>
      </w:r>
      <w:r w:rsidR="004516E2" w:rsidRPr="00593BEB">
        <w:rPr>
          <w:rFonts w:ascii="Arial" w:hAnsi="Arial" w:cs="Arial"/>
          <w:sz w:val="24"/>
          <w:szCs w:val="24"/>
        </w:rPr>
        <w:t xml:space="preserve">. </w:t>
      </w:r>
      <w:r w:rsidR="0082128C" w:rsidRPr="00593BEB">
        <w:rPr>
          <w:rFonts w:ascii="Arial" w:hAnsi="Arial" w:cs="Arial"/>
          <w:sz w:val="24"/>
          <w:szCs w:val="24"/>
        </w:rPr>
        <w:t xml:space="preserve">An additional important task that the nursing </w:t>
      </w:r>
      <w:r w:rsidRPr="00593BEB">
        <w:rPr>
          <w:rFonts w:ascii="Arial" w:hAnsi="Arial" w:cs="Arial"/>
          <w:sz w:val="24"/>
          <w:szCs w:val="24"/>
        </w:rPr>
        <w:t>staff</w:t>
      </w:r>
      <w:r w:rsidR="0082128C" w:rsidRPr="00593BEB">
        <w:rPr>
          <w:rFonts w:ascii="Arial" w:hAnsi="Arial" w:cs="Arial"/>
          <w:sz w:val="24"/>
          <w:szCs w:val="24"/>
        </w:rPr>
        <w:t xml:space="preserve"> found helpful was</w:t>
      </w:r>
      <w:r w:rsidR="004516E2" w:rsidRPr="00593BEB">
        <w:rPr>
          <w:rFonts w:ascii="Arial" w:hAnsi="Arial" w:cs="Arial"/>
          <w:sz w:val="24"/>
          <w:szCs w:val="24"/>
        </w:rPr>
        <w:t xml:space="preserve"> that Patient Group Directions (PGD) version numbers are automatically updated, </w:t>
      </w:r>
      <w:r w:rsidR="00D213E1">
        <w:rPr>
          <w:rFonts w:ascii="Arial" w:hAnsi="Arial" w:cs="Arial"/>
          <w:sz w:val="24"/>
          <w:szCs w:val="24"/>
        </w:rPr>
        <w:t>removing</w:t>
      </w:r>
      <w:r w:rsidR="004516E2" w:rsidRPr="00593BEB">
        <w:rPr>
          <w:rFonts w:ascii="Arial" w:hAnsi="Arial" w:cs="Arial"/>
          <w:sz w:val="24"/>
          <w:szCs w:val="24"/>
        </w:rPr>
        <w:t xml:space="preserve"> the need for </w:t>
      </w:r>
      <w:r w:rsidR="004516E2" w:rsidRPr="00593BEB">
        <w:rPr>
          <w:rFonts w:ascii="Arial" w:hAnsi="Arial" w:cs="Arial"/>
          <w:sz w:val="24"/>
          <w:szCs w:val="24"/>
        </w:rPr>
        <w:lastRenderedPageBreak/>
        <w:t>staff to manually document or remember them, further enhancing governance and reducing administrati</w:t>
      </w:r>
      <w:r w:rsidR="00D213E1">
        <w:rPr>
          <w:rFonts w:ascii="Arial" w:hAnsi="Arial" w:cs="Arial"/>
          <w:sz w:val="24"/>
          <w:szCs w:val="24"/>
        </w:rPr>
        <w:t>on time</w:t>
      </w:r>
      <w:r w:rsidR="004516E2" w:rsidRPr="00593BEB">
        <w:rPr>
          <w:rFonts w:ascii="Arial" w:hAnsi="Arial" w:cs="Arial"/>
          <w:sz w:val="24"/>
          <w:szCs w:val="24"/>
        </w:rPr>
        <w:t>.</w:t>
      </w:r>
    </w:p>
    <w:p w14:paraId="0D3EE1FF" w14:textId="77777777" w:rsidR="0030411D" w:rsidRPr="00593BEB" w:rsidRDefault="0030411D" w:rsidP="00F039C3">
      <w:pPr>
        <w:spacing w:before="100" w:beforeAutospacing="1" w:after="100" w:afterAutospacing="1" w:line="240" w:lineRule="auto"/>
        <w:jc w:val="both"/>
        <w:outlineLvl w:val="2"/>
        <w:rPr>
          <w:rFonts w:ascii="Arial" w:hAnsi="Arial" w:cs="Arial"/>
          <w:sz w:val="24"/>
          <w:szCs w:val="24"/>
        </w:rPr>
      </w:pPr>
    </w:p>
    <w:p w14:paraId="77CB885F" w14:textId="2DB09E66" w:rsidR="008901D7" w:rsidRPr="00593BEB" w:rsidRDefault="008901D7" w:rsidP="00F039C3">
      <w:pPr>
        <w:spacing w:before="100" w:beforeAutospacing="1" w:after="100" w:afterAutospacing="1" w:line="240" w:lineRule="auto"/>
        <w:jc w:val="both"/>
        <w:outlineLvl w:val="2"/>
        <w:rPr>
          <w:rFonts w:ascii="Arial" w:hAnsi="Arial" w:cs="Arial"/>
          <w:b/>
          <w:sz w:val="24"/>
          <w:szCs w:val="24"/>
        </w:rPr>
      </w:pPr>
      <w:r w:rsidRPr="00593BEB">
        <w:rPr>
          <w:rFonts w:ascii="Arial" w:hAnsi="Arial" w:cs="Arial"/>
          <w:b/>
          <w:sz w:val="24"/>
          <w:szCs w:val="24"/>
        </w:rPr>
        <w:t>Individual &amp; Task</w:t>
      </w:r>
    </w:p>
    <w:p w14:paraId="309FA475" w14:textId="77777777" w:rsidR="000C2374" w:rsidRPr="00593BEB" w:rsidRDefault="00887C6D" w:rsidP="000C2374">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 xml:space="preserve">Nearly all </w:t>
      </w:r>
      <w:r w:rsidR="000451AC" w:rsidRPr="00593BEB">
        <w:rPr>
          <w:rFonts w:ascii="Arial" w:hAnsi="Arial" w:cs="Arial"/>
          <w:sz w:val="24"/>
          <w:szCs w:val="24"/>
        </w:rPr>
        <w:t>of those involved in these conversations</w:t>
      </w:r>
      <w:r w:rsidRPr="00593BEB">
        <w:rPr>
          <w:rFonts w:ascii="Arial" w:hAnsi="Arial" w:cs="Arial"/>
          <w:sz w:val="24"/>
          <w:szCs w:val="24"/>
        </w:rPr>
        <w:t xml:space="preserve"> agreed that the training provided during the introduction of the electronic records aspect of MillCare in 2022 was in</w:t>
      </w:r>
      <w:r w:rsidR="007409EB">
        <w:rPr>
          <w:rFonts w:ascii="Arial" w:hAnsi="Arial" w:cs="Arial"/>
          <w:sz w:val="24"/>
          <w:szCs w:val="24"/>
        </w:rPr>
        <w:t>sufficient. All</w:t>
      </w:r>
      <w:r w:rsidRPr="00593BEB">
        <w:rPr>
          <w:rFonts w:ascii="Arial" w:hAnsi="Arial" w:cs="Arial"/>
          <w:sz w:val="24"/>
          <w:szCs w:val="24"/>
        </w:rPr>
        <w:t xml:space="preserve"> reported relying heavily on learning through experience, which resulted in delays to appointments. </w:t>
      </w:r>
      <w:r w:rsidR="009B6898" w:rsidRPr="00593BEB">
        <w:rPr>
          <w:rFonts w:ascii="Arial" w:hAnsi="Arial" w:cs="Arial"/>
          <w:sz w:val="24"/>
          <w:szCs w:val="24"/>
        </w:rPr>
        <w:t xml:space="preserve">Appointment times were only extended for the first two weeks after implementation. </w:t>
      </w:r>
      <w:r w:rsidR="000451AC" w:rsidRPr="00593BEB">
        <w:rPr>
          <w:rFonts w:ascii="Arial" w:hAnsi="Arial" w:cs="Arial"/>
          <w:sz w:val="24"/>
          <w:szCs w:val="24"/>
        </w:rPr>
        <w:t>The nurses and doctors</w:t>
      </w:r>
      <w:r w:rsidRPr="00593BEB">
        <w:rPr>
          <w:rFonts w:ascii="Arial" w:hAnsi="Arial" w:cs="Arial"/>
          <w:sz w:val="24"/>
          <w:szCs w:val="24"/>
        </w:rPr>
        <w:t xml:space="preserve"> felt that extending appointment times for a longer period during the initial implementation would have provided a better opportunity to adapt to the system. </w:t>
      </w:r>
      <w:r w:rsidR="000C2374" w:rsidRPr="00593BEB">
        <w:rPr>
          <w:rFonts w:ascii="Arial" w:hAnsi="Arial" w:cs="Arial"/>
          <w:sz w:val="24"/>
          <w:szCs w:val="24"/>
        </w:rPr>
        <w:t>One manager suggested that a 'train the trainer' model could have been an effective solution to address the training challenges faced during the implementation of MillCare. This would have ensured that a suitably trained person was on duty at all times to assist.</w:t>
      </w:r>
    </w:p>
    <w:p w14:paraId="0072EC08" w14:textId="2ACBD537" w:rsidR="005C7FBE" w:rsidRPr="00593BEB" w:rsidRDefault="00887C6D" w:rsidP="00F039C3">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 xml:space="preserve">One staff member, who identified herself as particularly IT illiterate, expressed a need for more personalised support compared to her colleagues. She also highlighted ongoing struggles with certain elements of the software, such as results management, citing the </w:t>
      </w:r>
      <w:r w:rsidR="000C2374">
        <w:rPr>
          <w:rFonts w:ascii="Arial" w:hAnsi="Arial" w:cs="Arial"/>
          <w:sz w:val="24"/>
          <w:szCs w:val="24"/>
        </w:rPr>
        <w:t>appearance</w:t>
      </w:r>
      <w:r w:rsidRPr="00593BEB">
        <w:rPr>
          <w:rFonts w:ascii="Arial" w:hAnsi="Arial" w:cs="Arial"/>
          <w:sz w:val="24"/>
          <w:szCs w:val="24"/>
        </w:rPr>
        <w:t xml:space="preserve"> of</w:t>
      </w:r>
      <w:r w:rsidR="000C2374">
        <w:rPr>
          <w:rFonts w:ascii="Arial" w:hAnsi="Arial" w:cs="Arial"/>
          <w:sz w:val="24"/>
          <w:szCs w:val="24"/>
        </w:rPr>
        <w:t xml:space="preserve"> the</w:t>
      </w:r>
      <w:r w:rsidRPr="00593BEB">
        <w:rPr>
          <w:rFonts w:ascii="Arial" w:hAnsi="Arial" w:cs="Arial"/>
          <w:sz w:val="24"/>
          <w:szCs w:val="24"/>
        </w:rPr>
        <w:t xml:space="preserve"> data on the screen as a key challenge.</w:t>
      </w:r>
      <w:r w:rsidR="005C7FBE" w:rsidRPr="00593BEB">
        <w:rPr>
          <w:rFonts w:ascii="Arial" w:hAnsi="Arial" w:cs="Arial"/>
          <w:sz w:val="24"/>
          <w:szCs w:val="24"/>
        </w:rPr>
        <w:t xml:space="preserve"> </w:t>
      </w:r>
    </w:p>
    <w:p w14:paraId="7439EBAB" w14:textId="4F939255" w:rsidR="005C7FBE" w:rsidRPr="00593BEB" w:rsidRDefault="005C7FBE" w:rsidP="005C7FBE">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One doctor found it challenging to complete data entry within the allocated appointment time, often finishing it after clinical duties were completed. This highlights a clear mismatch, suggesting that computer-based data entry is more time-consuming than using paper records. This may be attributed to the doctor’s limited experience with computers and software, as well as the additional time required to review old notes.</w:t>
      </w:r>
    </w:p>
    <w:p w14:paraId="5A32D19C" w14:textId="1060733C" w:rsidR="00887C6D" w:rsidRPr="00593BEB" w:rsidRDefault="00887C6D" w:rsidP="00F039C3">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 xml:space="preserve">Despite these initial difficulties, all </w:t>
      </w:r>
      <w:r w:rsidR="000451AC" w:rsidRPr="00593BEB">
        <w:rPr>
          <w:rFonts w:ascii="Arial" w:hAnsi="Arial" w:cs="Arial"/>
          <w:sz w:val="24"/>
          <w:szCs w:val="24"/>
        </w:rPr>
        <w:t>of the staff groups</w:t>
      </w:r>
      <w:r w:rsidRPr="00593BEB">
        <w:rPr>
          <w:rFonts w:ascii="Arial" w:hAnsi="Arial" w:cs="Arial"/>
          <w:sz w:val="24"/>
          <w:szCs w:val="24"/>
        </w:rPr>
        <w:t xml:space="preserve"> agreed that the introduction of electronic records has significantly improved governance. Notes can now be accessed from any clinic site, eliminating the need to transport paper records off-site, which previously posed risks of loss or misfiling during transit.</w:t>
      </w:r>
      <w:r w:rsidR="008238D6" w:rsidRPr="00593BEB">
        <w:rPr>
          <w:rFonts w:ascii="Arial" w:hAnsi="Arial" w:cs="Arial"/>
          <w:sz w:val="24"/>
          <w:szCs w:val="24"/>
        </w:rPr>
        <w:t xml:space="preserve"> This also improves continuity of care, with previous visits and results being easily accessible. </w:t>
      </w:r>
    </w:p>
    <w:p w14:paraId="3E346E4F" w14:textId="4B861448" w:rsidR="00CB3D05" w:rsidRPr="00593BEB" w:rsidRDefault="00CB3D05" w:rsidP="00F039C3">
      <w:pPr>
        <w:spacing w:before="100" w:beforeAutospacing="1" w:after="100" w:afterAutospacing="1" w:line="240" w:lineRule="auto"/>
        <w:jc w:val="both"/>
        <w:outlineLvl w:val="2"/>
        <w:rPr>
          <w:rFonts w:ascii="Arial" w:eastAsia="Times New Roman" w:hAnsi="Arial" w:cs="Arial"/>
          <w:b/>
          <w:bCs/>
          <w:sz w:val="24"/>
          <w:szCs w:val="24"/>
          <w:lang w:eastAsia="en-GB"/>
        </w:rPr>
      </w:pPr>
      <w:r w:rsidRPr="00593BEB">
        <w:rPr>
          <w:rFonts w:ascii="Arial" w:eastAsia="Times New Roman" w:hAnsi="Arial" w:cs="Arial"/>
          <w:b/>
          <w:bCs/>
          <w:sz w:val="24"/>
          <w:szCs w:val="24"/>
          <w:lang w:eastAsia="en-GB"/>
        </w:rPr>
        <w:t>Individual &amp; Technology</w:t>
      </w:r>
    </w:p>
    <w:p w14:paraId="1D5BA32E" w14:textId="387C3CC8" w:rsidR="00EA4B22" w:rsidRPr="00593BEB" w:rsidRDefault="000E72C5" w:rsidP="00F039C3">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 xml:space="preserve">The introduction of electronic records presented several challenges for individual users adapting to the technology. One manager highlighted practical issues, such as the insufficient number of computers and printers, noting that each clinical room required a computer, which incurred additional costs. </w:t>
      </w:r>
      <w:r w:rsidR="00EA4B22" w:rsidRPr="00593BEB">
        <w:rPr>
          <w:rFonts w:ascii="Arial" w:hAnsi="Arial" w:cs="Arial"/>
          <w:sz w:val="24"/>
          <w:szCs w:val="24"/>
        </w:rPr>
        <w:t>Although the initial costs to implement electronic records was substantial (payment to MillSystem’s Ltd., purchase of hardware</w:t>
      </w:r>
      <w:r w:rsidR="00904FC5" w:rsidRPr="00593BEB">
        <w:rPr>
          <w:rFonts w:ascii="Arial" w:hAnsi="Arial" w:cs="Arial"/>
          <w:sz w:val="24"/>
          <w:szCs w:val="24"/>
        </w:rPr>
        <w:t xml:space="preserve">), the goal of </w:t>
      </w:r>
      <w:r w:rsidR="009F60BB" w:rsidRPr="00593BEB">
        <w:rPr>
          <w:rFonts w:ascii="Arial" w:hAnsi="Arial" w:cs="Arial"/>
          <w:sz w:val="24"/>
          <w:szCs w:val="24"/>
        </w:rPr>
        <w:t>greater</w:t>
      </w:r>
      <w:r w:rsidR="00904FC5" w:rsidRPr="00593BEB">
        <w:rPr>
          <w:rFonts w:ascii="Arial" w:hAnsi="Arial" w:cs="Arial"/>
          <w:sz w:val="24"/>
          <w:szCs w:val="24"/>
        </w:rPr>
        <w:t xml:space="preserve"> efficie</w:t>
      </w:r>
      <w:r w:rsidR="00EA4B22" w:rsidRPr="00593BEB">
        <w:rPr>
          <w:rFonts w:ascii="Arial" w:hAnsi="Arial" w:cs="Arial"/>
          <w:sz w:val="24"/>
          <w:szCs w:val="24"/>
        </w:rPr>
        <w:t xml:space="preserve">ncies within the service along with improved governance (record keeping, results management etc.) appear to justify the costs (Korhonen et al 2023). </w:t>
      </w:r>
    </w:p>
    <w:p w14:paraId="71C4FD6C" w14:textId="5B8EF7DA" w:rsidR="00CB3D05" w:rsidRPr="00593BEB" w:rsidRDefault="000E72C5" w:rsidP="00F039C3">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For some staff members, the transition to using the software was particularly daunting. One employee admitted, "I didn’t have a clue where to start. I’ve never had to use a computer to do this level of work before," while another expressed feeling</w:t>
      </w:r>
      <w:r w:rsidR="00690568" w:rsidRPr="00593BEB">
        <w:rPr>
          <w:rFonts w:ascii="Arial" w:hAnsi="Arial" w:cs="Arial"/>
          <w:sz w:val="24"/>
          <w:szCs w:val="24"/>
        </w:rPr>
        <w:t xml:space="preserve"> inadequate</w:t>
      </w:r>
      <w:r w:rsidRPr="00593BEB">
        <w:rPr>
          <w:rFonts w:ascii="Arial" w:hAnsi="Arial" w:cs="Arial"/>
          <w:sz w:val="24"/>
          <w:szCs w:val="24"/>
        </w:rPr>
        <w:t xml:space="preserve">, </w:t>
      </w:r>
      <w:r w:rsidRPr="00593BEB">
        <w:rPr>
          <w:rFonts w:ascii="Arial" w:hAnsi="Arial" w:cs="Arial"/>
          <w:sz w:val="24"/>
          <w:szCs w:val="24"/>
        </w:rPr>
        <w:lastRenderedPageBreak/>
        <w:t>stating she didn’t feel "brainy" enough to use the system and feared making mistakes. This period was described as highly stressful for her, marking a difficult point in her career as she struggled to adjust to the new demands.</w:t>
      </w:r>
      <w:r w:rsidR="00E11E03" w:rsidRPr="00593BEB">
        <w:rPr>
          <w:rFonts w:ascii="Arial" w:hAnsi="Arial" w:cs="Arial"/>
          <w:sz w:val="24"/>
          <w:szCs w:val="24"/>
        </w:rPr>
        <w:t xml:space="preserve"> This barrier of ‘negative’ attitudes to change is often touted as the strongest influence inhibiting change, and should be given the most attention (Pakulska &amp; Religioni 2023). Providing incentives, such as demonstrating how the new technology will benefit their practice may help to </w:t>
      </w:r>
      <w:r w:rsidR="000C2374">
        <w:rPr>
          <w:rFonts w:ascii="Arial" w:hAnsi="Arial" w:cs="Arial"/>
          <w:sz w:val="24"/>
          <w:szCs w:val="24"/>
        </w:rPr>
        <w:t>change</w:t>
      </w:r>
      <w:r w:rsidR="00E11E03" w:rsidRPr="00593BEB">
        <w:rPr>
          <w:rFonts w:ascii="Arial" w:hAnsi="Arial" w:cs="Arial"/>
          <w:sz w:val="24"/>
          <w:szCs w:val="24"/>
        </w:rPr>
        <w:t xml:space="preserve"> those attitudes. Prior to any large scale change, managers should acquire appropriate skills in change management (Pakulska &amp; Religioni 2023).</w:t>
      </w:r>
    </w:p>
    <w:p w14:paraId="67EB8310" w14:textId="2B41E9F8" w:rsidR="000E72C5" w:rsidRPr="00593BEB" w:rsidRDefault="000E72C5" w:rsidP="00F039C3">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 xml:space="preserve">Some </w:t>
      </w:r>
      <w:r w:rsidR="009F60BB" w:rsidRPr="00593BEB">
        <w:rPr>
          <w:rFonts w:ascii="Arial" w:hAnsi="Arial" w:cs="Arial"/>
          <w:sz w:val="24"/>
          <w:szCs w:val="24"/>
        </w:rPr>
        <w:t>of the clerical staff members</w:t>
      </w:r>
      <w:r w:rsidRPr="00593BEB">
        <w:rPr>
          <w:rFonts w:ascii="Arial" w:hAnsi="Arial" w:cs="Arial"/>
          <w:sz w:val="24"/>
          <w:szCs w:val="24"/>
        </w:rPr>
        <w:t xml:space="preserve">, </w:t>
      </w:r>
      <w:r w:rsidR="007409EB">
        <w:rPr>
          <w:rFonts w:ascii="Arial" w:hAnsi="Arial" w:cs="Arial"/>
          <w:sz w:val="24"/>
          <w:szCs w:val="24"/>
        </w:rPr>
        <w:t>and</w:t>
      </w:r>
      <w:r w:rsidRPr="00593BEB">
        <w:rPr>
          <w:rFonts w:ascii="Arial" w:hAnsi="Arial" w:cs="Arial"/>
          <w:sz w:val="24"/>
          <w:szCs w:val="24"/>
        </w:rPr>
        <w:t xml:space="preserve"> myself, were closely involved in the introduction of electronic records and had collaborated with the MillSystems </w:t>
      </w:r>
      <w:r w:rsidR="00823E79">
        <w:rPr>
          <w:rFonts w:ascii="Arial" w:hAnsi="Arial" w:cs="Arial"/>
          <w:sz w:val="24"/>
          <w:szCs w:val="24"/>
        </w:rPr>
        <w:t>c</w:t>
      </w:r>
      <w:r w:rsidR="00823E79" w:rsidRPr="00593BEB">
        <w:rPr>
          <w:rFonts w:ascii="Arial" w:hAnsi="Arial" w:cs="Arial"/>
          <w:sz w:val="24"/>
          <w:szCs w:val="24"/>
        </w:rPr>
        <w:t>ompany</w:t>
      </w:r>
      <w:r w:rsidRPr="00593BEB">
        <w:rPr>
          <w:rFonts w:ascii="Arial" w:hAnsi="Arial" w:cs="Arial"/>
          <w:sz w:val="24"/>
          <w:szCs w:val="24"/>
        </w:rPr>
        <w:t xml:space="preserve"> during the development process. As a result, we felt very familiar with the system and found it to be relatively intuitive. However, this sentiment was not shared by those who had no prior experience with the system. One </w:t>
      </w:r>
      <w:r w:rsidR="009F60BB" w:rsidRPr="00593BEB">
        <w:rPr>
          <w:rFonts w:ascii="Arial" w:hAnsi="Arial" w:cs="Arial"/>
          <w:sz w:val="24"/>
          <w:szCs w:val="24"/>
        </w:rPr>
        <w:t>nurse</w:t>
      </w:r>
      <w:r w:rsidRPr="00593BEB">
        <w:rPr>
          <w:rFonts w:ascii="Arial" w:hAnsi="Arial" w:cs="Arial"/>
          <w:sz w:val="24"/>
          <w:szCs w:val="24"/>
        </w:rPr>
        <w:t xml:space="preserve"> </w:t>
      </w:r>
      <w:r w:rsidR="000C2374">
        <w:rPr>
          <w:rFonts w:ascii="Arial" w:hAnsi="Arial" w:cs="Arial"/>
          <w:sz w:val="24"/>
          <w:szCs w:val="24"/>
        </w:rPr>
        <w:t>commented</w:t>
      </w:r>
      <w:r w:rsidRPr="00593BEB">
        <w:rPr>
          <w:rFonts w:ascii="Arial" w:hAnsi="Arial" w:cs="Arial"/>
          <w:sz w:val="24"/>
          <w:szCs w:val="24"/>
        </w:rPr>
        <w:t xml:space="preserve"> that "there are words all over the screen," describing the display as crowded and overwhelming. Another highlighted accessibility concerns, stating that the font size made the display difficult to read, particularly given her poor eyesight.</w:t>
      </w:r>
    </w:p>
    <w:p w14:paraId="27E74C77" w14:textId="594A9D38" w:rsidR="000E72C5" w:rsidRPr="00593BEB" w:rsidRDefault="000E72C5" w:rsidP="00F039C3">
      <w:pPr>
        <w:spacing w:before="100" w:beforeAutospacing="1" w:after="100" w:afterAutospacing="1" w:line="240" w:lineRule="auto"/>
        <w:jc w:val="both"/>
        <w:outlineLvl w:val="2"/>
        <w:rPr>
          <w:rFonts w:ascii="Arial" w:hAnsi="Arial" w:cs="Arial"/>
          <w:sz w:val="24"/>
          <w:szCs w:val="24"/>
        </w:rPr>
      </w:pPr>
      <w:r w:rsidRPr="00593BEB">
        <w:rPr>
          <w:rFonts w:ascii="Arial" w:hAnsi="Arial" w:cs="Arial"/>
          <w:sz w:val="24"/>
          <w:szCs w:val="24"/>
        </w:rPr>
        <w:t xml:space="preserve">All </w:t>
      </w:r>
      <w:r w:rsidR="007409EB">
        <w:rPr>
          <w:rFonts w:ascii="Arial" w:hAnsi="Arial" w:cs="Arial"/>
          <w:sz w:val="24"/>
          <w:szCs w:val="24"/>
        </w:rPr>
        <w:t>staff members</w:t>
      </w:r>
      <w:r w:rsidRPr="00593BEB">
        <w:rPr>
          <w:rFonts w:ascii="Arial" w:hAnsi="Arial" w:cs="Arial"/>
          <w:sz w:val="24"/>
          <w:szCs w:val="24"/>
        </w:rPr>
        <w:t xml:space="preserve"> noted a recurring issue where, every Thursday, the printers stop working, requiring the IT department to reboot the system. This problem stems from a flaw in the IT system, where updates carried out by the Health Board to ensure cyber security disrupt the printer connections to MillCare. As a result, patients are occasionally seen without their old records being available, and data entry is often delayed until the end of the clinic. This delay increases the risk of documentation errors and means that records are not updated in 'real time,' as required by the NMC</w:t>
      </w:r>
      <w:r w:rsidR="008E4EC8" w:rsidRPr="00593BEB">
        <w:rPr>
          <w:rFonts w:ascii="Arial" w:hAnsi="Arial" w:cs="Arial"/>
          <w:sz w:val="24"/>
          <w:szCs w:val="24"/>
        </w:rPr>
        <w:t xml:space="preserve"> (2018)</w:t>
      </w:r>
      <w:r w:rsidRPr="00593BEB">
        <w:rPr>
          <w:rFonts w:ascii="Arial" w:hAnsi="Arial" w:cs="Arial"/>
          <w:sz w:val="24"/>
          <w:szCs w:val="24"/>
        </w:rPr>
        <w:t>.</w:t>
      </w:r>
    </w:p>
    <w:p w14:paraId="1EAA1ECF" w14:textId="625B813B" w:rsidR="005C7FBE" w:rsidRPr="00593BEB" w:rsidRDefault="005C7FBE" w:rsidP="00F039C3">
      <w:pPr>
        <w:spacing w:before="100" w:beforeAutospacing="1" w:after="100" w:afterAutospacing="1" w:line="240" w:lineRule="auto"/>
        <w:jc w:val="both"/>
        <w:outlineLvl w:val="2"/>
        <w:rPr>
          <w:rFonts w:ascii="Arial" w:hAnsi="Arial" w:cs="Arial"/>
          <w:b/>
          <w:sz w:val="24"/>
          <w:szCs w:val="24"/>
        </w:rPr>
      </w:pPr>
      <w:r w:rsidRPr="00593BEB">
        <w:rPr>
          <w:rFonts w:ascii="Arial" w:hAnsi="Arial" w:cs="Arial"/>
          <w:b/>
          <w:sz w:val="24"/>
          <w:szCs w:val="24"/>
        </w:rPr>
        <w:t>Discussion</w:t>
      </w:r>
    </w:p>
    <w:p w14:paraId="5A1B0FB5" w14:textId="3C448E63" w:rsidR="005C7FBE" w:rsidRPr="00593BEB"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The evaluation of MillCare using the FITT framework</w:t>
      </w:r>
      <w:r w:rsidR="009F60BB" w:rsidRPr="00593BEB">
        <w:rPr>
          <w:rFonts w:ascii="Arial" w:eastAsia="Times New Roman" w:hAnsi="Arial" w:cs="Arial"/>
          <w:sz w:val="24"/>
          <w:szCs w:val="24"/>
          <w:lang w:eastAsia="en-GB"/>
        </w:rPr>
        <w:t xml:space="preserve"> has given</w:t>
      </w:r>
      <w:r w:rsidRPr="00593BEB">
        <w:rPr>
          <w:rFonts w:ascii="Arial" w:eastAsia="Times New Roman" w:hAnsi="Arial" w:cs="Arial"/>
          <w:sz w:val="24"/>
          <w:szCs w:val="24"/>
          <w:lang w:eastAsia="en-GB"/>
        </w:rPr>
        <w:t xml:space="preserve"> </w:t>
      </w:r>
      <w:r w:rsidR="0082128C" w:rsidRPr="00593BEB">
        <w:rPr>
          <w:rFonts w:ascii="Arial" w:eastAsia="Times New Roman" w:hAnsi="Arial" w:cs="Arial"/>
          <w:sz w:val="24"/>
          <w:szCs w:val="24"/>
          <w:lang w:eastAsia="en-GB"/>
        </w:rPr>
        <w:t>key</w:t>
      </w:r>
      <w:r w:rsidRPr="00593BEB">
        <w:rPr>
          <w:rFonts w:ascii="Arial" w:eastAsia="Times New Roman" w:hAnsi="Arial" w:cs="Arial"/>
          <w:sz w:val="24"/>
          <w:szCs w:val="24"/>
          <w:lang w:eastAsia="en-GB"/>
        </w:rPr>
        <w:t xml:space="preserve"> insights into the </w:t>
      </w:r>
      <w:r w:rsidR="00B05D0E" w:rsidRPr="00593BEB">
        <w:rPr>
          <w:rFonts w:ascii="Arial" w:eastAsia="Times New Roman" w:hAnsi="Arial" w:cs="Arial"/>
          <w:sz w:val="24"/>
          <w:szCs w:val="24"/>
          <w:lang w:eastAsia="en-GB"/>
        </w:rPr>
        <w:t>interaction</w:t>
      </w:r>
      <w:r w:rsidRPr="00593BEB">
        <w:rPr>
          <w:rFonts w:ascii="Arial" w:eastAsia="Times New Roman" w:hAnsi="Arial" w:cs="Arial"/>
          <w:sz w:val="24"/>
          <w:szCs w:val="24"/>
          <w:lang w:eastAsia="en-GB"/>
        </w:rPr>
        <w:t xml:space="preserve"> between individuals, tasks, and technology of</w:t>
      </w:r>
      <w:r w:rsidR="0082128C" w:rsidRPr="00593BEB">
        <w:rPr>
          <w:rFonts w:ascii="Arial" w:eastAsia="Times New Roman" w:hAnsi="Arial" w:cs="Arial"/>
          <w:sz w:val="24"/>
          <w:szCs w:val="24"/>
          <w:lang w:eastAsia="en-GB"/>
        </w:rPr>
        <w:t xml:space="preserve"> staff using MillCare within SBUHB </w:t>
      </w:r>
      <w:r w:rsidRPr="00593BEB">
        <w:rPr>
          <w:rFonts w:ascii="Arial" w:eastAsia="Times New Roman" w:hAnsi="Arial" w:cs="Arial"/>
          <w:sz w:val="24"/>
          <w:szCs w:val="24"/>
          <w:lang w:eastAsia="en-GB"/>
        </w:rPr>
        <w:t xml:space="preserve">sexual health services. </w:t>
      </w:r>
      <w:r w:rsidR="00B60906">
        <w:rPr>
          <w:rFonts w:ascii="Arial" w:eastAsia="Times New Roman" w:hAnsi="Arial" w:cs="Arial"/>
          <w:sz w:val="24"/>
          <w:szCs w:val="24"/>
          <w:lang w:eastAsia="en-GB"/>
        </w:rPr>
        <w:t>A poor</w:t>
      </w:r>
      <w:r w:rsidR="00124F4E" w:rsidRPr="00593BEB">
        <w:rPr>
          <w:rFonts w:ascii="Arial" w:eastAsia="Times New Roman" w:hAnsi="Arial" w:cs="Arial"/>
          <w:sz w:val="24"/>
          <w:szCs w:val="24"/>
          <w:lang w:eastAsia="en-GB"/>
        </w:rPr>
        <w:t xml:space="preserve"> fit between these attributes is often the reason for any problems encountered in technology implementation and use</w:t>
      </w:r>
      <w:r w:rsidR="0082128C" w:rsidRPr="00593BEB">
        <w:rPr>
          <w:rFonts w:ascii="Arial" w:eastAsia="Times New Roman" w:hAnsi="Arial" w:cs="Arial"/>
          <w:sz w:val="24"/>
          <w:szCs w:val="24"/>
          <w:lang w:eastAsia="en-GB"/>
        </w:rPr>
        <w:t xml:space="preserve"> (</w:t>
      </w:r>
      <w:r w:rsidR="00BA14E4" w:rsidRPr="00593BEB">
        <w:rPr>
          <w:rFonts w:ascii="Arial" w:eastAsia="Times New Roman" w:hAnsi="Arial" w:cs="Arial"/>
          <w:sz w:val="24"/>
          <w:szCs w:val="24"/>
          <w:lang w:eastAsia="en-GB"/>
        </w:rPr>
        <w:t>Tsinakis &amp; Kouroubali 2009)</w:t>
      </w:r>
      <w:r w:rsidR="00124F4E" w:rsidRPr="00593BEB">
        <w:rPr>
          <w:rFonts w:ascii="Arial" w:eastAsia="Times New Roman" w:hAnsi="Arial" w:cs="Arial"/>
          <w:sz w:val="24"/>
          <w:szCs w:val="24"/>
          <w:lang w:eastAsia="en-GB"/>
        </w:rPr>
        <w:t xml:space="preserve">. The </w:t>
      </w:r>
      <w:r w:rsidRPr="00593BEB">
        <w:rPr>
          <w:rFonts w:ascii="Arial" w:eastAsia="Times New Roman" w:hAnsi="Arial" w:cs="Arial"/>
          <w:sz w:val="24"/>
          <w:szCs w:val="24"/>
          <w:lang w:eastAsia="en-GB"/>
        </w:rPr>
        <w:t>findings</w:t>
      </w:r>
      <w:r w:rsidR="00124F4E" w:rsidRPr="00593BEB">
        <w:rPr>
          <w:rFonts w:ascii="Arial" w:eastAsia="Times New Roman" w:hAnsi="Arial" w:cs="Arial"/>
          <w:sz w:val="24"/>
          <w:szCs w:val="24"/>
          <w:lang w:eastAsia="en-GB"/>
        </w:rPr>
        <w:t xml:space="preserve"> of this analysis</w:t>
      </w:r>
      <w:r w:rsidRPr="00593BEB">
        <w:rPr>
          <w:rFonts w:ascii="Arial" w:eastAsia="Times New Roman" w:hAnsi="Arial" w:cs="Arial"/>
          <w:sz w:val="24"/>
          <w:szCs w:val="24"/>
          <w:lang w:eastAsia="en-GB"/>
        </w:rPr>
        <w:t xml:space="preserve"> highlight</w:t>
      </w:r>
      <w:r w:rsidR="00124F4E" w:rsidRPr="00593BEB">
        <w:rPr>
          <w:rFonts w:ascii="Arial" w:eastAsia="Times New Roman" w:hAnsi="Arial" w:cs="Arial"/>
          <w:sz w:val="24"/>
          <w:szCs w:val="24"/>
          <w:lang w:eastAsia="en-GB"/>
        </w:rPr>
        <w:t>s</w:t>
      </w:r>
      <w:r w:rsidRPr="00593BEB">
        <w:rPr>
          <w:rFonts w:ascii="Arial" w:eastAsia="Times New Roman" w:hAnsi="Arial" w:cs="Arial"/>
          <w:sz w:val="24"/>
          <w:szCs w:val="24"/>
          <w:lang w:eastAsia="en-GB"/>
        </w:rPr>
        <w:t xml:space="preserve"> both the successes and the challenges </w:t>
      </w:r>
      <w:r w:rsidR="00B60906">
        <w:rPr>
          <w:rFonts w:ascii="Arial" w:eastAsia="Times New Roman" w:hAnsi="Arial" w:cs="Arial"/>
          <w:sz w:val="24"/>
          <w:szCs w:val="24"/>
          <w:lang w:eastAsia="en-GB"/>
        </w:rPr>
        <w:t>of the technology</w:t>
      </w:r>
      <w:bookmarkStart w:id="0" w:name="_GoBack"/>
      <w:bookmarkEnd w:id="0"/>
      <w:r w:rsidR="007409EB">
        <w:rPr>
          <w:rFonts w:ascii="Arial" w:eastAsia="Times New Roman" w:hAnsi="Arial" w:cs="Arial"/>
          <w:sz w:val="24"/>
          <w:szCs w:val="24"/>
          <w:lang w:eastAsia="en-GB"/>
        </w:rPr>
        <w:t xml:space="preserve">, with </w:t>
      </w:r>
      <w:r w:rsidRPr="00593BEB">
        <w:rPr>
          <w:rFonts w:ascii="Arial" w:eastAsia="Times New Roman" w:hAnsi="Arial" w:cs="Arial"/>
          <w:sz w:val="24"/>
          <w:szCs w:val="24"/>
          <w:lang w:eastAsia="en-GB"/>
        </w:rPr>
        <w:t xml:space="preserve">issues stemming from both </w:t>
      </w:r>
      <w:r w:rsidR="0082128C" w:rsidRPr="00593BEB">
        <w:rPr>
          <w:rFonts w:ascii="Arial" w:eastAsia="Times New Roman" w:hAnsi="Arial" w:cs="Arial"/>
          <w:sz w:val="24"/>
          <w:szCs w:val="24"/>
          <w:lang w:eastAsia="en-GB"/>
        </w:rPr>
        <w:t>system</w:t>
      </w:r>
      <w:r w:rsidRPr="00593BEB">
        <w:rPr>
          <w:rFonts w:ascii="Arial" w:eastAsia="Times New Roman" w:hAnsi="Arial" w:cs="Arial"/>
          <w:sz w:val="24"/>
          <w:szCs w:val="24"/>
          <w:lang w:eastAsia="en-GB"/>
        </w:rPr>
        <w:t xml:space="preserve"> design and </w:t>
      </w:r>
      <w:r w:rsidR="0082128C" w:rsidRPr="00593BEB">
        <w:rPr>
          <w:rFonts w:ascii="Arial" w:eastAsia="Times New Roman" w:hAnsi="Arial" w:cs="Arial"/>
          <w:sz w:val="24"/>
          <w:szCs w:val="24"/>
          <w:lang w:eastAsia="en-GB"/>
        </w:rPr>
        <w:t>system implementation.</w:t>
      </w:r>
      <w:r w:rsidR="00124F4E" w:rsidRPr="00593BEB">
        <w:rPr>
          <w:rFonts w:ascii="Arial" w:eastAsia="Times New Roman" w:hAnsi="Arial" w:cs="Arial"/>
          <w:sz w:val="24"/>
          <w:szCs w:val="24"/>
          <w:lang w:eastAsia="en-GB"/>
        </w:rPr>
        <w:t xml:space="preserve"> </w:t>
      </w:r>
    </w:p>
    <w:p w14:paraId="560FC56D" w14:textId="1F23A783" w:rsidR="005C7FBE" w:rsidRPr="00593BEB"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One of the successes of MillCare lies in its ability to improve governance and confidentiality, </w:t>
      </w:r>
      <w:r w:rsidR="0082128C" w:rsidRPr="00593BEB">
        <w:rPr>
          <w:rFonts w:ascii="Arial" w:eastAsia="Times New Roman" w:hAnsi="Arial" w:cs="Arial"/>
          <w:sz w:val="24"/>
          <w:szCs w:val="24"/>
          <w:lang w:eastAsia="en-GB"/>
        </w:rPr>
        <w:t>as recommended by the</w:t>
      </w:r>
      <w:r w:rsidRPr="00593BEB">
        <w:rPr>
          <w:rFonts w:ascii="Arial" w:eastAsia="Times New Roman" w:hAnsi="Arial" w:cs="Arial"/>
          <w:sz w:val="24"/>
          <w:szCs w:val="24"/>
          <w:lang w:eastAsia="en-GB"/>
        </w:rPr>
        <w:t xml:space="preserve"> British HIV Association (BHIVA 2015). By anonymising patient data and facilitating seamless access to records across clinic sites, MillCare addresses long-standing concerns about the risks associated with paper-based records, such as loss or misfiling during transit</w:t>
      </w:r>
      <w:r w:rsidR="0093292C" w:rsidRPr="00593BEB">
        <w:rPr>
          <w:rFonts w:ascii="Arial" w:eastAsia="Times New Roman" w:hAnsi="Arial" w:cs="Arial"/>
          <w:sz w:val="24"/>
          <w:szCs w:val="24"/>
          <w:lang w:eastAsia="en-GB"/>
        </w:rPr>
        <w:t xml:space="preserve"> </w:t>
      </w:r>
      <w:r w:rsidR="004670B9" w:rsidRPr="00593BEB">
        <w:rPr>
          <w:rFonts w:ascii="Arial" w:eastAsia="Times New Roman" w:hAnsi="Arial" w:cs="Arial"/>
          <w:sz w:val="24"/>
          <w:szCs w:val="24"/>
          <w:lang w:eastAsia="en-GB"/>
        </w:rPr>
        <w:t>(Murphy &amp; Keogh 2023)</w:t>
      </w:r>
      <w:r w:rsidRPr="00593BEB">
        <w:rPr>
          <w:rFonts w:ascii="Arial" w:eastAsia="Times New Roman" w:hAnsi="Arial" w:cs="Arial"/>
          <w:sz w:val="24"/>
          <w:szCs w:val="24"/>
          <w:lang w:eastAsia="en-GB"/>
        </w:rPr>
        <w:t xml:space="preserve">. These benefits reflect the </w:t>
      </w:r>
      <w:r w:rsidR="00D1379D">
        <w:rPr>
          <w:rFonts w:ascii="Arial" w:eastAsia="Times New Roman" w:hAnsi="Arial" w:cs="Arial"/>
          <w:sz w:val="24"/>
          <w:szCs w:val="24"/>
          <w:lang w:eastAsia="en-GB"/>
        </w:rPr>
        <w:t>how the system</w:t>
      </w:r>
      <w:r w:rsidRPr="00593BEB">
        <w:rPr>
          <w:rFonts w:ascii="Arial" w:eastAsia="Times New Roman" w:hAnsi="Arial" w:cs="Arial"/>
          <w:sz w:val="24"/>
          <w:szCs w:val="24"/>
          <w:lang w:eastAsia="en-GB"/>
        </w:rPr>
        <w:t xml:space="preserve"> </w:t>
      </w:r>
      <w:r w:rsidR="00D1379D">
        <w:rPr>
          <w:rFonts w:ascii="Arial" w:eastAsia="Times New Roman" w:hAnsi="Arial" w:cs="Arial"/>
          <w:sz w:val="24"/>
          <w:szCs w:val="24"/>
          <w:lang w:eastAsia="en-GB"/>
        </w:rPr>
        <w:t>aligns</w:t>
      </w:r>
      <w:r w:rsidRPr="00593BEB">
        <w:rPr>
          <w:rFonts w:ascii="Arial" w:eastAsia="Times New Roman" w:hAnsi="Arial" w:cs="Arial"/>
          <w:sz w:val="24"/>
          <w:szCs w:val="24"/>
          <w:lang w:eastAsia="en-GB"/>
        </w:rPr>
        <w:t xml:space="preserve"> with the operational needs of sexual health services and its compliance with legislati</w:t>
      </w:r>
      <w:r w:rsidR="00DA5E1E" w:rsidRPr="00593BEB">
        <w:rPr>
          <w:rFonts w:ascii="Arial" w:eastAsia="Times New Roman" w:hAnsi="Arial" w:cs="Arial"/>
          <w:sz w:val="24"/>
          <w:szCs w:val="24"/>
          <w:lang w:eastAsia="en-GB"/>
        </w:rPr>
        <w:t>on</w:t>
      </w:r>
      <w:r w:rsidRPr="00593BEB">
        <w:rPr>
          <w:rFonts w:ascii="Arial" w:eastAsia="Times New Roman" w:hAnsi="Arial" w:cs="Arial"/>
          <w:sz w:val="24"/>
          <w:szCs w:val="24"/>
          <w:lang w:eastAsia="en-GB"/>
        </w:rPr>
        <w:t xml:space="preserve">, such as the Data Protection Act (2018). However, challenges in usability, such as the overwhelming presentation of data and small font sizes, suggest </w:t>
      </w:r>
      <w:r w:rsidR="00D1379D">
        <w:rPr>
          <w:rFonts w:ascii="Arial" w:eastAsia="Times New Roman" w:hAnsi="Arial" w:cs="Arial"/>
          <w:sz w:val="24"/>
          <w:szCs w:val="24"/>
          <w:lang w:eastAsia="en-GB"/>
        </w:rPr>
        <w:t xml:space="preserve">that it was </w:t>
      </w:r>
      <w:r w:rsidRPr="00593BEB">
        <w:rPr>
          <w:rFonts w:ascii="Arial" w:eastAsia="Times New Roman" w:hAnsi="Arial" w:cs="Arial"/>
          <w:sz w:val="24"/>
          <w:szCs w:val="24"/>
          <w:lang w:eastAsia="en-GB"/>
        </w:rPr>
        <w:t>design</w:t>
      </w:r>
      <w:r w:rsidR="00D1379D">
        <w:rPr>
          <w:rFonts w:ascii="Arial" w:eastAsia="Times New Roman" w:hAnsi="Arial" w:cs="Arial"/>
          <w:sz w:val="24"/>
          <w:szCs w:val="24"/>
          <w:lang w:eastAsia="en-GB"/>
        </w:rPr>
        <w:t>ed without feedback from users</w:t>
      </w:r>
      <w:r w:rsidR="00E53E2C" w:rsidRPr="00593BEB">
        <w:rPr>
          <w:rFonts w:ascii="Arial" w:eastAsia="Times New Roman" w:hAnsi="Arial" w:cs="Arial"/>
          <w:sz w:val="24"/>
          <w:szCs w:val="24"/>
          <w:lang w:eastAsia="en-GB"/>
        </w:rPr>
        <w:t>, which aligns</w:t>
      </w:r>
      <w:r w:rsidRPr="00593BEB">
        <w:rPr>
          <w:rFonts w:ascii="Arial" w:eastAsia="Times New Roman" w:hAnsi="Arial" w:cs="Arial"/>
          <w:sz w:val="24"/>
          <w:szCs w:val="24"/>
          <w:lang w:eastAsia="en-GB"/>
        </w:rPr>
        <w:t xml:space="preserve"> with findi</w:t>
      </w:r>
      <w:r w:rsidR="007C288E" w:rsidRPr="00593BEB">
        <w:rPr>
          <w:rFonts w:ascii="Arial" w:eastAsia="Times New Roman" w:hAnsi="Arial" w:cs="Arial"/>
          <w:sz w:val="24"/>
          <w:szCs w:val="24"/>
          <w:lang w:eastAsia="en-GB"/>
        </w:rPr>
        <w:t>ngs by Schnall et al</w:t>
      </w:r>
      <w:r w:rsidRPr="00593BEB">
        <w:rPr>
          <w:rFonts w:ascii="Arial" w:eastAsia="Times New Roman" w:hAnsi="Arial" w:cs="Arial"/>
          <w:sz w:val="24"/>
          <w:szCs w:val="24"/>
          <w:lang w:eastAsia="en-GB"/>
        </w:rPr>
        <w:t xml:space="preserve"> (2012), who </w:t>
      </w:r>
      <w:r w:rsidR="003D3056" w:rsidRPr="00593BEB">
        <w:rPr>
          <w:rFonts w:ascii="Arial" w:eastAsia="Times New Roman" w:hAnsi="Arial" w:cs="Arial"/>
          <w:sz w:val="24"/>
          <w:szCs w:val="24"/>
          <w:lang w:eastAsia="en-GB"/>
        </w:rPr>
        <w:t>highlighted</w:t>
      </w:r>
      <w:r w:rsidRPr="00593BEB">
        <w:rPr>
          <w:rFonts w:ascii="Arial" w:eastAsia="Times New Roman" w:hAnsi="Arial" w:cs="Arial"/>
          <w:sz w:val="24"/>
          <w:szCs w:val="24"/>
          <w:lang w:eastAsia="en-GB"/>
        </w:rPr>
        <w:t xml:space="preserve"> that systems with poor usability can </w:t>
      </w:r>
      <w:r w:rsidR="00594BF5" w:rsidRPr="00593BEB">
        <w:rPr>
          <w:rFonts w:ascii="Arial" w:eastAsia="Times New Roman" w:hAnsi="Arial" w:cs="Arial"/>
          <w:sz w:val="24"/>
          <w:szCs w:val="24"/>
          <w:lang w:eastAsia="en-GB"/>
        </w:rPr>
        <w:t>be overwhelming</w:t>
      </w:r>
      <w:r w:rsidRPr="00593BEB">
        <w:rPr>
          <w:rFonts w:ascii="Arial" w:eastAsia="Times New Roman" w:hAnsi="Arial" w:cs="Arial"/>
          <w:sz w:val="24"/>
          <w:szCs w:val="24"/>
          <w:lang w:eastAsia="en-GB"/>
        </w:rPr>
        <w:t xml:space="preserve"> and reduce user efficiency.</w:t>
      </w:r>
    </w:p>
    <w:p w14:paraId="3615D618" w14:textId="61AC01E2" w:rsidR="005C7FBE" w:rsidRPr="00593BEB" w:rsidRDefault="004D7615" w:rsidP="007C723E">
      <w:pPr>
        <w:spacing w:before="100" w:beforeAutospacing="1" w:after="100" w:afterAutospacing="1"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5C7FBE" w:rsidRPr="00593BEB">
        <w:rPr>
          <w:rFonts w:ascii="Arial" w:eastAsia="Times New Roman" w:hAnsi="Arial" w:cs="Arial"/>
          <w:sz w:val="24"/>
          <w:szCs w:val="24"/>
          <w:lang w:eastAsia="en-GB"/>
        </w:rPr>
        <w:t xml:space="preserve">he system's outdated structure, </w:t>
      </w:r>
      <w:r w:rsidR="00C04C46" w:rsidRPr="00593BEB">
        <w:rPr>
          <w:rFonts w:ascii="Arial" w:eastAsia="Times New Roman" w:hAnsi="Arial" w:cs="Arial"/>
          <w:sz w:val="24"/>
          <w:szCs w:val="24"/>
          <w:lang w:eastAsia="en-GB"/>
        </w:rPr>
        <w:t>along with</w:t>
      </w:r>
      <w:r w:rsidR="005C7FBE" w:rsidRPr="00593BEB">
        <w:rPr>
          <w:rFonts w:ascii="Arial" w:eastAsia="Times New Roman" w:hAnsi="Arial" w:cs="Arial"/>
          <w:sz w:val="24"/>
          <w:szCs w:val="24"/>
          <w:lang w:eastAsia="en-GB"/>
        </w:rPr>
        <w:t xml:space="preserve"> MillSystems Ltd.’s liquidation, highlights a</w:t>
      </w:r>
      <w:r w:rsidR="007409EB">
        <w:rPr>
          <w:rFonts w:ascii="Arial" w:eastAsia="Times New Roman" w:hAnsi="Arial" w:cs="Arial"/>
          <w:sz w:val="24"/>
          <w:szCs w:val="24"/>
          <w:lang w:eastAsia="en-GB"/>
        </w:rPr>
        <w:t>n</w:t>
      </w:r>
      <w:r w:rsidR="005C7FBE" w:rsidRPr="00593BEB">
        <w:rPr>
          <w:rFonts w:ascii="Arial" w:eastAsia="Times New Roman" w:hAnsi="Arial" w:cs="Arial"/>
          <w:sz w:val="24"/>
          <w:szCs w:val="24"/>
          <w:lang w:eastAsia="en-GB"/>
        </w:rPr>
        <w:t xml:space="preserve"> </w:t>
      </w:r>
      <w:r w:rsidR="007409EB">
        <w:rPr>
          <w:rFonts w:ascii="Arial" w:eastAsia="Times New Roman" w:hAnsi="Arial" w:cs="Arial"/>
          <w:sz w:val="24"/>
          <w:szCs w:val="24"/>
          <w:lang w:eastAsia="en-GB"/>
        </w:rPr>
        <w:t>issue</w:t>
      </w:r>
      <w:r w:rsidR="005C7FBE" w:rsidRPr="00593BEB">
        <w:rPr>
          <w:rFonts w:ascii="Arial" w:eastAsia="Times New Roman" w:hAnsi="Arial" w:cs="Arial"/>
          <w:sz w:val="24"/>
          <w:szCs w:val="24"/>
          <w:lang w:eastAsia="en-GB"/>
        </w:rPr>
        <w:t xml:space="preserve"> in product lifecycle management</w:t>
      </w:r>
      <w:r w:rsidR="00C82DF2" w:rsidRPr="00593BEB">
        <w:rPr>
          <w:rFonts w:ascii="Arial" w:eastAsia="Times New Roman" w:hAnsi="Arial" w:cs="Arial"/>
          <w:sz w:val="24"/>
          <w:szCs w:val="24"/>
          <w:lang w:eastAsia="en-GB"/>
        </w:rPr>
        <w:t xml:space="preserve"> and ‘future- proofing’</w:t>
      </w:r>
      <w:r w:rsidR="005C7FBE" w:rsidRPr="00593BEB">
        <w:rPr>
          <w:rFonts w:ascii="Arial" w:eastAsia="Times New Roman" w:hAnsi="Arial" w:cs="Arial"/>
          <w:sz w:val="24"/>
          <w:szCs w:val="24"/>
          <w:lang w:eastAsia="en-GB"/>
        </w:rPr>
        <w:t xml:space="preserve">. The recurring printer </w:t>
      </w:r>
      <w:r w:rsidR="005C7FBE" w:rsidRPr="00593BEB">
        <w:rPr>
          <w:rFonts w:ascii="Arial" w:eastAsia="Times New Roman" w:hAnsi="Arial" w:cs="Arial"/>
          <w:sz w:val="24"/>
          <w:szCs w:val="24"/>
          <w:lang w:eastAsia="en-GB"/>
        </w:rPr>
        <w:lastRenderedPageBreak/>
        <w:t xml:space="preserve">issues caused by security updates </w:t>
      </w:r>
      <w:r w:rsidR="00AF04AE" w:rsidRPr="00593BEB">
        <w:rPr>
          <w:rFonts w:ascii="Arial" w:eastAsia="Times New Roman" w:hAnsi="Arial" w:cs="Arial"/>
          <w:sz w:val="24"/>
          <w:szCs w:val="24"/>
          <w:lang w:eastAsia="en-GB"/>
        </w:rPr>
        <w:t>show</w:t>
      </w:r>
      <w:r w:rsidR="005C7FBE" w:rsidRPr="00593BEB">
        <w:rPr>
          <w:rFonts w:ascii="Arial" w:eastAsia="Times New Roman" w:hAnsi="Arial" w:cs="Arial"/>
          <w:sz w:val="24"/>
          <w:szCs w:val="24"/>
          <w:lang w:eastAsia="en-GB"/>
        </w:rPr>
        <w:t xml:space="preserve"> how </w:t>
      </w:r>
      <w:r w:rsidR="007409EB">
        <w:rPr>
          <w:rFonts w:ascii="Arial" w:eastAsia="Times New Roman" w:hAnsi="Arial" w:cs="Arial"/>
          <w:sz w:val="24"/>
          <w:szCs w:val="24"/>
          <w:lang w:eastAsia="en-GB"/>
        </w:rPr>
        <w:t>poor</w:t>
      </w:r>
      <w:r w:rsidR="005C7FBE" w:rsidRPr="00593BEB">
        <w:rPr>
          <w:rFonts w:ascii="Arial" w:eastAsia="Times New Roman" w:hAnsi="Arial" w:cs="Arial"/>
          <w:sz w:val="24"/>
          <w:szCs w:val="24"/>
          <w:lang w:eastAsia="en-GB"/>
        </w:rPr>
        <w:t xml:space="preserve"> technological support can disrupt </w:t>
      </w:r>
      <w:r w:rsidR="00AF04AE" w:rsidRPr="00593BEB">
        <w:rPr>
          <w:rFonts w:ascii="Arial" w:eastAsia="Times New Roman" w:hAnsi="Arial" w:cs="Arial"/>
          <w:sz w:val="24"/>
          <w:szCs w:val="24"/>
          <w:lang w:eastAsia="en-GB"/>
        </w:rPr>
        <w:t>clinics</w:t>
      </w:r>
      <w:r w:rsidR="005C7FBE" w:rsidRPr="00593BEB">
        <w:rPr>
          <w:rFonts w:ascii="Arial" w:eastAsia="Times New Roman" w:hAnsi="Arial" w:cs="Arial"/>
          <w:sz w:val="24"/>
          <w:szCs w:val="24"/>
          <w:lang w:eastAsia="en-GB"/>
        </w:rPr>
        <w:t xml:space="preserve"> and compromise data entry</w:t>
      </w:r>
      <w:r w:rsidR="009F60BB" w:rsidRPr="00593BEB">
        <w:rPr>
          <w:rFonts w:ascii="Arial" w:eastAsia="Times New Roman" w:hAnsi="Arial" w:cs="Arial"/>
          <w:sz w:val="24"/>
          <w:szCs w:val="24"/>
          <w:lang w:eastAsia="en-GB"/>
        </w:rPr>
        <w:t xml:space="preserve">. This demonstrates that implementing systems without maintenance strategies can be a key factor in the failure of the system (Murray et al </w:t>
      </w:r>
      <w:r w:rsidR="005C7FBE" w:rsidRPr="00593BEB">
        <w:rPr>
          <w:rFonts w:ascii="Arial" w:eastAsia="Times New Roman" w:hAnsi="Arial" w:cs="Arial"/>
          <w:sz w:val="24"/>
          <w:szCs w:val="24"/>
          <w:lang w:eastAsia="en-GB"/>
        </w:rPr>
        <w:t>2016)</w:t>
      </w:r>
      <w:r w:rsidR="009F60BB" w:rsidRPr="00593BEB">
        <w:rPr>
          <w:rFonts w:ascii="Arial" w:eastAsia="Times New Roman" w:hAnsi="Arial" w:cs="Arial"/>
          <w:sz w:val="24"/>
          <w:szCs w:val="24"/>
          <w:lang w:eastAsia="en-GB"/>
        </w:rPr>
        <w:t>.</w:t>
      </w:r>
    </w:p>
    <w:p w14:paraId="1D08DF37" w14:textId="239AFC7C" w:rsidR="005C7FBE" w:rsidRPr="00593BEB"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The challenges related to </w:t>
      </w:r>
      <w:r w:rsidR="00ED4DD6" w:rsidRPr="00593BEB">
        <w:rPr>
          <w:rFonts w:ascii="Arial" w:eastAsia="Times New Roman" w:hAnsi="Arial" w:cs="Arial"/>
          <w:sz w:val="24"/>
          <w:szCs w:val="24"/>
          <w:lang w:eastAsia="en-GB"/>
        </w:rPr>
        <w:t xml:space="preserve">the implementation of the EPR </w:t>
      </w:r>
      <w:r w:rsidR="006A69E1" w:rsidRPr="00593BEB">
        <w:rPr>
          <w:rFonts w:ascii="Arial" w:eastAsia="Times New Roman" w:hAnsi="Arial" w:cs="Arial"/>
          <w:sz w:val="24"/>
          <w:szCs w:val="24"/>
          <w:lang w:eastAsia="en-GB"/>
        </w:rPr>
        <w:t>section of the system are</w:t>
      </w:r>
      <w:r w:rsidRPr="00593BEB">
        <w:rPr>
          <w:rFonts w:ascii="Arial" w:eastAsia="Times New Roman" w:hAnsi="Arial" w:cs="Arial"/>
          <w:sz w:val="24"/>
          <w:szCs w:val="24"/>
          <w:lang w:eastAsia="en-GB"/>
        </w:rPr>
        <w:t xml:space="preserve"> equally significant. Insufficient training during the introduction of the electronic records aspect of MillCare in 2022 was a recurring theme among </w:t>
      </w:r>
      <w:r w:rsidR="009F60BB" w:rsidRPr="00593BEB">
        <w:rPr>
          <w:rFonts w:ascii="Arial" w:eastAsia="Times New Roman" w:hAnsi="Arial" w:cs="Arial"/>
          <w:sz w:val="24"/>
          <w:szCs w:val="24"/>
          <w:lang w:eastAsia="en-GB"/>
        </w:rPr>
        <w:t>staff members</w:t>
      </w:r>
      <w:r w:rsidRPr="00593BEB">
        <w:rPr>
          <w:rFonts w:ascii="Arial" w:eastAsia="Times New Roman" w:hAnsi="Arial" w:cs="Arial"/>
          <w:sz w:val="24"/>
          <w:szCs w:val="24"/>
          <w:lang w:eastAsia="en-GB"/>
        </w:rPr>
        <w:t>. M</w:t>
      </w:r>
      <w:r w:rsidR="00B775E2" w:rsidRPr="00593BEB">
        <w:rPr>
          <w:rFonts w:ascii="Arial" w:eastAsia="Times New Roman" w:hAnsi="Arial" w:cs="Arial"/>
          <w:sz w:val="24"/>
          <w:szCs w:val="24"/>
          <w:lang w:eastAsia="en-GB"/>
        </w:rPr>
        <w:t>ost of the participants</w:t>
      </w:r>
      <w:r w:rsidRPr="00593BEB">
        <w:rPr>
          <w:rFonts w:ascii="Arial" w:eastAsia="Times New Roman" w:hAnsi="Arial" w:cs="Arial"/>
          <w:sz w:val="24"/>
          <w:szCs w:val="24"/>
          <w:lang w:eastAsia="en-GB"/>
        </w:rPr>
        <w:t xml:space="preserve"> reported relying on learning through experience, which delayed appointments and increased stress levels</w:t>
      </w:r>
      <w:r w:rsidR="007C288E" w:rsidRPr="00593BEB">
        <w:rPr>
          <w:rFonts w:ascii="Arial" w:eastAsia="Times New Roman" w:hAnsi="Arial" w:cs="Arial"/>
          <w:sz w:val="24"/>
          <w:szCs w:val="24"/>
          <w:lang w:eastAsia="en-GB"/>
        </w:rPr>
        <w:t xml:space="preserve">. </w:t>
      </w:r>
      <w:r w:rsidR="00702F3C" w:rsidRPr="00593BEB">
        <w:rPr>
          <w:rFonts w:ascii="Arial" w:eastAsia="Times New Roman" w:hAnsi="Arial" w:cs="Arial"/>
          <w:sz w:val="24"/>
          <w:szCs w:val="24"/>
          <w:lang w:eastAsia="en-GB"/>
        </w:rPr>
        <w:t xml:space="preserve"> </w:t>
      </w:r>
      <w:r w:rsidR="00AA0EF4" w:rsidRPr="00593BEB">
        <w:rPr>
          <w:rFonts w:ascii="Arial" w:eastAsia="Times New Roman" w:hAnsi="Arial" w:cs="Arial"/>
          <w:sz w:val="24"/>
          <w:szCs w:val="24"/>
          <w:lang w:eastAsia="en-GB"/>
        </w:rPr>
        <w:t xml:space="preserve">This is in keeping with the findings from </w:t>
      </w:r>
      <w:r w:rsidR="00702F3C" w:rsidRPr="00593BEB">
        <w:rPr>
          <w:rFonts w:ascii="Arial" w:eastAsia="Times New Roman" w:hAnsi="Arial" w:cs="Arial"/>
          <w:sz w:val="24"/>
          <w:szCs w:val="24"/>
          <w:lang w:eastAsia="en-GB"/>
        </w:rPr>
        <w:t>Kujala et al (2020),</w:t>
      </w:r>
      <w:r w:rsidR="00AA0EF4" w:rsidRPr="00593BEB">
        <w:rPr>
          <w:rFonts w:ascii="Arial" w:eastAsia="Times New Roman" w:hAnsi="Arial" w:cs="Arial"/>
          <w:sz w:val="24"/>
          <w:szCs w:val="24"/>
          <w:lang w:eastAsia="en-GB"/>
        </w:rPr>
        <w:t xml:space="preserve"> who</w:t>
      </w:r>
      <w:r w:rsidR="00702F3C" w:rsidRPr="00593BEB">
        <w:rPr>
          <w:rFonts w:ascii="Arial" w:eastAsia="Times New Roman" w:hAnsi="Arial" w:cs="Arial"/>
          <w:sz w:val="24"/>
          <w:szCs w:val="24"/>
          <w:lang w:eastAsia="en-GB"/>
        </w:rPr>
        <w:t xml:space="preserve"> </w:t>
      </w:r>
      <w:r w:rsidRPr="00593BEB">
        <w:rPr>
          <w:rFonts w:ascii="Arial" w:eastAsia="Times New Roman" w:hAnsi="Arial" w:cs="Arial"/>
          <w:sz w:val="24"/>
          <w:szCs w:val="24"/>
          <w:lang w:eastAsia="en-GB"/>
        </w:rPr>
        <w:t xml:space="preserve">highlighted that </w:t>
      </w:r>
      <w:r w:rsidR="00D1379D" w:rsidRPr="00593BEB">
        <w:rPr>
          <w:rFonts w:ascii="Arial" w:eastAsia="Times New Roman" w:hAnsi="Arial" w:cs="Arial"/>
          <w:sz w:val="24"/>
          <w:szCs w:val="24"/>
          <w:lang w:eastAsia="en-GB"/>
        </w:rPr>
        <w:t>poor</w:t>
      </w:r>
      <w:r w:rsidRPr="00593BEB">
        <w:rPr>
          <w:rFonts w:ascii="Arial" w:eastAsia="Times New Roman" w:hAnsi="Arial" w:cs="Arial"/>
          <w:sz w:val="24"/>
          <w:szCs w:val="24"/>
          <w:lang w:eastAsia="en-GB"/>
        </w:rPr>
        <w:t xml:space="preserve"> training during the implementation phase can undermine the success of digital health interventions. </w:t>
      </w:r>
      <w:r w:rsidR="00156D82" w:rsidRPr="00593BEB">
        <w:rPr>
          <w:rFonts w:ascii="Arial" w:eastAsia="Times New Roman" w:hAnsi="Arial" w:cs="Arial"/>
          <w:sz w:val="24"/>
          <w:szCs w:val="24"/>
          <w:lang w:eastAsia="en-GB"/>
        </w:rPr>
        <w:t>In addition</w:t>
      </w:r>
      <w:r w:rsidRPr="00593BEB">
        <w:rPr>
          <w:rFonts w:ascii="Arial" w:eastAsia="Times New Roman" w:hAnsi="Arial" w:cs="Arial"/>
          <w:sz w:val="24"/>
          <w:szCs w:val="24"/>
          <w:lang w:eastAsia="en-GB"/>
        </w:rPr>
        <w:t xml:space="preserve">, the </w:t>
      </w:r>
      <w:r w:rsidR="00156D82" w:rsidRPr="00593BEB">
        <w:rPr>
          <w:rFonts w:ascii="Arial" w:eastAsia="Times New Roman" w:hAnsi="Arial" w:cs="Arial"/>
          <w:sz w:val="24"/>
          <w:szCs w:val="24"/>
          <w:lang w:eastAsia="en-GB"/>
        </w:rPr>
        <w:t>lack</w:t>
      </w:r>
      <w:r w:rsidRPr="00593BEB">
        <w:rPr>
          <w:rFonts w:ascii="Arial" w:eastAsia="Times New Roman" w:hAnsi="Arial" w:cs="Arial"/>
          <w:sz w:val="24"/>
          <w:szCs w:val="24"/>
          <w:lang w:eastAsia="en-GB"/>
        </w:rPr>
        <w:t xml:space="preserve"> of a structured 'train the trainer' model, as suggested by one manager, represents a missed opportunity to</w:t>
      </w:r>
      <w:r w:rsidR="00231E8D" w:rsidRPr="00593BEB">
        <w:rPr>
          <w:rFonts w:ascii="Arial" w:eastAsia="Times New Roman" w:hAnsi="Arial" w:cs="Arial"/>
          <w:sz w:val="24"/>
          <w:szCs w:val="24"/>
          <w:lang w:eastAsia="en-GB"/>
        </w:rPr>
        <w:t xml:space="preserve"> increase training</w:t>
      </w:r>
      <w:r w:rsidRPr="00593BEB">
        <w:rPr>
          <w:rFonts w:ascii="Arial" w:eastAsia="Times New Roman" w:hAnsi="Arial" w:cs="Arial"/>
          <w:sz w:val="24"/>
          <w:szCs w:val="24"/>
          <w:lang w:eastAsia="en-GB"/>
        </w:rPr>
        <w:t xml:space="preserve"> capacity and support less digitally literate staff.</w:t>
      </w:r>
      <w:r w:rsidR="00627A57" w:rsidRPr="00593BEB">
        <w:rPr>
          <w:rFonts w:ascii="Arial" w:hAnsi="Arial" w:cs="Arial"/>
          <w:sz w:val="24"/>
          <w:szCs w:val="24"/>
        </w:rPr>
        <w:t xml:space="preserve"> Although those involved in the development of the electronic records were able to provide initial support to staff, the department's size and the number of staff made it impractical to offer assistance to everyone at all times. Implementing a </w:t>
      </w:r>
      <w:r w:rsidR="00904FC5" w:rsidRPr="00593BEB">
        <w:rPr>
          <w:rFonts w:ascii="Arial" w:hAnsi="Arial" w:cs="Arial"/>
          <w:sz w:val="24"/>
          <w:szCs w:val="24"/>
        </w:rPr>
        <w:t>‘</w:t>
      </w:r>
      <w:r w:rsidR="00627A57" w:rsidRPr="00593BEB">
        <w:rPr>
          <w:rFonts w:ascii="Arial" w:hAnsi="Arial" w:cs="Arial"/>
          <w:sz w:val="24"/>
          <w:szCs w:val="24"/>
        </w:rPr>
        <w:t>train</w:t>
      </w:r>
      <w:r w:rsidR="00904FC5" w:rsidRPr="00593BEB">
        <w:rPr>
          <w:rFonts w:ascii="Arial" w:hAnsi="Arial" w:cs="Arial"/>
          <w:sz w:val="24"/>
          <w:szCs w:val="24"/>
        </w:rPr>
        <w:t xml:space="preserve"> </w:t>
      </w:r>
      <w:r w:rsidR="00627A57" w:rsidRPr="00593BEB">
        <w:rPr>
          <w:rFonts w:ascii="Arial" w:hAnsi="Arial" w:cs="Arial"/>
          <w:sz w:val="24"/>
          <w:szCs w:val="24"/>
        </w:rPr>
        <w:t>the</w:t>
      </w:r>
      <w:r w:rsidR="00904FC5" w:rsidRPr="00593BEB">
        <w:rPr>
          <w:rFonts w:ascii="Arial" w:hAnsi="Arial" w:cs="Arial"/>
          <w:sz w:val="24"/>
          <w:szCs w:val="24"/>
        </w:rPr>
        <w:t xml:space="preserve"> </w:t>
      </w:r>
      <w:r w:rsidR="00627A57" w:rsidRPr="00593BEB">
        <w:rPr>
          <w:rFonts w:ascii="Arial" w:hAnsi="Arial" w:cs="Arial"/>
          <w:sz w:val="24"/>
          <w:szCs w:val="24"/>
        </w:rPr>
        <w:t>trainer</w:t>
      </w:r>
      <w:r w:rsidR="00904FC5" w:rsidRPr="00593BEB">
        <w:rPr>
          <w:rFonts w:ascii="Arial" w:hAnsi="Arial" w:cs="Arial"/>
          <w:sz w:val="24"/>
          <w:szCs w:val="24"/>
        </w:rPr>
        <w:t>’</w:t>
      </w:r>
      <w:r w:rsidR="00627A57" w:rsidRPr="00593BEB">
        <w:rPr>
          <w:rFonts w:ascii="Arial" w:hAnsi="Arial" w:cs="Arial"/>
          <w:sz w:val="24"/>
          <w:szCs w:val="24"/>
        </w:rPr>
        <w:t xml:space="preserve"> model could have been a more time-efficient and sustainable approach (Nexo et al 2024), ensuring that a trained individual was always available to provide support.</w:t>
      </w:r>
    </w:p>
    <w:p w14:paraId="78680889" w14:textId="178BEE9C" w:rsidR="005C7FBE" w:rsidRPr="00593BEB"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The findings also underscore the importance of addressing individual differences in digital literacy and motivation. </w:t>
      </w:r>
      <w:r w:rsidR="007409EB">
        <w:rPr>
          <w:rFonts w:ascii="Arial" w:eastAsia="Times New Roman" w:hAnsi="Arial" w:cs="Arial"/>
          <w:sz w:val="24"/>
          <w:szCs w:val="24"/>
          <w:lang w:eastAsia="en-GB"/>
        </w:rPr>
        <w:t>Staff</w:t>
      </w:r>
      <w:r w:rsidRPr="00593BEB">
        <w:rPr>
          <w:rFonts w:ascii="Arial" w:eastAsia="Times New Roman" w:hAnsi="Arial" w:cs="Arial"/>
          <w:sz w:val="24"/>
          <w:szCs w:val="24"/>
          <w:lang w:eastAsia="en-GB"/>
        </w:rPr>
        <w:t xml:space="preserve"> with limited IT experience reported significant challenges, including feeling</w:t>
      </w:r>
      <w:r w:rsidR="004E4725" w:rsidRPr="00593BEB">
        <w:rPr>
          <w:rFonts w:ascii="Arial" w:eastAsia="Times New Roman" w:hAnsi="Arial" w:cs="Arial"/>
          <w:sz w:val="24"/>
          <w:szCs w:val="24"/>
          <w:lang w:eastAsia="en-GB"/>
        </w:rPr>
        <w:t xml:space="preserve"> ‘inadequate’</w:t>
      </w:r>
      <w:r w:rsidRPr="00593BEB">
        <w:rPr>
          <w:rFonts w:ascii="Arial" w:eastAsia="Times New Roman" w:hAnsi="Arial" w:cs="Arial"/>
          <w:sz w:val="24"/>
          <w:szCs w:val="24"/>
          <w:lang w:eastAsia="en-GB"/>
        </w:rPr>
        <w:t xml:space="preserve"> and fear of making mistakes. This reflects the findings of Noblin et al (2017), who </w:t>
      </w:r>
      <w:r w:rsidR="007409EB">
        <w:rPr>
          <w:rFonts w:ascii="Arial" w:eastAsia="Times New Roman" w:hAnsi="Arial" w:cs="Arial"/>
          <w:sz w:val="24"/>
          <w:szCs w:val="24"/>
          <w:lang w:eastAsia="en-GB"/>
        </w:rPr>
        <w:t>found</w:t>
      </w:r>
      <w:r w:rsidRPr="00593BEB">
        <w:rPr>
          <w:rFonts w:ascii="Arial" w:eastAsia="Times New Roman" w:hAnsi="Arial" w:cs="Arial"/>
          <w:sz w:val="24"/>
          <w:szCs w:val="24"/>
          <w:lang w:eastAsia="en-GB"/>
        </w:rPr>
        <w:t xml:space="preserve"> that the effecti</w:t>
      </w:r>
      <w:r w:rsidR="00D1379D">
        <w:rPr>
          <w:rFonts w:ascii="Arial" w:eastAsia="Times New Roman" w:hAnsi="Arial" w:cs="Arial"/>
          <w:sz w:val="24"/>
          <w:szCs w:val="24"/>
          <w:lang w:eastAsia="en-GB"/>
        </w:rPr>
        <w:t xml:space="preserve">veness of health IT systems is </w:t>
      </w:r>
      <w:r w:rsidRPr="00593BEB">
        <w:rPr>
          <w:rFonts w:ascii="Arial" w:eastAsia="Times New Roman" w:hAnsi="Arial" w:cs="Arial"/>
          <w:sz w:val="24"/>
          <w:szCs w:val="24"/>
          <w:lang w:eastAsia="en-GB"/>
        </w:rPr>
        <w:t xml:space="preserve">influenced by users' confidence and familiarity with technology. </w:t>
      </w:r>
      <w:r w:rsidR="007409EB">
        <w:rPr>
          <w:rFonts w:ascii="Arial" w:eastAsia="Times New Roman" w:hAnsi="Arial" w:cs="Arial"/>
          <w:sz w:val="24"/>
          <w:szCs w:val="24"/>
          <w:lang w:eastAsia="en-GB"/>
        </w:rPr>
        <w:t>T</w:t>
      </w:r>
      <w:r w:rsidRPr="00593BEB">
        <w:rPr>
          <w:rFonts w:ascii="Arial" w:eastAsia="Times New Roman" w:hAnsi="Arial" w:cs="Arial"/>
          <w:sz w:val="24"/>
          <w:szCs w:val="24"/>
          <w:lang w:eastAsia="en-GB"/>
        </w:rPr>
        <w:t xml:space="preserve">raining and ongoing support could have </w:t>
      </w:r>
      <w:r w:rsidR="009A7392" w:rsidRPr="00593BEB">
        <w:rPr>
          <w:rFonts w:ascii="Arial" w:eastAsia="Times New Roman" w:hAnsi="Arial" w:cs="Arial"/>
          <w:sz w:val="24"/>
          <w:szCs w:val="24"/>
          <w:lang w:eastAsia="en-GB"/>
        </w:rPr>
        <w:t>solved</w:t>
      </w:r>
      <w:r w:rsidRPr="00593BEB">
        <w:rPr>
          <w:rFonts w:ascii="Arial" w:eastAsia="Times New Roman" w:hAnsi="Arial" w:cs="Arial"/>
          <w:sz w:val="24"/>
          <w:szCs w:val="24"/>
          <w:lang w:eastAsia="en-GB"/>
        </w:rPr>
        <w:t xml:space="preserve"> these issues</w:t>
      </w:r>
      <w:r w:rsidR="007409EB">
        <w:rPr>
          <w:rFonts w:ascii="Arial" w:eastAsia="Times New Roman" w:hAnsi="Arial" w:cs="Arial"/>
          <w:sz w:val="24"/>
          <w:szCs w:val="24"/>
          <w:lang w:eastAsia="en-GB"/>
        </w:rPr>
        <w:t>.</w:t>
      </w:r>
    </w:p>
    <w:p w14:paraId="53891FF8" w14:textId="7A9B7D41" w:rsidR="005C7FBE" w:rsidRPr="00593BEB"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The successes of MillCare, such as its ability to enhance confidentiality and streamline governance, can be attributed to product design </w:t>
      </w:r>
      <w:r w:rsidR="00D1379D">
        <w:rPr>
          <w:rFonts w:ascii="Arial" w:eastAsia="Times New Roman" w:hAnsi="Arial" w:cs="Arial"/>
          <w:sz w:val="24"/>
          <w:szCs w:val="24"/>
          <w:lang w:eastAsia="en-GB"/>
        </w:rPr>
        <w:t>customised</w:t>
      </w:r>
      <w:r w:rsidRPr="00593BEB">
        <w:rPr>
          <w:rFonts w:ascii="Arial" w:eastAsia="Times New Roman" w:hAnsi="Arial" w:cs="Arial"/>
          <w:sz w:val="24"/>
          <w:szCs w:val="24"/>
          <w:lang w:eastAsia="en-GB"/>
        </w:rPr>
        <w:t xml:space="preserve"> to the needs of sexual health services. However, many of the challenges stem from either design flaws or poor </w:t>
      </w:r>
      <w:r w:rsidR="001F0E76" w:rsidRPr="00593BEB">
        <w:rPr>
          <w:rFonts w:ascii="Arial" w:eastAsia="Times New Roman" w:hAnsi="Arial" w:cs="Arial"/>
          <w:sz w:val="24"/>
          <w:szCs w:val="24"/>
          <w:lang w:eastAsia="en-GB"/>
        </w:rPr>
        <w:t>management</w:t>
      </w:r>
      <w:r w:rsidRPr="00593BEB">
        <w:rPr>
          <w:rFonts w:ascii="Arial" w:eastAsia="Times New Roman" w:hAnsi="Arial" w:cs="Arial"/>
          <w:sz w:val="24"/>
          <w:szCs w:val="24"/>
          <w:lang w:eastAsia="en-GB"/>
        </w:rPr>
        <w:t xml:space="preserve"> duri</w:t>
      </w:r>
      <w:r w:rsidR="00124F4E" w:rsidRPr="00593BEB">
        <w:rPr>
          <w:rFonts w:ascii="Arial" w:eastAsia="Times New Roman" w:hAnsi="Arial" w:cs="Arial"/>
          <w:sz w:val="24"/>
          <w:szCs w:val="24"/>
          <w:lang w:eastAsia="en-GB"/>
        </w:rPr>
        <w:t xml:space="preserve">ng implementation. For </w:t>
      </w:r>
      <w:r w:rsidR="00D1379D">
        <w:rPr>
          <w:rFonts w:ascii="Arial" w:eastAsia="Times New Roman" w:hAnsi="Arial" w:cs="Arial"/>
          <w:sz w:val="24"/>
          <w:szCs w:val="24"/>
          <w:lang w:eastAsia="en-GB"/>
        </w:rPr>
        <w:t>example</w:t>
      </w:r>
      <w:r w:rsidR="00124F4E" w:rsidRPr="00593BEB">
        <w:rPr>
          <w:rFonts w:ascii="Arial" w:eastAsia="Times New Roman" w:hAnsi="Arial" w:cs="Arial"/>
          <w:sz w:val="24"/>
          <w:szCs w:val="24"/>
          <w:lang w:eastAsia="en-GB"/>
        </w:rPr>
        <w:t>, design issues such as t</w:t>
      </w:r>
      <w:r w:rsidRPr="00593BEB">
        <w:rPr>
          <w:rFonts w:ascii="Arial" w:eastAsia="Times New Roman" w:hAnsi="Arial" w:cs="Arial"/>
          <w:sz w:val="24"/>
          <w:szCs w:val="24"/>
          <w:lang w:eastAsia="en-GB"/>
        </w:rPr>
        <w:t>he crowded interface and font size problems highlight a lack of consideration for accessibility and user experience during the design phase. These issues could have been addressed through testing with diverse user</w:t>
      </w:r>
      <w:r w:rsidR="00D1379D">
        <w:rPr>
          <w:rFonts w:ascii="Arial" w:eastAsia="Times New Roman" w:hAnsi="Arial" w:cs="Arial"/>
          <w:sz w:val="24"/>
          <w:szCs w:val="24"/>
          <w:lang w:eastAsia="en-GB"/>
        </w:rPr>
        <w:t>s</w:t>
      </w:r>
      <w:r w:rsidRPr="00593BEB">
        <w:rPr>
          <w:rFonts w:ascii="Arial" w:eastAsia="Times New Roman" w:hAnsi="Arial" w:cs="Arial"/>
          <w:sz w:val="24"/>
          <w:szCs w:val="24"/>
          <w:lang w:eastAsia="en-GB"/>
        </w:rPr>
        <w:t>, as recommended by Schnall et</w:t>
      </w:r>
      <w:r w:rsidR="007C288E" w:rsidRPr="00593BEB">
        <w:rPr>
          <w:rFonts w:ascii="Arial" w:eastAsia="Times New Roman" w:hAnsi="Arial" w:cs="Arial"/>
          <w:sz w:val="24"/>
          <w:szCs w:val="24"/>
          <w:lang w:eastAsia="en-GB"/>
        </w:rPr>
        <w:t xml:space="preserve"> al</w:t>
      </w:r>
      <w:r w:rsidRPr="00593BEB">
        <w:rPr>
          <w:rFonts w:ascii="Arial" w:eastAsia="Times New Roman" w:hAnsi="Arial" w:cs="Arial"/>
          <w:sz w:val="24"/>
          <w:szCs w:val="24"/>
          <w:lang w:eastAsia="en-GB"/>
        </w:rPr>
        <w:t xml:space="preserve"> (2012).</w:t>
      </w:r>
    </w:p>
    <w:p w14:paraId="4E9C3FE4" w14:textId="7A548097" w:rsidR="005C7FBE" w:rsidRPr="00593BEB"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The insufficient training provided during implementation </w:t>
      </w:r>
      <w:r w:rsidR="007C723E">
        <w:rPr>
          <w:rFonts w:ascii="Arial" w:eastAsia="Times New Roman" w:hAnsi="Arial" w:cs="Arial"/>
          <w:sz w:val="24"/>
          <w:szCs w:val="24"/>
          <w:lang w:eastAsia="en-GB"/>
        </w:rPr>
        <w:t>demonstrates</w:t>
      </w:r>
      <w:r w:rsidRPr="00593BEB">
        <w:rPr>
          <w:rFonts w:ascii="Arial" w:eastAsia="Times New Roman" w:hAnsi="Arial" w:cs="Arial"/>
          <w:sz w:val="24"/>
          <w:szCs w:val="24"/>
          <w:lang w:eastAsia="en-GB"/>
        </w:rPr>
        <w:t xml:space="preserve"> a failure in </w:t>
      </w:r>
      <w:r w:rsidR="00D2125E">
        <w:rPr>
          <w:rFonts w:ascii="Arial" w:eastAsia="Times New Roman" w:hAnsi="Arial" w:cs="Arial"/>
          <w:sz w:val="24"/>
          <w:szCs w:val="24"/>
          <w:lang w:eastAsia="en-GB"/>
        </w:rPr>
        <w:t xml:space="preserve">the </w:t>
      </w:r>
      <w:r w:rsidRPr="00593BEB">
        <w:rPr>
          <w:rFonts w:ascii="Arial" w:eastAsia="Times New Roman" w:hAnsi="Arial" w:cs="Arial"/>
          <w:sz w:val="24"/>
          <w:szCs w:val="24"/>
          <w:lang w:eastAsia="en-GB"/>
        </w:rPr>
        <w:t xml:space="preserve"> </w:t>
      </w:r>
      <w:r w:rsidR="009F60BB" w:rsidRPr="00593BEB">
        <w:rPr>
          <w:rFonts w:ascii="Arial" w:eastAsia="Times New Roman" w:hAnsi="Arial" w:cs="Arial"/>
          <w:sz w:val="24"/>
          <w:szCs w:val="24"/>
          <w:lang w:eastAsia="en-GB"/>
        </w:rPr>
        <w:t xml:space="preserve">implementation </w:t>
      </w:r>
      <w:r w:rsidRPr="00593BEB">
        <w:rPr>
          <w:rFonts w:ascii="Arial" w:eastAsia="Times New Roman" w:hAnsi="Arial" w:cs="Arial"/>
          <w:sz w:val="24"/>
          <w:szCs w:val="24"/>
          <w:lang w:eastAsia="en-GB"/>
        </w:rPr>
        <w:t>rather than a flaw in the p</w:t>
      </w:r>
      <w:r w:rsidR="00D1379D">
        <w:rPr>
          <w:rFonts w:ascii="Arial" w:eastAsia="Times New Roman" w:hAnsi="Arial" w:cs="Arial"/>
          <w:sz w:val="24"/>
          <w:szCs w:val="24"/>
          <w:lang w:eastAsia="en-GB"/>
        </w:rPr>
        <w:t>roduct</w:t>
      </w:r>
      <w:r w:rsidRPr="00593BEB">
        <w:rPr>
          <w:rFonts w:ascii="Arial" w:eastAsia="Times New Roman" w:hAnsi="Arial" w:cs="Arial"/>
          <w:sz w:val="24"/>
          <w:szCs w:val="24"/>
          <w:lang w:eastAsia="en-GB"/>
        </w:rPr>
        <w:t>. Extending appointment times during the initial rollout and adopting a structured training model could have alleviated many of the reported challenges.</w:t>
      </w:r>
    </w:p>
    <w:p w14:paraId="5B4BDCA7" w14:textId="46C7F4C9" w:rsidR="005C7FBE" w:rsidRPr="00593BEB"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The recurring printer issues, however, sit </w:t>
      </w:r>
      <w:r w:rsidR="00D24734" w:rsidRPr="00593BEB">
        <w:rPr>
          <w:rFonts w:ascii="Arial" w:eastAsia="Times New Roman" w:hAnsi="Arial" w:cs="Arial"/>
          <w:sz w:val="24"/>
          <w:szCs w:val="24"/>
          <w:lang w:eastAsia="en-GB"/>
        </w:rPr>
        <w:t>between issues of</w:t>
      </w:r>
      <w:r w:rsidRPr="00593BEB">
        <w:rPr>
          <w:rFonts w:ascii="Arial" w:eastAsia="Times New Roman" w:hAnsi="Arial" w:cs="Arial"/>
          <w:sz w:val="24"/>
          <w:szCs w:val="24"/>
          <w:lang w:eastAsia="en-GB"/>
        </w:rPr>
        <w:t xml:space="preserve"> product design and programme </w:t>
      </w:r>
      <w:r w:rsidR="00D24734" w:rsidRPr="00593BEB">
        <w:rPr>
          <w:rFonts w:ascii="Arial" w:eastAsia="Times New Roman" w:hAnsi="Arial" w:cs="Arial"/>
          <w:sz w:val="24"/>
          <w:szCs w:val="24"/>
          <w:lang w:eastAsia="en-GB"/>
        </w:rPr>
        <w:t>implementation</w:t>
      </w:r>
      <w:r w:rsidRPr="00593BEB">
        <w:rPr>
          <w:rFonts w:ascii="Arial" w:eastAsia="Times New Roman" w:hAnsi="Arial" w:cs="Arial"/>
          <w:sz w:val="24"/>
          <w:szCs w:val="24"/>
          <w:lang w:eastAsia="en-GB"/>
        </w:rPr>
        <w:t xml:space="preserve">. While the root cause </w:t>
      </w:r>
      <w:r w:rsidR="00D1379D">
        <w:rPr>
          <w:rFonts w:ascii="Arial" w:eastAsia="Times New Roman" w:hAnsi="Arial" w:cs="Arial"/>
          <w:sz w:val="24"/>
          <w:szCs w:val="24"/>
          <w:lang w:eastAsia="en-GB"/>
        </w:rPr>
        <w:t>appears to be</w:t>
      </w:r>
      <w:r w:rsidRPr="00593BEB">
        <w:rPr>
          <w:rFonts w:ascii="Arial" w:eastAsia="Times New Roman" w:hAnsi="Arial" w:cs="Arial"/>
          <w:sz w:val="24"/>
          <w:szCs w:val="24"/>
          <w:lang w:eastAsia="en-GB"/>
        </w:rPr>
        <w:t xml:space="preserve"> the system's inability to accommodate security updates, the lack of contingency planning or communication </w:t>
      </w:r>
      <w:r w:rsidR="009F60BB" w:rsidRPr="00593BEB">
        <w:rPr>
          <w:rFonts w:ascii="Arial" w:eastAsia="Times New Roman" w:hAnsi="Arial" w:cs="Arial"/>
          <w:sz w:val="24"/>
          <w:szCs w:val="24"/>
          <w:lang w:eastAsia="en-GB"/>
        </w:rPr>
        <w:t>between</w:t>
      </w:r>
      <w:r w:rsidRPr="00593BEB">
        <w:rPr>
          <w:rFonts w:ascii="Arial" w:eastAsia="Times New Roman" w:hAnsi="Arial" w:cs="Arial"/>
          <w:sz w:val="24"/>
          <w:szCs w:val="24"/>
          <w:lang w:eastAsia="en-GB"/>
        </w:rPr>
        <w:t xml:space="preserve"> MillSystems Ltd. </w:t>
      </w:r>
      <w:r w:rsidR="00D1379D">
        <w:rPr>
          <w:rFonts w:ascii="Arial" w:eastAsia="Times New Roman" w:hAnsi="Arial" w:cs="Arial"/>
          <w:sz w:val="24"/>
          <w:szCs w:val="24"/>
          <w:lang w:eastAsia="en-GB"/>
        </w:rPr>
        <w:t>a</w:t>
      </w:r>
      <w:r w:rsidR="009F60BB" w:rsidRPr="00593BEB">
        <w:rPr>
          <w:rFonts w:ascii="Arial" w:eastAsia="Times New Roman" w:hAnsi="Arial" w:cs="Arial"/>
          <w:sz w:val="24"/>
          <w:szCs w:val="24"/>
          <w:lang w:eastAsia="en-GB"/>
        </w:rPr>
        <w:t xml:space="preserve">nd the Health Board’s digital department </w:t>
      </w:r>
      <w:r w:rsidRPr="00593BEB">
        <w:rPr>
          <w:rFonts w:ascii="Arial" w:eastAsia="Times New Roman" w:hAnsi="Arial" w:cs="Arial"/>
          <w:sz w:val="24"/>
          <w:szCs w:val="24"/>
          <w:lang w:eastAsia="en-GB"/>
        </w:rPr>
        <w:t>exacerbated the problem.</w:t>
      </w:r>
    </w:p>
    <w:p w14:paraId="6B9CE335" w14:textId="42008479" w:rsidR="005C7FBE" w:rsidRDefault="005C7FBE" w:rsidP="007C723E">
      <w:pPr>
        <w:spacing w:before="100" w:beforeAutospacing="1" w:after="100" w:afterAutospacing="1" w:line="240" w:lineRule="auto"/>
        <w:jc w:val="both"/>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The evaluation highlights the need for a holistic approach to designing and implementing the new 'All Wales' sexual health system. Future systems must prioritise user-centred design, with a focus on accessibility, usability, and </w:t>
      </w:r>
      <w:r w:rsidR="008A706E" w:rsidRPr="00593BEB">
        <w:rPr>
          <w:rFonts w:ascii="Arial" w:eastAsia="Times New Roman" w:hAnsi="Arial" w:cs="Arial"/>
          <w:sz w:val="24"/>
          <w:szCs w:val="24"/>
          <w:lang w:eastAsia="en-GB"/>
        </w:rPr>
        <w:t>an ability to adapt</w:t>
      </w:r>
      <w:r w:rsidR="00B26032" w:rsidRPr="00593BEB">
        <w:rPr>
          <w:rFonts w:ascii="Arial" w:eastAsia="Times New Roman" w:hAnsi="Arial" w:cs="Arial"/>
          <w:sz w:val="24"/>
          <w:szCs w:val="24"/>
          <w:lang w:eastAsia="en-GB"/>
        </w:rPr>
        <w:t xml:space="preserve"> as </w:t>
      </w:r>
      <w:r w:rsidR="00B26032" w:rsidRPr="00593BEB">
        <w:rPr>
          <w:rFonts w:ascii="Arial" w:eastAsia="Times New Roman" w:hAnsi="Arial" w:cs="Arial"/>
          <w:sz w:val="24"/>
          <w:szCs w:val="24"/>
          <w:lang w:eastAsia="en-GB"/>
        </w:rPr>
        <w:lastRenderedPageBreak/>
        <w:t>the needs of the service change. In addition, the implementation of the system</w:t>
      </w:r>
      <w:r w:rsidR="009F60BB" w:rsidRPr="00593BEB">
        <w:rPr>
          <w:rFonts w:ascii="Arial" w:eastAsia="Times New Roman" w:hAnsi="Arial" w:cs="Arial"/>
          <w:sz w:val="24"/>
          <w:szCs w:val="24"/>
          <w:lang w:eastAsia="en-GB"/>
        </w:rPr>
        <w:t xml:space="preserve"> should include </w:t>
      </w:r>
      <w:r w:rsidRPr="00593BEB">
        <w:rPr>
          <w:rFonts w:ascii="Arial" w:eastAsia="Times New Roman" w:hAnsi="Arial" w:cs="Arial"/>
          <w:sz w:val="24"/>
          <w:szCs w:val="24"/>
          <w:lang w:eastAsia="en-GB"/>
        </w:rPr>
        <w:t xml:space="preserve">training, ongoing support, and strategies to address individual differences in digital literacy. </w:t>
      </w:r>
      <w:r w:rsidR="00C56990" w:rsidRPr="00593BEB">
        <w:rPr>
          <w:rFonts w:ascii="Arial" w:eastAsia="Times New Roman" w:hAnsi="Arial" w:cs="Arial"/>
          <w:sz w:val="24"/>
          <w:szCs w:val="24"/>
          <w:lang w:eastAsia="en-GB"/>
        </w:rPr>
        <w:t>S</w:t>
      </w:r>
      <w:r w:rsidRPr="00593BEB">
        <w:rPr>
          <w:rFonts w:ascii="Arial" w:eastAsia="Times New Roman" w:hAnsi="Arial" w:cs="Arial"/>
          <w:sz w:val="24"/>
          <w:szCs w:val="24"/>
          <w:lang w:eastAsia="en-GB"/>
        </w:rPr>
        <w:t>uccessful technology adoption requires not only effective systems but also organisational changes and support mechanisms to ensure a good fit between users, tasks, and technology</w:t>
      </w:r>
      <w:r w:rsidR="00C56990" w:rsidRPr="00593BEB">
        <w:rPr>
          <w:rFonts w:ascii="Arial" w:eastAsia="Times New Roman" w:hAnsi="Arial" w:cs="Arial"/>
          <w:sz w:val="24"/>
          <w:szCs w:val="24"/>
          <w:lang w:eastAsia="en-GB"/>
        </w:rPr>
        <w:t xml:space="preserve"> (Tsiknakis and Kouroubali 2009)</w:t>
      </w:r>
      <w:r w:rsidRPr="00593BEB">
        <w:rPr>
          <w:rFonts w:ascii="Arial" w:eastAsia="Times New Roman" w:hAnsi="Arial" w:cs="Arial"/>
          <w:sz w:val="24"/>
          <w:szCs w:val="24"/>
          <w:lang w:eastAsia="en-GB"/>
        </w:rPr>
        <w:t>.</w:t>
      </w:r>
    </w:p>
    <w:p w14:paraId="219210C9" w14:textId="77777777" w:rsidR="007C723E" w:rsidRPr="007C723E" w:rsidRDefault="007C723E" w:rsidP="007C723E">
      <w:pPr>
        <w:spacing w:before="100" w:beforeAutospacing="1" w:after="100" w:afterAutospacing="1" w:line="240" w:lineRule="auto"/>
        <w:jc w:val="center"/>
        <w:rPr>
          <w:rFonts w:ascii="Arial" w:eastAsia="Times New Roman" w:hAnsi="Arial" w:cs="Arial"/>
          <w:i/>
          <w:sz w:val="20"/>
          <w:szCs w:val="20"/>
          <w:lang w:eastAsia="en-GB"/>
        </w:rPr>
      </w:pPr>
      <w:r w:rsidRPr="007C723E">
        <w:rPr>
          <w:rFonts w:ascii="Arial" w:hAnsi="Arial" w:cs="Arial"/>
          <w:i/>
          <w:sz w:val="20"/>
          <w:szCs w:val="20"/>
        </w:rPr>
        <w:t>I confirm this essay is my own original work and does not include text created by a generative artificial intelligence tool.</w:t>
      </w:r>
    </w:p>
    <w:p w14:paraId="28E6E7DB" w14:textId="77777777" w:rsidR="007C723E" w:rsidRPr="00593BEB" w:rsidRDefault="007C723E" w:rsidP="005C7FBE">
      <w:pPr>
        <w:spacing w:before="100" w:beforeAutospacing="1" w:after="100" w:afterAutospacing="1" w:line="240" w:lineRule="auto"/>
        <w:rPr>
          <w:rFonts w:ascii="Arial" w:eastAsia="Times New Roman" w:hAnsi="Arial" w:cs="Arial"/>
          <w:sz w:val="24"/>
          <w:szCs w:val="24"/>
          <w:lang w:eastAsia="en-GB"/>
        </w:rPr>
      </w:pPr>
    </w:p>
    <w:p w14:paraId="6A2EE61F" w14:textId="5500EF16" w:rsidR="00BA14E4" w:rsidRPr="00593BEB" w:rsidRDefault="00BA14E4" w:rsidP="008F21A2">
      <w:pPr>
        <w:spacing w:after="0" w:line="240" w:lineRule="auto"/>
        <w:rPr>
          <w:rFonts w:ascii="Arial" w:hAnsi="Arial" w:cs="Arial"/>
          <w:b/>
          <w:sz w:val="24"/>
          <w:szCs w:val="24"/>
        </w:rPr>
      </w:pPr>
    </w:p>
    <w:p w14:paraId="60AD6685" w14:textId="6BB06C12" w:rsidR="005C7A5E" w:rsidRPr="00593BEB" w:rsidRDefault="005C7A5E" w:rsidP="008F21A2">
      <w:pPr>
        <w:spacing w:after="0" w:line="240" w:lineRule="auto"/>
        <w:rPr>
          <w:rFonts w:ascii="Arial" w:hAnsi="Arial" w:cs="Arial"/>
          <w:b/>
          <w:sz w:val="24"/>
          <w:szCs w:val="24"/>
        </w:rPr>
      </w:pPr>
      <w:r w:rsidRPr="00593BEB">
        <w:rPr>
          <w:rFonts w:ascii="Arial" w:hAnsi="Arial" w:cs="Arial"/>
          <w:b/>
          <w:sz w:val="24"/>
          <w:szCs w:val="24"/>
        </w:rPr>
        <w:t>References</w:t>
      </w:r>
    </w:p>
    <w:p w14:paraId="3C72AB34" w14:textId="1A7EBE21" w:rsidR="008E4EC8" w:rsidRPr="00593BEB" w:rsidRDefault="008E4EC8" w:rsidP="008F21A2">
      <w:pPr>
        <w:spacing w:after="0" w:line="240" w:lineRule="auto"/>
        <w:rPr>
          <w:rFonts w:ascii="Arial" w:eastAsia="Times New Roman" w:hAnsi="Arial" w:cs="Arial"/>
          <w:sz w:val="24"/>
          <w:szCs w:val="24"/>
          <w:lang w:eastAsia="en-GB"/>
        </w:rPr>
      </w:pPr>
    </w:p>
    <w:p w14:paraId="05130E11" w14:textId="77777777" w:rsidR="00FE4D8E" w:rsidRPr="00593BEB" w:rsidRDefault="00FE4D8E" w:rsidP="008F21A2">
      <w:pPr>
        <w:spacing w:after="0" w:line="240" w:lineRule="auto"/>
        <w:rPr>
          <w:rFonts w:ascii="Arial" w:hAnsi="Arial" w:cs="Arial"/>
          <w:sz w:val="24"/>
          <w:szCs w:val="24"/>
        </w:rPr>
      </w:pPr>
    </w:p>
    <w:p w14:paraId="1426CE2E" w14:textId="509FA241" w:rsidR="00FE4D8E" w:rsidRPr="00593BEB" w:rsidRDefault="00FE4D8E" w:rsidP="00FE4D8E">
      <w:pPr>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Ammenwerth, E., Iller, C. and Mahler, C. (2006) “IT-adoption and the interaction of task, technology and individuals: a fit framework and a case study,” </w:t>
      </w:r>
      <w:r w:rsidRPr="00593BEB">
        <w:rPr>
          <w:rFonts w:ascii="Arial" w:eastAsia="Times New Roman" w:hAnsi="Arial" w:cs="Arial"/>
          <w:i/>
          <w:iCs/>
          <w:sz w:val="24"/>
          <w:szCs w:val="24"/>
          <w:lang w:eastAsia="en-GB"/>
        </w:rPr>
        <w:t>BMC Medical Informatics and Decision Making</w:t>
      </w:r>
      <w:r w:rsidRPr="00593BEB">
        <w:rPr>
          <w:rFonts w:ascii="Arial" w:eastAsia="Times New Roman" w:hAnsi="Arial" w:cs="Arial"/>
          <w:sz w:val="24"/>
          <w:szCs w:val="24"/>
          <w:lang w:eastAsia="en-GB"/>
        </w:rPr>
        <w:t xml:space="preserve">, 6(1), p. 3. Available at: </w:t>
      </w:r>
      <w:hyperlink r:id="rId9" w:history="1">
        <w:r w:rsidR="006B4F9D" w:rsidRPr="00593BEB">
          <w:rPr>
            <w:rStyle w:val="Hyperlink"/>
            <w:rFonts w:ascii="Arial" w:eastAsia="Times New Roman" w:hAnsi="Arial" w:cs="Arial"/>
            <w:sz w:val="24"/>
            <w:szCs w:val="24"/>
            <w:lang w:eastAsia="en-GB"/>
          </w:rPr>
          <w:t>https://doi.org/10.1186/1472-6947-6-3</w:t>
        </w:r>
      </w:hyperlink>
      <w:r w:rsidRPr="00593BEB">
        <w:rPr>
          <w:rFonts w:ascii="Arial" w:eastAsia="Times New Roman" w:hAnsi="Arial" w:cs="Arial"/>
          <w:sz w:val="24"/>
          <w:szCs w:val="24"/>
          <w:lang w:eastAsia="en-GB"/>
        </w:rPr>
        <w:t>.</w:t>
      </w:r>
    </w:p>
    <w:p w14:paraId="525D9DFE" w14:textId="021FDCC5" w:rsidR="006B4F9D" w:rsidRPr="00BC5B26" w:rsidRDefault="006B4F9D" w:rsidP="006B4F9D">
      <w:pPr>
        <w:spacing w:after="0" w:line="240" w:lineRule="auto"/>
        <w:rPr>
          <w:rStyle w:val="Hyperlink"/>
          <w:rFonts w:ascii="Arial" w:hAnsi="Arial" w:cs="Arial"/>
          <w:color w:val="auto"/>
          <w:sz w:val="24"/>
          <w:szCs w:val="24"/>
          <w:u w:val="none"/>
        </w:rPr>
      </w:pPr>
      <w:r w:rsidRPr="00BC5B26">
        <w:rPr>
          <w:rFonts w:ascii="Arial" w:hAnsi="Arial" w:cs="Arial"/>
          <w:sz w:val="24"/>
          <w:szCs w:val="24"/>
        </w:rPr>
        <w:t>BHIVA (2015)</w:t>
      </w:r>
      <w:r w:rsidR="00BC5B26" w:rsidRPr="00BC5B26">
        <w:rPr>
          <w:rFonts w:ascii="Arial" w:hAnsi="Arial" w:cs="Arial"/>
          <w:sz w:val="24"/>
          <w:szCs w:val="24"/>
        </w:rPr>
        <w:t xml:space="preserve"> “Patient confidentiality in sexual health services” Available at:</w:t>
      </w:r>
      <w:r w:rsidRPr="00BC5B26">
        <w:rPr>
          <w:rFonts w:ascii="Arial" w:hAnsi="Arial" w:cs="Arial"/>
          <w:sz w:val="24"/>
          <w:szCs w:val="24"/>
        </w:rPr>
        <w:t xml:space="preserve"> </w:t>
      </w:r>
      <w:hyperlink r:id="rId10" w:history="1">
        <w:r w:rsidRPr="00BC5B26">
          <w:rPr>
            <w:rStyle w:val="Hyperlink"/>
            <w:rFonts w:ascii="Arial" w:hAnsi="Arial" w:cs="Arial"/>
            <w:sz w:val="24"/>
            <w:szCs w:val="24"/>
          </w:rPr>
          <w:t>Update-for-disemmination-STI-confidentiality-Final-100915.pdf</w:t>
        </w:r>
      </w:hyperlink>
      <w:r w:rsidR="00BC5B26" w:rsidRPr="00BC5B26">
        <w:rPr>
          <w:rStyle w:val="Hyperlink"/>
          <w:rFonts w:ascii="Arial" w:hAnsi="Arial" w:cs="Arial"/>
          <w:sz w:val="24"/>
          <w:szCs w:val="24"/>
        </w:rPr>
        <w:t xml:space="preserve"> </w:t>
      </w:r>
      <w:r w:rsidR="00BC5B26" w:rsidRPr="00BC5B26">
        <w:rPr>
          <w:rStyle w:val="Hyperlink"/>
          <w:rFonts w:ascii="Arial" w:hAnsi="Arial" w:cs="Arial"/>
          <w:color w:val="auto"/>
          <w:sz w:val="24"/>
          <w:szCs w:val="24"/>
          <w:u w:val="none"/>
        </w:rPr>
        <w:t>accessed 31.01.25</w:t>
      </w:r>
    </w:p>
    <w:p w14:paraId="343F968F" w14:textId="563A9A8A" w:rsidR="00A63B90" w:rsidRDefault="00A63B90" w:rsidP="006B4F9D">
      <w:pPr>
        <w:spacing w:after="0" w:line="240" w:lineRule="auto"/>
        <w:rPr>
          <w:rStyle w:val="Hyperlink"/>
          <w:rFonts w:ascii="Arial" w:hAnsi="Arial" w:cs="Arial"/>
          <w:sz w:val="24"/>
          <w:szCs w:val="24"/>
        </w:rPr>
      </w:pPr>
    </w:p>
    <w:p w14:paraId="6EF8E890" w14:textId="3099D681" w:rsidR="000E1DC8" w:rsidRDefault="000E1DC8" w:rsidP="000E1DC8">
      <w:pPr>
        <w:rPr>
          <w:rFonts w:ascii="Arial" w:eastAsia="Times New Roman" w:hAnsi="Arial" w:cs="Arial"/>
          <w:sz w:val="24"/>
          <w:szCs w:val="24"/>
          <w:lang w:eastAsia="en-GB"/>
        </w:rPr>
      </w:pPr>
      <w:r w:rsidRPr="000E1DC8">
        <w:rPr>
          <w:rFonts w:ascii="Arial" w:eastAsia="Times New Roman" w:hAnsi="Arial" w:cs="Arial"/>
          <w:sz w:val="24"/>
          <w:szCs w:val="24"/>
          <w:lang w:eastAsia="en-GB"/>
        </w:rPr>
        <w:t xml:space="preserve">Damschroder, L.J. </w:t>
      </w:r>
      <w:r w:rsidRPr="000E1DC8">
        <w:rPr>
          <w:rFonts w:ascii="Arial" w:eastAsia="Times New Roman" w:hAnsi="Arial" w:cs="Arial"/>
          <w:i/>
          <w:iCs/>
          <w:sz w:val="24"/>
          <w:szCs w:val="24"/>
          <w:lang w:eastAsia="en-GB"/>
        </w:rPr>
        <w:t>et al.</w:t>
      </w:r>
      <w:r w:rsidRPr="000E1DC8">
        <w:rPr>
          <w:rFonts w:ascii="Arial" w:eastAsia="Times New Roman" w:hAnsi="Arial" w:cs="Arial"/>
          <w:sz w:val="24"/>
          <w:szCs w:val="24"/>
          <w:lang w:eastAsia="en-GB"/>
        </w:rPr>
        <w:t xml:space="preserve"> (2009) “Fostering implementation of health services research findings into practice: a consolidated framework for advancing implementation science,” </w:t>
      </w:r>
      <w:r w:rsidRPr="000E1DC8">
        <w:rPr>
          <w:rFonts w:ascii="Arial" w:eastAsia="Times New Roman" w:hAnsi="Arial" w:cs="Arial"/>
          <w:i/>
          <w:iCs/>
          <w:sz w:val="24"/>
          <w:szCs w:val="24"/>
          <w:lang w:eastAsia="en-GB"/>
        </w:rPr>
        <w:t>Implementation Science</w:t>
      </w:r>
      <w:r w:rsidRPr="000E1DC8">
        <w:rPr>
          <w:rFonts w:ascii="Arial" w:eastAsia="Times New Roman" w:hAnsi="Arial" w:cs="Arial"/>
          <w:sz w:val="24"/>
          <w:szCs w:val="24"/>
          <w:lang w:eastAsia="en-GB"/>
        </w:rPr>
        <w:t xml:space="preserve">, 4(1), p. 50. Available at: </w:t>
      </w:r>
      <w:hyperlink r:id="rId11" w:history="1">
        <w:r w:rsidRPr="00FF1419">
          <w:rPr>
            <w:rStyle w:val="Hyperlink"/>
            <w:rFonts w:ascii="Arial" w:eastAsia="Times New Roman" w:hAnsi="Arial" w:cs="Arial"/>
            <w:sz w:val="24"/>
            <w:szCs w:val="24"/>
            <w:lang w:eastAsia="en-GB"/>
          </w:rPr>
          <w:t>https://doi.org/10.1186/1748-5908-4-50</w:t>
        </w:r>
      </w:hyperlink>
      <w:r w:rsidRPr="000E1DC8">
        <w:rPr>
          <w:rFonts w:ascii="Arial" w:eastAsia="Times New Roman" w:hAnsi="Arial" w:cs="Arial"/>
          <w:sz w:val="24"/>
          <w:szCs w:val="24"/>
          <w:lang w:eastAsia="en-GB"/>
        </w:rPr>
        <w:t>.</w:t>
      </w:r>
    </w:p>
    <w:p w14:paraId="431B0740" w14:textId="77777777" w:rsidR="000E1DC8" w:rsidRPr="00593BEB" w:rsidRDefault="000E1DC8" w:rsidP="006B4F9D">
      <w:pPr>
        <w:spacing w:after="0" w:line="240" w:lineRule="auto"/>
        <w:rPr>
          <w:rStyle w:val="Hyperlink"/>
          <w:rFonts w:ascii="Arial" w:hAnsi="Arial" w:cs="Arial"/>
          <w:sz w:val="24"/>
          <w:szCs w:val="24"/>
        </w:rPr>
      </w:pPr>
    </w:p>
    <w:p w14:paraId="240AF001" w14:textId="1A65E275" w:rsidR="00A63B90" w:rsidRPr="00593BEB" w:rsidRDefault="00D1379D" w:rsidP="006B4F9D">
      <w:pPr>
        <w:spacing w:after="0" w:line="240" w:lineRule="auto"/>
        <w:rPr>
          <w:rStyle w:val="Hyperlink"/>
          <w:rFonts w:ascii="Arial" w:hAnsi="Arial" w:cs="Arial"/>
          <w:sz w:val="24"/>
          <w:szCs w:val="24"/>
        </w:rPr>
      </w:pPr>
      <w:r>
        <w:rPr>
          <w:rStyle w:val="Hyperlink"/>
          <w:rFonts w:ascii="Arial" w:hAnsi="Arial" w:cs="Arial"/>
          <w:color w:val="auto"/>
          <w:sz w:val="24"/>
          <w:szCs w:val="24"/>
          <w:u w:val="none"/>
        </w:rPr>
        <w:t>Davi</w:t>
      </w:r>
      <w:r w:rsidR="00A63B90" w:rsidRPr="00593BEB">
        <w:rPr>
          <w:rStyle w:val="Hyperlink"/>
          <w:rFonts w:ascii="Arial" w:hAnsi="Arial" w:cs="Arial"/>
          <w:color w:val="auto"/>
          <w:sz w:val="24"/>
          <w:szCs w:val="24"/>
          <w:u w:val="none"/>
        </w:rPr>
        <w:t xml:space="preserve">s, F.D. (1986) </w:t>
      </w:r>
      <w:r w:rsidR="0030411D" w:rsidRPr="00593BEB">
        <w:rPr>
          <w:rStyle w:val="Hyperlink"/>
          <w:rFonts w:ascii="Arial" w:hAnsi="Arial" w:cs="Arial"/>
          <w:color w:val="auto"/>
          <w:sz w:val="24"/>
          <w:szCs w:val="24"/>
          <w:u w:val="none"/>
        </w:rPr>
        <w:t xml:space="preserve">A technology acceptance model for empirically testing new end-user information systems: theory and results. </w:t>
      </w:r>
      <w:r w:rsidR="0030411D" w:rsidRPr="00593BEB">
        <w:rPr>
          <w:rStyle w:val="Hyperlink"/>
          <w:rFonts w:ascii="Arial" w:hAnsi="Arial" w:cs="Arial"/>
          <w:i/>
          <w:color w:val="auto"/>
          <w:sz w:val="24"/>
          <w:szCs w:val="24"/>
          <w:u w:val="none"/>
        </w:rPr>
        <w:t>Doctoral Dissertation.</w:t>
      </w:r>
      <w:r w:rsidR="0030411D" w:rsidRPr="00593BEB">
        <w:rPr>
          <w:rStyle w:val="Hyperlink"/>
          <w:rFonts w:ascii="Arial" w:hAnsi="Arial" w:cs="Arial"/>
          <w:color w:val="auto"/>
          <w:sz w:val="24"/>
          <w:szCs w:val="24"/>
          <w:u w:val="none"/>
        </w:rPr>
        <w:t xml:space="preserve"> MIT Sloan School of Management. Cambridge, MA </w:t>
      </w:r>
    </w:p>
    <w:p w14:paraId="5DF19846" w14:textId="77777777" w:rsidR="006B4F9D" w:rsidRPr="00593BEB" w:rsidRDefault="006B4F9D" w:rsidP="006B4F9D">
      <w:pPr>
        <w:spacing w:after="0" w:line="240" w:lineRule="auto"/>
        <w:rPr>
          <w:rStyle w:val="cit-auth"/>
          <w:rFonts w:ascii="Arial" w:hAnsi="Arial" w:cs="Arial"/>
          <w:color w:val="333333"/>
          <w:sz w:val="24"/>
          <w:szCs w:val="24"/>
          <w:shd w:val="clear" w:color="auto" w:fill="FFFFFF"/>
        </w:rPr>
      </w:pPr>
    </w:p>
    <w:p w14:paraId="2FC07754" w14:textId="48EB7DA0"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Korhonen, T., Sillanpää, V. and Jääskeläinen, A. (2023) “Anchor practices that guide horizontal performance measurement: an interventionist case study of the financial aspect of new technology implementation in healthcare,” </w:t>
      </w:r>
      <w:r w:rsidRPr="00593BEB">
        <w:rPr>
          <w:rFonts w:ascii="Arial" w:eastAsia="Times New Roman" w:hAnsi="Arial" w:cs="Arial"/>
          <w:i/>
          <w:iCs/>
          <w:sz w:val="24"/>
          <w:szCs w:val="24"/>
          <w:lang w:eastAsia="en-GB"/>
        </w:rPr>
        <w:t>Journal of Management and Governance</w:t>
      </w:r>
      <w:r w:rsidRPr="00593BEB">
        <w:rPr>
          <w:rFonts w:ascii="Arial" w:eastAsia="Times New Roman" w:hAnsi="Arial" w:cs="Arial"/>
          <w:sz w:val="24"/>
          <w:szCs w:val="24"/>
          <w:lang w:eastAsia="en-GB"/>
        </w:rPr>
        <w:t xml:space="preserve">, 27(3), pp. 787–816. Available at: </w:t>
      </w:r>
      <w:hyperlink r:id="rId12" w:history="1">
        <w:r w:rsidRPr="00593BEB">
          <w:rPr>
            <w:rStyle w:val="Hyperlink"/>
            <w:rFonts w:ascii="Arial" w:eastAsia="Times New Roman" w:hAnsi="Arial" w:cs="Arial"/>
            <w:sz w:val="24"/>
            <w:szCs w:val="24"/>
            <w:lang w:eastAsia="en-GB"/>
          </w:rPr>
          <w:t>https://doi.org/10.1007/s10997-023-09675-8</w:t>
        </w:r>
      </w:hyperlink>
      <w:r w:rsidRPr="00593BEB">
        <w:rPr>
          <w:rFonts w:ascii="Arial" w:eastAsia="Times New Roman" w:hAnsi="Arial" w:cs="Arial"/>
          <w:sz w:val="24"/>
          <w:szCs w:val="24"/>
          <w:lang w:eastAsia="en-GB"/>
        </w:rPr>
        <w:t>.</w:t>
      </w:r>
    </w:p>
    <w:p w14:paraId="1B10F75E" w14:textId="77777777" w:rsidR="00FE4D8E" w:rsidRPr="00593BEB" w:rsidRDefault="00FE4D8E" w:rsidP="00FE4D8E">
      <w:pPr>
        <w:spacing w:after="0" w:line="240" w:lineRule="auto"/>
        <w:rPr>
          <w:rFonts w:ascii="Arial" w:eastAsia="Times New Roman" w:hAnsi="Arial" w:cs="Arial"/>
          <w:sz w:val="24"/>
          <w:szCs w:val="24"/>
          <w:lang w:eastAsia="en-GB"/>
        </w:rPr>
      </w:pPr>
    </w:p>
    <w:p w14:paraId="05AEA956" w14:textId="5BDA5A8C"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Kujala, S. </w:t>
      </w:r>
      <w:r w:rsidRPr="00593BEB">
        <w:rPr>
          <w:rFonts w:ascii="Arial" w:eastAsia="Times New Roman" w:hAnsi="Arial" w:cs="Arial"/>
          <w:i/>
          <w:iCs/>
          <w:sz w:val="24"/>
          <w:szCs w:val="24"/>
          <w:lang w:eastAsia="en-GB"/>
        </w:rPr>
        <w:t>et al.</w:t>
      </w:r>
      <w:r w:rsidRPr="00593BEB">
        <w:rPr>
          <w:rFonts w:ascii="Arial" w:eastAsia="Times New Roman" w:hAnsi="Arial" w:cs="Arial"/>
          <w:sz w:val="24"/>
          <w:szCs w:val="24"/>
          <w:lang w:eastAsia="en-GB"/>
        </w:rPr>
        <w:t xml:space="preserve"> (2020) “Applying and Extending the FITT Framework to Identify the Challenges and Opportunities of Successful eHealth Services for Patient Self-Management: Qualitative Interview Study,” </w:t>
      </w:r>
      <w:r w:rsidRPr="00593BEB">
        <w:rPr>
          <w:rFonts w:ascii="Arial" w:eastAsia="Times New Roman" w:hAnsi="Arial" w:cs="Arial"/>
          <w:i/>
          <w:iCs/>
          <w:sz w:val="24"/>
          <w:szCs w:val="24"/>
          <w:lang w:eastAsia="en-GB"/>
        </w:rPr>
        <w:t>Journal of Medical Internet Research</w:t>
      </w:r>
      <w:r w:rsidRPr="00593BEB">
        <w:rPr>
          <w:rFonts w:ascii="Arial" w:eastAsia="Times New Roman" w:hAnsi="Arial" w:cs="Arial"/>
          <w:sz w:val="24"/>
          <w:szCs w:val="24"/>
          <w:lang w:eastAsia="en-GB"/>
        </w:rPr>
        <w:t xml:space="preserve">, 22(8), p. e17696. Available at: </w:t>
      </w:r>
      <w:hyperlink r:id="rId13" w:history="1">
        <w:r w:rsidRPr="00593BEB">
          <w:rPr>
            <w:rStyle w:val="Hyperlink"/>
            <w:rFonts w:ascii="Arial" w:eastAsia="Times New Roman" w:hAnsi="Arial" w:cs="Arial"/>
            <w:sz w:val="24"/>
            <w:szCs w:val="24"/>
            <w:lang w:eastAsia="en-GB"/>
          </w:rPr>
          <w:t>https://doi.org/10.2196/17696</w:t>
        </w:r>
      </w:hyperlink>
      <w:r w:rsidRPr="00593BEB">
        <w:rPr>
          <w:rFonts w:ascii="Arial" w:eastAsia="Times New Roman" w:hAnsi="Arial" w:cs="Arial"/>
          <w:sz w:val="24"/>
          <w:szCs w:val="24"/>
          <w:lang w:eastAsia="en-GB"/>
        </w:rPr>
        <w:t>.</w:t>
      </w:r>
    </w:p>
    <w:p w14:paraId="62D09DA0" w14:textId="083C9339" w:rsidR="00F807BB" w:rsidRPr="00593BEB" w:rsidRDefault="00F807BB" w:rsidP="00FE4D8E">
      <w:pPr>
        <w:spacing w:after="0" w:line="240" w:lineRule="auto"/>
        <w:rPr>
          <w:rFonts w:ascii="Arial" w:eastAsia="Times New Roman" w:hAnsi="Arial" w:cs="Arial"/>
          <w:sz w:val="24"/>
          <w:szCs w:val="24"/>
          <w:lang w:eastAsia="en-GB"/>
        </w:rPr>
      </w:pPr>
    </w:p>
    <w:p w14:paraId="740143C9" w14:textId="1FF129A8" w:rsidR="00F807BB" w:rsidRPr="00593BEB" w:rsidRDefault="00F807BB" w:rsidP="00F807BB">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Mitchell, K.R. </w:t>
      </w:r>
      <w:r w:rsidRPr="00593BEB">
        <w:rPr>
          <w:rFonts w:ascii="Arial" w:eastAsia="Times New Roman" w:hAnsi="Arial" w:cs="Arial"/>
          <w:i/>
          <w:iCs/>
          <w:sz w:val="24"/>
          <w:szCs w:val="24"/>
          <w:lang w:eastAsia="en-GB"/>
        </w:rPr>
        <w:t>et al.</w:t>
      </w:r>
      <w:r w:rsidRPr="00593BEB">
        <w:rPr>
          <w:rFonts w:ascii="Arial" w:eastAsia="Times New Roman" w:hAnsi="Arial" w:cs="Arial"/>
          <w:sz w:val="24"/>
          <w:szCs w:val="24"/>
          <w:lang w:eastAsia="en-GB"/>
        </w:rPr>
        <w:t xml:space="preserve"> (2021) “What is sexual wellbeing and why does it matter for public health?,” </w:t>
      </w:r>
      <w:r w:rsidRPr="00593BEB">
        <w:rPr>
          <w:rFonts w:ascii="Arial" w:eastAsia="Times New Roman" w:hAnsi="Arial" w:cs="Arial"/>
          <w:i/>
          <w:iCs/>
          <w:sz w:val="24"/>
          <w:szCs w:val="24"/>
          <w:lang w:eastAsia="en-GB"/>
        </w:rPr>
        <w:t>The Lancet Public Health</w:t>
      </w:r>
      <w:r w:rsidRPr="00593BEB">
        <w:rPr>
          <w:rFonts w:ascii="Arial" w:eastAsia="Times New Roman" w:hAnsi="Arial" w:cs="Arial"/>
          <w:sz w:val="24"/>
          <w:szCs w:val="24"/>
          <w:lang w:eastAsia="en-GB"/>
        </w:rPr>
        <w:t xml:space="preserve">, 6(8), pp. e608–e613. Available at: </w:t>
      </w:r>
      <w:hyperlink r:id="rId14" w:history="1">
        <w:r w:rsidR="004670B9" w:rsidRPr="00593BEB">
          <w:rPr>
            <w:rStyle w:val="Hyperlink"/>
            <w:rFonts w:ascii="Arial" w:eastAsia="Times New Roman" w:hAnsi="Arial" w:cs="Arial"/>
            <w:sz w:val="24"/>
            <w:szCs w:val="24"/>
            <w:lang w:eastAsia="en-GB"/>
          </w:rPr>
          <w:t>https://doi.org/10.1016/S2468-2667(21)00099-2</w:t>
        </w:r>
      </w:hyperlink>
      <w:r w:rsidRPr="00593BEB">
        <w:rPr>
          <w:rFonts w:ascii="Arial" w:eastAsia="Times New Roman" w:hAnsi="Arial" w:cs="Arial"/>
          <w:sz w:val="24"/>
          <w:szCs w:val="24"/>
          <w:lang w:eastAsia="en-GB"/>
        </w:rPr>
        <w:t>.</w:t>
      </w:r>
    </w:p>
    <w:p w14:paraId="7017915B" w14:textId="56FEDC31" w:rsidR="004670B9" w:rsidRPr="00593BEB" w:rsidRDefault="004670B9" w:rsidP="00F807BB">
      <w:pPr>
        <w:spacing w:after="0" w:line="240" w:lineRule="auto"/>
        <w:rPr>
          <w:rFonts w:ascii="Arial" w:eastAsia="Times New Roman" w:hAnsi="Arial" w:cs="Arial"/>
          <w:sz w:val="24"/>
          <w:szCs w:val="24"/>
          <w:lang w:eastAsia="en-GB"/>
        </w:rPr>
      </w:pPr>
    </w:p>
    <w:p w14:paraId="721BF32F" w14:textId="213D28C4" w:rsidR="004670B9" w:rsidRDefault="004670B9" w:rsidP="004670B9">
      <w:pPr>
        <w:spacing w:after="0" w:line="240" w:lineRule="auto"/>
        <w:rPr>
          <w:rFonts w:ascii="Arial" w:eastAsia="Times New Roman" w:hAnsi="Arial" w:cs="Arial"/>
          <w:sz w:val="24"/>
          <w:szCs w:val="24"/>
          <w:lang w:eastAsia="en-GB"/>
        </w:rPr>
      </w:pPr>
      <w:r w:rsidRPr="004670B9">
        <w:rPr>
          <w:rFonts w:ascii="Arial" w:eastAsia="Times New Roman" w:hAnsi="Arial" w:cs="Arial"/>
          <w:sz w:val="24"/>
          <w:szCs w:val="24"/>
          <w:lang w:eastAsia="en-GB"/>
        </w:rPr>
        <w:t xml:space="preserve">Murphy, C. and Keogh, I.J. (2023) “The evolution of the medical record from paper to digital: an ENT perspective,” </w:t>
      </w:r>
      <w:r w:rsidRPr="004670B9">
        <w:rPr>
          <w:rFonts w:ascii="Arial" w:eastAsia="Times New Roman" w:hAnsi="Arial" w:cs="Arial"/>
          <w:i/>
          <w:iCs/>
          <w:sz w:val="24"/>
          <w:szCs w:val="24"/>
          <w:lang w:eastAsia="en-GB"/>
        </w:rPr>
        <w:t>The Journal of Laryngology &amp; Otology</w:t>
      </w:r>
      <w:r w:rsidRPr="004670B9">
        <w:rPr>
          <w:rFonts w:ascii="Arial" w:eastAsia="Times New Roman" w:hAnsi="Arial" w:cs="Arial"/>
          <w:sz w:val="24"/>
          <w:szCs w:val="24"/>
          <w:lang w:eastAsia="en-GB"/>
        </w:rPr>
        <w:t xml:space="preserve">, 137(3), pp. 246–248. Available at: </w:t>
      </w:r>
      <w:hyperlink r:id="rId15" w:history="1">
        <w:r w:rsidR="00BC5B26" w:rsidRPr="00FF1419">
          <w:rPr>
            <w:rStyle w:val="Hyperlink"/>
            <w:rFonts w:ascii="Arial" w:eastAsia="Times New Roman" w:hAnsi="Arial" w:cs="Arial"/>
            <w:sz w:val="24"/>
            <w:szCs w:val="24"/>
            <w:lang w:eastAsia="en-GB"/>
          </w:rPr>
          <w:t>https://doi.org/10.1017/S0022215122002018</w:t>
        </w:r>
      </w:hyperlink>
      <w:r w:rsidRPr="004670B9">
        <w:rPr>
          <w:rFonts w:ascii="Arial" w:eastAsia="Times New Roman" w:hAnsi="Arial" w:cs="Arial"/>
          <w:sz w:val="24"/>
          <w:szCs w:val="24"/>
          <w:lang w:eastAsia="en-GB"/>
        </w:rPr>
        <w:t>.</w:t>
      </w:r>
    </w:p>
    <w:p w14:paraId="5C0F46DD" w14:textId="77777777" w:rsidR="00BC5B26" w:rsidRPr="004670B9" w:rsidRDefault="00BC5B26" w:rsidP="004670B9">
      <w:pPr>
        <w:spacing w:after="0" w:line="240" w:lineRule="auto"/>
        <w:rPr>
          <w:rFonts w:ascii="Arial" w:eastAsia="Times New Roman" w:hAnsi="Arial" w:cs="Arial"/>
          <w:sz w:val="24"/>
          <w:szCs w:val="24"/>
          <w:lang w:eastAsia="en-GB"/>
        </w:rPr>
      </w:pPr>
    </w:p>
    <w:p w14:paraId="0A523073" w14:textId="77777777" w:rsidR="004670B9" w:rsidRPr="00593BEB" w:rsidRDefault="004670B9" w:rsidP="00F807BB">
      <w:pPr>
        <w:spacing w:after="0" w:line="240" w:lineRule="auto"/>
        <w:rPr>
          <w:rFonts w:ascii="Arial" w:eastAsia="Times New Roman" w:hAnsi="Arial" w:cs="Arial"/>
          <w:sz w:val="24"/>
          <w:szCs w:val="24"/>
          <w:lang w:eastAsia="en-GB"/>
        </w:rPr>
      </w:pPr>
    </w:p>
    <w:p w14:paraId="18A2F73A" w14:textId="5D9C7461"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Murray, E. </w:t>
      </w:r>
      <w:r w:rsidRPr="00593BEB">
        <w:rPr>
          <w:rFonts w:ascii="Arial" w:eastAsia="Times New Roman" w:hAnsi="Arial" w:cs="Arial"/>
          <w:i/>
          <w:iCs/>
          <w:sz w:val="24"/>
          <w:szCs w:val="24"/>
          <w:lang w:eastAsia="en-GB"/>
        </w:rPr>
        <w:t>et al.</w:t>
      </w:r>
      <w:r w:rsidRPr="00593BEB">
        <w:rPr>
          <w:rFonts w:ascii="Arial" w:eastAsia="Times New Roman" w:hAnsi="Arial" w:cs="Arial"/>
          <w:sz w:val="24"/>
          <w:szCs w:val="24"/>
          <w:lang w:eastAsia="en-GB"/>
        </w:rPr>
        <w:t xml:space="preserve"> (2016) “Evaluating Digital Health Interventions,” </w:t>
      </w:r>
      <w:r w:rsidRPr="00593BEB">
        <w:rPr>
          <w:rFonts w:ascii="Arial" w:eastAsia="Times New Roman" w:hAnsi="Arial" w:cs="Arial"/>
          <w:i/>
          <w:iCs/>
          <w:sz w:val="24"/>
          <w:szCs w:val="24"/>
          <w:lang w:eastAsia="en-GB"/>
        </w:rPr>
        <w:t>American Journal of Preventive Medicine</w:t>
      </w:r>
      <w:r w:rsidRPr="00593BEB">
        <w:rPr>
          <w:rFonts w:ascii="Arial" w:eastAsia="Times New Roman" w:hAnsi="Arial" w:cs="Arial"/>
          <w:sz w:val="24"/>
          <w:szCs w:val="24"/>
          <w:lang w:eastAsia="en-GB"/>
        </w:rPr>
        <w:t xml:space="preserve">, 51(5), pp. 843–851. Available at: </w:t>
      </w:r>
      <w:hyperlink r:id="rId16" w:history="1">
        <w:r w:rsidRPr="00593BEB">
          <w:rPr>
            <w:rStyle w:val="Hyperlink"/>
            <w:rFonts w:ascii="Arial" w:eastAsia="Times New Roman" w:hAnsi="Arial" w:cs="Arial"/>
            <w:sz w:val="24"/>
            <w:szCs w:val="24"/>
            <w:lang w:eastAsia="en-GB"/>
          </w:rPr>
          <w:t>https://doi.org/10.1016/j.amepre.2016.06.008</w:t>
        </w:r>
      </w:hyperlink>
      <w:r w:rsidRPr="00593BEB">
        <w:rPr>
          <w:rFonts w:ascii="Arial" w:eastAsia="Times New Roman" w:hAnsi="Arial" w:cs="Arial"/>
          <w:sz w:val="24"/>
          <w:szCs w:val="24"/>
          <w:lang w:eastAsia="en-GB"/>
        </w:rPr>
        <w:t>.</w:t>
      </w:r>
    </w:p>
    <w:p w14:paraId="53F12749" w14:textId="77777777" w:rsidR="00FE4D8E" w:rsidRPr="00593BEB" w:rsidRDefault="00FE4D8E" w:rsidP="00FE4D8E">
      <w:pPr>
        <w:spacing w:after="0" w:line="240" w:lineRule="auto"/>
        <w:rPr>
          <w:rFonts w:ascii="Arial" w:eastAsia="Times New Roman" w:hAnsi="Arial" w:cs="Arial"/>
          <w:sz w:val="24"/>
          <w:szCs w:val="24"/>
          <w:lang w:eastAsia="en-GB"/>
        </w:rPr>
      </w:pPr>
    </w:p>
    <w:p w14:paraId="3EF31B47" w14:textId="4551CE2E"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Nexø, M.A. </w:t>
      </w:r>
      <w:r w:rsidRPr="00593BEB">
        <w:rPr>
          <w:rFonts w:ascii="Arial" w:eastAsia="Times New Roman" w:hAnsi="Arial" w:cs="Arial"/>
          <w:i/>
          <w:iCs/>
          <w:sz w:val="24"/>
          <w:szCs w:val="24"/>
          <w:lang w:eastAsia="en-GB"/>
        </w:rPr>
        <w:t>et al.</w:t>
      </w:r>
      <w:r w:rsidRPr="00593BEB">
        <w:rPr>
          <w:rFonts w:ascii="Arial" w:eastAsia="Times New Roman" w:hAnsi="Arial" w:cs="Arial"/>
          <w:sz w:val="24"/>
          <w:szCs w:val="24"/>
          <w:lang w:eastAsia="en-GB"/>
        </w:rPr>
        <w:t xml:space="preserve"> (2024) “The impact of train-the-trainer programs on the continued professional development of nurses: a systematic review,” </w:t>
      </w:r>
      <w:r w:rsidRPr="00593BEB">
        <w:rPr>
          <w:rFonts w:ascii="Arial" w:eastAsia="Times New Roman" w:hAnsi="Arial" w:cs="Arial"/>
          <w:i/>
          <w:iCs/>
          <w:sz w:val="24"/>
          <w:szCs w:val="24"/>
          <w:lang w:eastAsia="en-GB"/>
        </w:rPr>
        <w:t>BMC Medical Education</w:t>
      </w:r>
      <w:r w:rsidRPr="00593BEB">
        <w:rPr>
          <w:rFonts w:ascii="Arial" w:eastAsia="Times New Roman" w:hAnsi="Arial" w:cs="Arial"/>
          <w:sz w:val="24"/>
          <w:szCs w:val="24"/>
          <w:lang w:eastAsia="en-GB"/>
        </w:rPr>
        <w:t xml:space="preserve">, 24(1), p. 30. Available at: </w:t>
      </w:r>
      <w:hyperlink r:id="rId17" w:history="1">
        <w:r w:rsidRPr="00593BEB">
          <w:rPr>
            <w:rStyle w:val="Hyperlink"/>
            <w:rFonts w:ascii="Arial" w:eastAsia="Times New Roman" w:hAnsi="Arial" w:cs="Arial"/>
            <w:sz w:val="24"/>
            <w:szCs w:val="24"/>
            <w:lang w:eastAsia="en-GB"/>
          </w:rPr>
          <w:t>https://doi.org/10.1186/s12909-023-04998-4</w:t>
        </w:r>
      </w:hyperlink>
      <w:r w:rsidRPr="00593BEB">
        <w:rPr>
          <w:rFonts w:ascii="Arial" w:eastAsia="Times New Roman" w:hAnsi="Arial" w:cs="Arial"/>
          <w:sz w:val="24"/>
          <w:szCs w:val="24"/>
          <w:lang w:eastAsia="en-GB"/>
        </w:rPr>
        <w:t>.</w:t>
      </w:r>
    </w:p>
    <w:p w14:paraId="6E5F9C57" w14:textId="0D569F30" w:rsidR="006B4F9D" w:rsidRPr="00593BEB" w:rsidRDefault="006B4F9D" w:rsidP="00FE4D8E">
      <w:pPr>
        <w:spacing w:after="0" w:line="240" w:lineRule="auto"/>
        <w:rPr>
          <w:rFonts w:ascii="Arial" w:eastAsia="Times New Roman" w:hAnsi="Arial" w:cs="Arial"/>
          <w:sz w:val="24"/>
          <w:szCs w:val="24"/>
          <w:lang w:eastAsia="en-GB"/>
        </w:rPr>
      </w:pPr>
    </w:p>
    <w:p w14:paraId="719CD469" w14:textId="77777777" w:rsidR="006B4F9D" w:rsidRPr="00593BEB" w:rsidRDefault="006B4F9D" w:rsidP="006B4F9D">
      <w:pPr>
        <w:spacing w:after="0" w:line="240" w:lineRule="auto"/>
        <w:rPr>
          <w:rFonts w:ascii="Arial" w:hAnsi="Arial" w:cs="Arial"/>
          <w:sz w:val="24"/>
          <w:szCs w:val="24"/>
        </w:rPr>
      </w:pPr>
      <w:r w:rsidRPr="00593BEB">
        <w:rPr>
          <w:rFonts w:ascii="Arial" w:eastAsia="Times New Roman" w:hAnsi="Arial" w:cs="Arial"/>
          <w:sz w:val="24"/>
          <w:szCs w:val="24"/>
          <w:lang w:eastAsia="en-GB"/>
        </w:rPr>
        <w:t xml:space="preserve">Nursing &amp; Midwifery Council (NMC) (2018) The Code. Available at: </w:t>
      </w:r>
      <w:hyperlink r:id="rId18" w:history="1">
        <w:r w:rsidRPr="00593BEB">
          <w:rPr>
            <w:rFonts w:ascii="Arial" w:hAnsi="Arial" w:cs="Arial"/>
            <w:color w:val="0000FF"/>
            <w:sz w:val="24"/>
            <w:szCs w:val="24"/>
            <w:u w:val="single"/>
          </w:rPr>
          <w:t>The Code</w:t>
        </w:r>
      </w:hyperlink>
      <w:r w:rsidRPr="00593BEB">
        <w:rPr>
          <w:rFonts w:ascii="Arial" w:hAnsi="Arial" w:cs="Arial"/>
          <w:sz w:val="24"/>
          <w:szCs w:val="24"/>
        </w:rPr>
        <w:t xml:space="preserve"> accessed on: 26.01.25</w:t>
      </w:r>
    </w:p>
    <w:p w14:paraId="140FE658" w14:textId="77777777" w:rsidR="00FE4D8E" w:rsidRPr="00593BEB" w:rsidRDefault="00FE4D8E" w:rsidP="00FE4D8E">
      <w:pPr>
        <w:spacing w:after="0" w:line="240" w:lineRule="auto"/>
        <w:rPr>
          <w:rFonts w:ascii="Arial" w:eastAsia="Times New Roman" w:hAnsi="Arial" w:cs="Arial"/>
          <w:sz w:val="24"/>
          <w:szCs w:val="24"/>
          <w:lang w:eastAsia="en-GB"/>
        </w:rPr>
      </w:pPr>
    </w:p>
    <w:p w14:paraId="0F6A36E8" w14:textId="3954411F"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Noblin, A. </w:t>
      </w:r>
      <w:r w:rsidRPr="00593BEB">
        <w:rPr>
          <w:rFonts w:ascii="Arial" w:eastAsia="Times New Roman" w:hAnsi="Arial" w:cs="Arial"/>
          <w:i/>
          <w:iCs/>
          <w:sz w:val="24"/>
          <w:szCs w:val="24"/>
          <w:lang w:eastAsia="en-GB"/>
        </w:rPr>
        <w:t>et al.</w:t>
      </w:r>
      <w:r w:rsidRPr="00593BEB">
        <w:rPr>
          <w:rFonts w:ascii="Arial" w:eastAsia="Times New Roman" w:hAnsi="Arial" w:cs="Arial"/>
          <w:sz w:val="24"/>
          <w:szCs w:val="24"/>
          <w:lang w:eastAsia="en-GB"/>
        </w:rPr>
        <w:t xml:space="preserve"> (2017) “Exploring physical therapists’ perceptions of mobile application usage utilizing the FITT framework,” </w:t>
      </w:r>
      <w:r w:rsidRPr="00593BEB">
        <w:rPr>
          <w:rFonts w:ascii="Arial" w:eastAsia="Times New Roman" w:hAnsi="Arial" w:cs="Arial"/>
          <w:i/>
          <w:iCs/>
          <w:sz w:val="24"/>
          <w:szCs w:val="24"/>
          <w:lang w:eastAsia="en-GB"/>
        </w:rPr>
        <w:t>Informatics for Health and Social Care</w:t>
      </w:r>
      <w:r w:rsidRPr="00593BEB">
        <w:rPr>
          <w:rFonts w:ascii="Arial" w:eastAsia="Times New Roman" w:hAnsi="Arial" w:cs="Arial"/>
          <w:sz w:val="24"/>
          <w:szCs w:val="24"/>
          <w:lang w:eastAsia="en-GB"/>
        </w:rPr>
        <w:t xml:space="preserve">, 42(2), pp. 180–193. Available at: </w:t>
      </w:r>
      <w:hyperlink r:id="rId19" w:history="1">
        <w:r w:rsidRPr="00593BEB">
          <w:rPr>
            <w:rStyle w:val="Hyperlink"/>
            <w:rFonts w:ascii="Arial" w:eastAsia="Times New Roman" w:hAnsi="Arial" w:cs="Arial"/>
            <w:sz w:val="24"/>
            <w:szCs w:val="24"/>
            <w:lang w:eastAsia="en-GB"/>
          </w:rPr>
          <w:t>https://doi.org/10.1080/17538157.2016.1178118</w:t>
        </w:r>
      </w:hyperlink>
      <w:r w:rsidRPr="00593BEB">
        <w:rPr>
          <w:rFonts w:ascii="Arial" w:eastAsia="Times New Roman" w:hAnsi="Arial" w:cs="Arial"/>
          <w:sz w:val="24"/>
          <w:szCs w:val="24"/>
          <w:lang w:eastAsia="en-GB"/>
        </w:rPr>
        <w:t>.</w:t>
      </w:r>
    </w:p>
    <w:p w14:paraId="2BD35C2F" w14:textId="4F5F4554" w:rsidR="00FE4D8E" w:rsidRDefault="00FE4D8E" w:rsidP="00FE4D8E">
      <w:pPr>
        <w:spacing w:after="0" w:line="240" w:lineRule="auto"/>
        <w:rPr>
          <w:rFonts w:ascii="Arial" w:eastAsia="Times New Roman" w:hAnsi="Arial" w:cs="Arial"/>
          <w:sz w:val="24"/>
          <w:szCs w:val="24"/>
          <w:lang w:eastAsia="en-GB"/>
        </w:rPr>
      </w:pPr>
    </w:p>
    <w:p w14:paraId="271E4CF8" w14:textId="230549A5" w:rsidR="00D1379D" w:rsidRDefault="00D1379D" w:rsidP="00D1379D">
      <w:pPr>
        <w:rPr>
          <w:rFonts w:ascii="Arial" w:eastAsia="Times New Roman" w:hAnsi="Arial" w:cs="Arial"/>
          <w:sz w:val="24"/>
          <w:szCs w:val="24"/>
          <w:lang w:eastAsia="en-GB"/>
        </w:rPr>
      </w:pPr>
      <w:r w:rsidRPr="00C8289F">
        <w:rPr>
          <w:rFonts w:ascii="Arial" w:eastAsia="Times New Roman" w:hAnsi="Arial" w:cs="Arial"/>
          <w:sz w:val="24"/>
          <w:szCs w:val="24"/>
          <w:lang w:eastAsia="en-GB"/>
        </w:rPr>
        <w:t xml:space="preserve">Pakulska, T. and Religioni, U. (2023) “Implementation of technology in healthcare entities – barriers and success factors,” </w:t>
      </w:r>
      <w:r w:rsidRPr="00C8289F">
        <w:rPr>
          <w:rFonts w:ascii="Arial" w:eastAsia="Times New Roman" w:hAnsi="Arial" w:cs="Arial"/>
          <w:i/>
          <w:iCs/>
          <w:sz w:val="24"/>
          <w:szCs w:val="24"/>
          <w:lang w:eastAsia="en-GB"/>
        </w:rPr>
        <w:t>Journal of Medical Economics</w:t>
      </w:r>
      <w:r w:rsidRPr="00C8289F">
        <w:rPr>
          <w:rFonts w:ascii="Arial" w:eastAsia="Times New Roman" w:hAnsi="Arial" w:cs="Arial"/>
          <w:sz w:val="24"/>
          <w:szCs w:val="24"/>
          <w:lang w:eastAsia="en-GB"/>
        </w:rPr>
        <w:t xml:space="preserve">, 26(1), pp. 821–823. Available at: </w:t>
      </w:r>
      <w:hyperlink r:id="rId20" w:history="1">
        <w:r w:rsidR="000E1DC8" w:rsidRPr="00FF1419">
          <w:rPr>
            <w:rStyle w:val="Hyperlink"/>
            <w:rFonts w:ascii="Arial" w:eastAsia="Times New Roman" w:hAnsi="Arial" w:cs="Arial"/>
            <w:sz w:val="24"/>
            <w:szCs w:val="24"/>
            <w:lang w:eastAsia="en-GB"/>
          </w:rPr>
          <w:t>https://doi.org/10.1080/13696998.2023.2226537</w:t>
        </w:r>
      </w:hyperlink>
      <w:r w:rsidRPr="00C8289F">
        <w:rPr>
          <w:rFonts w:ascii="Arial" w:eastAsia="Times New Roman" w:hAnsi="Arial" w:cs="Arial"/>
          <w:sz w:val="24"/>
          <w:szCs w:val="24"/>
          <w:lang w:eastAsia="en-GB"/>
        </w:rPr>
        <w:t>.</w:t>
      </w:r>
    </w:p>
    <w:p w14:paraId="21199ACB" w14:textId="4B3933B6" w:rsidR="00927935" w:rsidRDefault="00927935" w:rsidP="00927935">
      <w:pPr>
        <w:spacing w:after="0" w:line="240" w:lineRule="auto"/>
        <w:rPr>
          <w:rFonts w:ascii="Arial" w:eastAsia="Times New Roman" w:hAnsi="Arial" w:cs="Arial"/>
          <w:sz w:val="24"/>
          <w:szCs w:val="24"/>
          <w:lang w:eastAsia="en-GB"/>
        </w:rPr>
      </w:pPr>
      <w:r w:rsidRPr="00927935">
        <w:rPr>
          <w:rFonts w:ascii="Arial" w:eastAsia="Times New Roman" w:hAnsi="Arial" w:cs="Arial"/>
          <w:sz w:val="24"/>
          <w:szCs w:val="24"/>
          <w:lang w:eastAsia="en-GB"/>
        </w:rPr>
        <w:t xml:space="preserve">Parker, H. </w:t>
      </w:r>
      <w:r w:rsidRPr="00927935">
        <w:rPr>
          <w:rFonts w:ascii="Arial" w:eastAsia="Times New Roman" w:hAnsi="Arial" w:cs="Arial"/>
          <w:i/>
          <w:iCs/>
          <w:sz w:val="24"/>
          <w:szCs w:val="24"/>
          <w:lang w:eastAsia="en-GB"/>
        </w:rPr>
        <w:t>et al.</w:t>
      </w:r>
      <w:r w:rsidRPr="00927935">
        <w:rPr>
          <w:rFonts w:ascii="Arial" w:eastAsia="Times New Roman" w:hAnsi="Arial" w:cs="Arial"/>
          <w:sz w:val="24"/>
          <w:szCs w:val="24"/>
          <w:lang w:eastAsia="en-GB"/>
        </w:rPr>
        <w:t xml:space="preserve"> (2014) “How important is confidentiality in sexual health clinics? A survey of patients across 51 clinics in England: Table 1,” </w:t>
      </w:r>
      <w:r w:rsidRPr="00927935">
        <w:rPr>
          <w:rFonts w:ascii="Arial" w:eastAsia="Times New Roman" w:hAnsi="Arial" w:cs="Arial"/>
          <w:i/>
          <w:iCs/>
          <w:sz w:val="24"/>
          <w:szCs w:val="24"/>
          <w:lang w:eastAsia="en-GB"/>
        </w:rPr>
        <w:t>Sexually Transmitted Infections</w:t>
      </w:r>
      <w:r w:rsidRPr="00927935">
        <w:rPr>
          <w:rFonts w:ascii="Arial" w:eastAsia="Times New Roman" w:hAnsi="Arial" w:cs="Arial"/>
          <w:sz w:val="24"/>
          <w:szCs w:val="24"/>
          <w:lang w:eastAsia="en-GB"/>
        </w:rPr>
        <w:t xml:space="preserve">, 90(5), pp. 354–355. Available at: </w:t>
      </w:r>
      <w:hyperlink r:id="rId21" w:history="1">
        <w:r w:rsidRPr="00FF1419">
          <w:rPr>
            <w:rStyle w:val="Hyperlink"/>
            <w:rFonts w:ascii="Arial" w:eastAsia="Times New Roman" w:hAnsi="Arial" w:cs="Arial"/>
            <w:sz w:val="24"/>
            <w:szCs w:val="24"/>
            <w:lang w:eastAsia="en-GB"/>
          </w:rPr>
          <w:t>https://doi.org/10.1136/sextrans-2013-051369</w:t>
        </w:r>
      </w:hyperlink>
      <w:r w:rsidRPr="00927935">
        <w:rPr>
          <w:rFonts w:ascii="Arial" w:eastAsia="Times New Roman" w:hAnsi="Arial" w:cs="Arial"/>
          <w:sz w:val="24"/>
          <w:szCs w:val="24"/>
          <w:lang w:eastAsia="en-GB"/>
        </w:rPr>
        <w:t>.</w:t>
      </w:r>
    </w:p>
    <w:p w14:paraId="7F3ADBBF" w14:textId="77777777" w:rsidR="00927935" w:rsidRPr="00593BEB" w:rsidRDefault="00927935" w:rsidP="00FE4D8E">
      <w:pPr>
        <w:spacing w:after="0" w:line="240" w:lineRule="auto"/>
        <w:rPr>
          <w:rFonts w:ascii="Arial" w:eastAsia="Times New Roman" w:hAnsi="Arial" w:cs="Arial"/>
          <w:sz w:val="24"/>
          <w:szCs w:val="24"/>
          <w:lang w:eastAsia="en-GB"/>
        </w:rPr>
      </w:pPr>
    </w:p>
    <w:p w14:paraId="78C91A06" w14:textId="0DA533B6"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Schnall, R. </w:t>
      </w:r>
      <w:r w:rsidRPr="00593BEB">
        <w:rPr>
          <w:rFonts w:ascii="Arial" w:eastAsia="Times New Roman" w:hAnsi="Arial" w:cs="Arial"/>
          <w:i/>
          <w:iCs/>
          <w:sz w:val="24"/>
          <w:szCs w:val="24"/>
          <w:lang w:eastAsia="en-GB"/>
        </w:rPr>
        <w:t>et al.</w:t>
      </w:r>
      <w:r w:rsidRPr="00593BEB">
        <w:rPr>
          <w:rFonts w:ascii="Arial" w:eastAsia="Times New Roman" w:hAnsi="Arial" w:cs="Arial"/>
          <w:sz w:val="24"/>
          <w:szCs w:val="24"/>
          <w:lang w:eastAsia="en-GB"/>
        </w:rPr>
        <w:t xml:space="preserve"> (2012) “Employing the FITT framework to explore HIV case managers’ perceptions of two electronic clinical data (ECD) summary systems,” </w:t>
      </w:r>
      <w:r w:rsidRPr="00593BEB">
        <w:rPr>
          <w:rFonts w:ascii="Arial" w:eastAsia="Times New Roman" w:hAnsi="Arial" w:cs="Arial"/>
          <w:i/>
          <w:iCs/>
          <w:sz w:val="24"/>
          <w:szCs w:val="24"/>
          <w:lang w:eastAsia="en-GB"/>
        </w:rPr>
        <w:t>International Journal of Medical Informatics</w:t>
      </w:r>
      <w:r w:rsidRPr="00593BEB">
        <w:rPr>
          <w:rFonts w:ascii="Arial" w:eastAsia="Times New Roman" w:hAnsi="Arial" w:cs="Arial"/>
          <w:sz w:val="24"/>
          <w:szCs w:val="24"/>
          <w:lang w:eastAsia="en-GB"/>
        </w:rPr>
        <w:t xml:space="preserve">, 81(10), pp. e56–e62. Available at: </w:t>
      </w:r>
      <w:hyperlink r:id="rId22" w:history="1">
        <w:r w:rsidRPr="00593BEB">
          <w:rPr>
            <w:rStyle w:val="Hyperlink"/>
            <w:rFonts w:ascii="Arial" w:eastAsia="Times New Roman" w:hAnsi="Arial" w:cs="Arial"/>
            <w:sz w:val="24"/>
            <w:szCs w:val="24"/>
            <w:lang w:eastAsia="en-GB"/>
          </w:rPr>
          <w:t>https://doi.org/10.1016/j.ijmedinf.2012.07.002</w:t>
        </w:r>
      </w:hyperlink>
      <w:r w:rsidRPr="00593BEB">
        <w:rPr>
          <w:rFonts w:ascii="Arial" w:eastAsia="Times New Roman" w:hAnsi="Arial" w:cs="Arial"/>
          <w:sz w:val="24"/>
          <w:szCs w:val="24"/>
          <w:lang w:eastAsia="en-GB"/>
        </w:rPr>
        <w:t>.</w:t>
      </w:r>
    </w:p>
    <w:p w14:paraId="15BD761B" w14:textId="1EE3A22F" w:rsidR="006B4F9D" w:rsidRPr="00593BEB" w:rsidRDefault="006B4F9D" w:rsidP="00FE4D8E">
      <w:pPr>
        <w:spacing w:after="0" w:line="240" w:lineRule="auto"/>
        <w:rPr>
          <w:rFonts w:ascii="Arial" w:eastAsia="Times New Roman" w:hAnsi="Arial" w:cs="Arial"/>
          <w:sz w:val="24"/>
          <w:szCs w:val="24"/>
          <w:lang w:eastAsia="en-GB"/>
        </w:rPr>
      </w:pPr>
    </w:p>
    <w:p w14:paraId="77B85A1A" w14:textId="77777777" w:rsidR="006B4F9D" w:rsidRPr="00593BEB" w:rsidRDefault="006B4F9D" w:rsidP="006B4F9D">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The Data Protection Act (2018) c.12 </w:t>
      </w:r>
    </w:p>
    <w:p w14:paraId="3A98A452" w14:textId="40221A76" w:rsidR="006B4F9D" w:rsidRDefault="006B4F9D" w:rsidP="006B4F9D">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Available at:</w:t>
      </w:r>
      <w:r w:rsidRPr="00593BEB">
        <w:rPr>
          <w:rFonts w:ascii="Arial" w:hAnsi="Arial" w:cs="Arial"/>
          <w:sz w:val="24"/>
          <w:szCs w:val="24"/>
        </w:rPr>
        <w:t xml:space="preserve"> </w:t>
      </w:r>
      <w:hyperlink r:id="rId23" w:history="1">
        <w:r w:rsidRPr="00593BEB">
          <w:rPr>
            <w:rFonts w:ascii="Arial" w:hAnsi="Arial" w:cs="Arial"/>
            <w:color w:val="0000FF"/>
            <w:sz w:val="24"/>
            <w:szCs w:val="24"/>
            <w:u w:val="single"/>
          </w:rPr>
          <w:t>Data Protection Act 2018 (legislation.gov.uk)</w:t>
        </w:r>
      </w:hyperlink>
      <w:r w:rsidRPr="00593BEB">
        <w:rPr>
          <w:rFonts w:ascii="Arial" w:hAnsi="Arial" w:cs="Arial"/>
          <w:sz w:val="24"/>
          <w:szCs w:val="24"/>
        </w:rPr>
        <w:t xml:space="preserve"> accessed 08.11.2024</w:t>
      </w:r>
      <w:r w:rsidRPr="00593BEB">
        <w:rPr>
          <w:rFonts w:ascii="Arial" w:eastAsia="Times New Roman" w:hAnsi="Arial" w:cs="Arial"/>
          <w:sz w:val="24"/>
          <w:szCs w:val="24"/>
          <w:lang w:eastAsia="en-GB"/>
        </w:rPr>
        <w:t xml:space="preserve">  </w:t>
      </w:r>
    </w:p>
    <w:p w14:paraId="775DF23C" w14:textId="4DA8C258" w:rsidR="00BE2237" w:rsidRDefault="00BE2237" w:rsidP="006B4F9D">
      <w:pPr>
        <w:spacing w:after="0" w:line="240" w:lineRule="auto"/>
        <w:rPr>
          <w:rFonts w:ascii="Arial" w:eastAsia="Times New Roman" w:hAnsi="Arial" w:cs="Arial"/>
          <w:sz w:val="24"/>
          <w:szCs w:val="24"/>
          <w:lang w:eastAsia="en-GB"/>
        </w:rPr>
      </w:pPr>
    </w:p>
    <w:p w14:paraId="2B3CB4CF" w14:textId="77777777" w:rsidR="004F6E95" w:rsidRDefault="00BE2237" w:rsidP="006B4F9D">
      <w:pPr>
        <w:spacing w:after="0" w:line="240" w:lineRule="auto"/>
      </w:pPr>
      <w:r>
        <w:rPr>
          <w:rFonts w:ascii="Arial" w:eastAsia="Times New Roman" w:hAnsi="Arial" w:cs="Arial"/>
          <w:sz w:val="24"/>
          <w:szCs w:val="24"/>
          <w:lang w:eastAsia="en-GB"/>
        </w:rPr>
        <w:t xml:space="preserve">The National Health Service (Venereal Diseases) Regulations (1974) No.29 Available at: </w:t>
      </w:r>
      <w:hyperlink r:id="rId24" w:history="1">
        <w:r w:rsidR="004F6E95" w:rsidRPr="004F6E95">
          <w:rPr>
            <w:color w:val="0000FF"/>
            <w:u w:val="single"/>
          </w:rPr>
          <w:t>The National Health Service (Venereal Diseases) Regulations 1974</w:t>
        </w:r>
      </w:hyperlink>
      <w:r w:rsidR="004F6E95">
        <w:t xml:space="preserve">   </w:t>
      </w:r>
    </w:p>
    <w:p w14:paraId="5E3499D6" w14:textId="0C260FE6" w:rsidR="00BE2237" w:rsidRPr="004F6E95" w:rsidRDefault="004F6E95" w:rsidP="006B4F9D">
      <w:pPr>
        <w:spacing w:after="0" w:line="240" w:lineRule="auto"/>
        <w:rPr>
          <w:rFonts w:ascii="Arial" w:eastAsia="Times New Roman" w:hAnsi="Arial" w:cs="Arial"/>
          <w:sz w:val="24"/>
          <w:szCs w:val="24"/>
          <w:lang w:eastAsia="en-GB"/>
        </w:rPr>
      </w:pPr>
      <w:r w:rsidRPr="004F6E95">
        <w:rPr>
          <w:rFonts w:ascii="Arial" w:hAnsi="Arial" w:cs="Arial"/>
          <w:sz w:val="24"/>
          <w:szCs w:val="24"/>
        </w:rPr>
        <w:t>accessed on: 31.1.25</w:t>
      </w:r>
    </w:p>
    <w:p w14:paraId="3FC5DEFB" w14:textId="77777777" w:rsidR="00FE4D8E" w:rsidRPr="00593BEB" w:rsidRDefault="00FE4D8E" w:rsidP="00FE4D8E">
      <w:pPr>
        <w:spacing w:after="0" w:line="240" w:lineRule="auto"/>
        <w:rPr>
          <w:rFonts w:ascii="Arial" w:eastAsia="Times New Roman" w:hAnsi="Arial" w:cs="Arial"/>
          <w:sz w:val="24"/>
          <w:szCs w:val="24"/>
          <w:lang w:eastAsia="en-GB"/>
        </w:rPr>
      </w:pPr>
    </w:p>
    <w:p w14:paraId="3432700A" w14:textId="2AC9C259"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Tsiknakis, M. and Kouroubali, A. (2009) “Organizational factors affecting successful adoption of innovative eHealth services: A case study employing the FITT framework,” </w:t>
      </w:r>
      <w:r w:rsidRPr="00593BEB">
        <w:rPr>
          <w:rFonts w:ascii="Arial" w:eastAsia="Times New Roman" w:hAnsi="Arial" w:cs="Arial"/>
          <w:i/>
          <w:iCs/>
          <w:sz w:val="24"/>
          <w:szCs w:val="24"/>
          <w:lang w:eastAsia="en-GB"/>
        </w:rPr>
        <w:t>International Journal of Medical Informatics</w:t>
      </w:r>
      <w:r w:rsidRPr="00593BEB">
        <w:rPr>
          <w:rFonts w:ascii="Arial" w:eastAsia="Times New Roman" w:hAnsi="Arial" w:cs="Arial"/>
          <w:sz w:val="24"/>
          <w:szCs w:val="24"/>
          <w:lang w:eastAsia="en-GB"/>
        </w:rPr>
        <w:t xml:space="preserve">, 78(1), pp. 39–52. Available at: </w:t>
      </w:r>
      <w:hyperlink r:id="rId25" w:history="1">
        <w:r w:rsidRPr="00593BEB">
          <w:rPr>
            <w:rStyle w:val="Hyperlink"/>
            <w:rFonts w:ascii="Arial" w:eastAsia="Times New Roman" w:hAnsi="Arial" w:cs="Arial"/>
            <w:sz w:val="24"/>
            <w:szCs w:val="24"/>
            <w:lang w:eastAsia="en-GB"/>
          </w:rPr>
          <w:t>https://doi.org/10.1016/J.IJMEDINF.2008.07.001</w:t>
        </w:r>
      </w:hyperlink>
      <w:r w:rsidRPr="00593BEB">
        <w:rPr>
          <w:rFonts w:ascii="Arial" w:eastAsia="Times New Roman" w:hAnsi="Arial" w:cs="Arial"/>
          <w:sz w:val="24"/>
          <w:szCs w:val="24"/>
          <w:lang w:eastAsia="en-GB"/>
        </w:rPr>
        <w:t>.</w:t>
      </w:r>
    </w:p>
    <w:p w14:paraId="7DCC324E" w14:textId="4A14EE81" w:rsidR="00FE4D8E" w:rsidRPr="00593BEB" w:rsidRDefault="00FE4D8E" w:rsidP="00FE4D8E">
      <w:pPr>
        <w:spacing w:after="0" w:line="240" w:lineRule="auto"/>
        <w:rPr>
          <w:rFonts w:ascii="Arial" w:eastAsia="Times New Roman" w:hAnsi="Arial" w:cs="Arial"/>
          <w:sz w:val="24"/>
          <w:szCs w:val="24"/>
          <w:lang w:eastAsia="en-GB"/>
        </w:rPr>
      </w:pPr>
    </w:p>
    <w:p w14:paraId="187D7671" w14:textId="20357909" w:rsidR="006B4F9D" w:rsidRPr="00593BEB" w:rsidRDefault="006B4F9D" w:rsidP="006B4F9D">
      <w:pPr>
        <w:spacing w:after="0" w:line="240" w:lineRule="auto"/>
        <w:rPr>
          <w:rFonts w:ascii="Arial" w:hAnsi="Arial" w:cs="Arial"/>
          <w:color w:val="333333"/>
          <w:sz w:val="24"/>
          <w:szCs w:val="24"/>
          <w:shd w:val="clear" w:color="auto" w:fill="FFFFFF"/>
        </w:rPr>
      </w:pPr>
      <w:r w:rsidRPr="00593BEB">
        <w:rPr>
          <w:rFonts w:ascii="Arial" w:hAnsi="Arial" w:cs="Arial"/>
          <w:color w:val="333333"/>
          <w:sz w:val="24"/>
          <w:szCs w:val="24"/>
          <w:shd w:val="clear" w:color="auto" w:fill="FFFFFF"/>
        </w:rPr>
        <w:t>Venereal Disease Act (1917) (repealed November 1998)</w:t>
      </w:r>
    </w:p>
    <w:p w14:paraId="7211B1A5" w14:textId="2BD8ED5F" w:rsidR="006B4F9D" w:rsidRPr="00593BEB" w:rsidRDefault="006B4F9D" w:rsidP="006B4F9D">
      <w:pPr>
        <w:spacing w:after="0" w:line="240" w:lineRule="auto"/>
        <w:rPr>
          <w:rStyle w:val="Hyperlink"/>
          <w:rFonts w:ascii="Arial" w:hAnsi="Arial" w:cs="Arial"/>
          <w:color w:val="005A96"/>
          <w:sz w:val="24"/>
          <w:szCs w:val="24"/>
          <w:shd w:val="clear" w:color="auto" w:fill="FFFFFF"/>
        </w:rPr>
      </w:pPr>
      <w:r w:rsidRPr="00593BEB">
        <w:rPr>
          <w:rFonts w:ascii="Arial" w:hAnsi="Arial" w:cs="Arial"/>
          <w:color w:val="333333"/>
          <w:sz w:val="24"/>
          <w:szCs w:val="24"/>
          <w:shd w:val="clear" w:color="auto" w:fill="FFFFFF"/>
        </w:rPr>
        <w:t>Available at:  </w:t>
      </w:r>
      <w:hyperlink r:id="rId26" w:history="1">
        <w:r w:rsidRPr="00593BEB">
          <w:rPr>
            <w:rStyle w:val="Hyperlink"/>
            <w:rFonts w:ascii="Arial" w:hAnsi="Arial" w:cs="Arial"/>
            <w:color w:val="005A96"/>
            <w:sz w:val="24"/>
            <w:szCs w:val="24"/>
            <w:shd w:val="clear" w:color="auto" w:fill="FFFFFF"/>
          </w:rPr>
          <w:t>http://www.legislation.gov.uk/ukpga/Geo5/7-8/21/content</w:t>
        </w:r>
      </w:hyperlink>
      <w:r w:rsidRPr="00593BEB">
        <w:rPr>
          <w:rStyle w:val="Hyperlink"/>
          <w:rFonts w:ascii="Arial" w:hAnsi="Arial" w:cs="Arial"/>
          <w:color w:val="005A96"/>
          <w:sz w:val="24"/>
          <w:szCs w:val="24"/>
          <w:shd w:val="clear" w:color="auto" w:fill="FFFFFF"/>
        </w:rPr>
        <w:t xml:space="preserve">  </w:t>
      </w:r>
    </w:p>
    <w:p w14:paraId="246BDB20" w14:textId="785F10BA" w:rsidR="006B4F9D" w:rsidRPr="00593BEB" w:rsidRDefault="006B4F9D" w:rsidP="006B4F9D">
      <w:pPr>
        <w:spacing w:after="0" w:line="240" w:lineRule="auto"/>
        <w:rPr>
          <w:rFonts w:ascii="Arial" w:hAnsi="Arial" w:cs="Arial"/>
          <w:sz w:val="24"/>
          <w:szCs w:val="24"/>
        </w:rPr>
      </w:pPr>
      <w:r w:rsidRPr="00593BEB">
        <w:rPr>
          <w:rStyle w:val="Hyperlink"/>
          <w:rFonts w:ascii="Arial" w:hAnsi="Arial" w:cs="Arial"/>
          <w:color w:val="auto"/>
          <w:sz w:val="24"/>
          <w:szCs w:val="24"/>
          <w:u w:val="none"/>
          <w:shd w:val="clear" w:color="auto" w:fill="FFFFFF"/>
        </w:rPr>
        <w:t>accessed on: 20.01.25</w:t>
      </w:r>
    </w:p>
    <w:p w14:paraId="08DF5628" w14:textId="77777777" w:rsidR="006B4F9D" w:rsidRPr="00593BEB" w:rsidRDefault="006B4F9D" w:rsidP="00FE4D8E">
      <w:pPr>
        <w:spacing w:after="0" w:line="240" w:lineRule="auto"/>
        <w:rPr>
          <w:rFonts w:ascii="Arial" w:eastAsia="Times New Roman" w:hAnsi="Arial" w:cs="Arial"/>
          <w:sz w:val="24"/>
          <w:szCs w:val="24"/>
          <w:lang w:eastAsia="en-GB"/>
        </w:rPr>
      </w:pPr>
    </w:p>
    <w:p w14:paraId="0E00F3D2" w14:textId="77777777" w:rsidR="00FE4D8E" w:rsidRPr="00593BEB" w:rsidRDefault="00FE4D8E" w:rsidP="00FE4D8E">
      <w:pPr>
        <w:spacing w:after="0" w:line="240" w:lineRule="auto"/>
        <w:rPr>
          <w:rFonts w:ascii="Arial" w:eastAsia="Times New Roman" w:hAnsi="Arial" w:cs="Arial"/>
          <w:sz w:val="24"/>
          <w:szCs w:val="24"/>
          <w:lang w:eastAsia="en-GB"/>
        </w:rPr>
      </w:pPr>
      <w:r w:rsidRPr="00593BEB">
        <w:rPr>
          <w:rFonts w:ascii="Arial" w:eastAsia="Times New Roman" w:hAnsi="Arial" w:cs="Arial"/>
          <w:sz w:val="24"/>
          <w:szCs w:val="24"/>
          <w:lang w:eastAsia="en-GB"/>
        </w:rPr>
        <w:t xml:space="preserve">Zhai, Y. </w:t>
      </w:r>
      <w:r w:rsidRPr="00593BEB">
        <w:rPr>
          <w:rFonts w:ascii="Arial" w:eastAsia="Times New Roman" w:hAnsi="Arial" w:cs="Arial"/>
          <w:i/>
          <w:iCs/>
          <w:sz w:val="24"/>
          <w:szCs w:val="24"/>
          <w:lang w:eastAsia="en-GB"/>
        </w:rPr>
        <w:t>et al.</w:t>
      </w:r>
      <w:r w:rsidRPr="00593BEB">
        <w:rPr>
          <w:rFonts w:ascii="Arial" w:eastAsia="Times New Roman" w:hAnsi="Arial" w:cs="Arial"/>
          <w:sz w:val="24"/>
          <w:szCs w:val="24"/>
          <w:lang w:eastAsia="en-GB"/>
        </w:rPr>
        <w:t xml:space="preserve"> (2022) “Barriers and facilitators to implementing a nursing clinical decision support system in a tertiary hospital setting: A qualitative study using the </w:t>
      </w:r>
      <w:r w:rsidRPr="00593BEB">
        <w:rPr>
          <w:rFonts w:ascii="Arial" w:eastAsia="Times New Roman" w:hAnsi="Arial" w:cs="Arial"/>
          <w:sz w:val="24"/>
          <w:szCs w:val="24"/>
          <w:lang w:eastAsia="en-GB"/>
        </w:rPr>
        <w:lastRenderedPageBreak/>
        <w:t xml:space="preserve">FITT framework,” </w:t>
      </w:r>
      <w:r w:rsidRPr="00593BEB">
        <w:rPr>
          <w:rFonts w:ascii="Arial" w:eastAsia="Times New Roman" w:hAnsi="Arial" w:cs="Arial"/>
          <w:i/>
          <w:iCs/>
          <w:sz w:val="24"/>
          <w:szCs w:val="24"/>
          <w:lang w:eastAsia="en-GB"/>
        </w:rPr>
        <w:t>International Journal of Medical Informatics</w:t>
      </w:r>
      <w:r w:rsidRPr="00593BEB">
        <w:rPr>
          <w:rFonts w:ascii="Arial" w:eastAsia="Times New Roman" w:hAnsi="Arial" w:cs="Arial"/>
          <w:sz w:val="24"/>
          <w:szCs w:val="24"/>
          <w:lang w:eastAsia="en-GB"/>
        </w:rPr>
        <w:t>, 166, p. 104841. Available at: https://doi.org/10.1016/j.ijmedinf.2022.104841.</w:t>
      </w:r>
    </w:p>
    <w:p w14:paraId="75E2CEBE" w14:textId="77777777" w:rsidR="00FE4D8E" w:rsidRPr="00593BEB" w:rsidRDefault="00FE4D8E" w:rsidP="008F21A2">
      <w:pPr>
        <w:spacing w:after="0" w:line="240" w:lineRule="auto"/>
        <w:rPr>
          <w:rFonts w:ascii="Arial" w:eastAsia="Times New Roman" w:hAnsi="Arial" w:cs="Arial"/>
          <w:sz w:val="24"/>
          <w:szCs w:val="24"/>
          <w:lang w:eastAsia="en-GB"/>
        </w:rPr>
      </w:pPr>
    </w:p>
    <w:sectPr w:rsidR="00FE4D8E" w:rsidRPr="00593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2139C"/>
    <w:multiLevelType w:val="multilevel"/>
    <w:tmpl w:val="1BC4B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DA078C"/>
    <w:multiLevelType w:val="multilevel"/>
    <w:tmpl w:val="80000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2A101B"/>
    <w:multiLevelType w:val="multilevel"/>
    <w:tmpl w:val="345C088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35750839"/>
    <w:multiLevelType w:val="multilevel"/>
    <w:tmpl w:val="6330B0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371164"/>
    <w:multiLevelType w:val="multilevel"/>
    <w:tmpl w:val="9AE60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297CD8"/>
    <w:multiLevelType w:val="multilevel"/>
    <w:tmpl w:val="9E34BA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34347D"/>
    <w:multiLevelType w:val="multilevel"/>
    <w:tmpl w:val="AB2E7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0"/>
  </w:num>
  <w:num w:numId="4">
    <w:abstractNumId w:val="3"/>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21A2"/>
    <w:rsid w:val="000304EE"/>
    <w:rsid w:val="000451AC"/>
    <w:rsid w:val="00070554"/>
    <w:rsid w:val="00090219"/>
    <w:rsid w:val="000A7F73"/>
    <w:rsid w:val="000B6643"/>
    <w:rsid w:val="000C2374"/>
    <w:rsid w:val="000E1DC8"/>
    <w:rsid w:val="000E72C5"/>
    <w:rsid w:val="00124F4E"/>
    <w:rsid w:val="00135386"/>
    <w:rsid w:val="00137D96"/>
    <w:rsid w:val="001529C3"/>
    <w:rsid w:val="0015402C"/>
    <w:rsid w:val="00156D82"/>
    <w:rsid w:val="00161717"/>
    <w:rsid w:val="001A5042"/>
    <w:rsid w:val="001E65A9"/>
    <w:rsid w:val="001F0E76"/>
    <w:rsid w:val="00216924"/>
    <w:rsid w:val="0022561B"/>
    <w:rsid w:val="00231E8D"/>
    <w:rsid w:val="00261D1B"/>
    <w:rsid w:val="002B40C4"/>
    <w:rsid w:val="0030411D"/>
    <w:rsid w:val="003857D6"/>
    <w:rsid w:val="00395090"/>
    <w:rsid w:val="003B4588"/>
    <w:rsid w:val="003D3056"/>
    <w:rsid w:val="003D757E"/>
    <w:rsid w:val="004516E2"/>
    <w:rsid w:val="004670B9"/>
    <w:rsid w:val="0047305F"/>
    <w:rsid w:val="004A0C38"/>
    <w:rsid w:val="004D7615"/>
    <w:rsid w:val="004E4725"/>
    <w:rsid w:val="004F6E95"/>
    <w:rsid w:val="00512A65"/>
    <w:rsid w:val="00526937"/>
    <w:rsid w:val="00593BEB"/>
    <w:rsid w:val="00594BF5"/>
    <w:rsid w:val="005A0026"/>
    <w:rsid w:val="005A1628"/>
    <w:rsid w:val="005A6713"/>
    <w:rsid w:val="005C7A5E"/>
    <w:rsid w:val="005C7FBE"/>
    <w:rsid w:val="006041B0"/>
    <w:rsid w:val="00627A57"/>
    <w:rsid w:val="00690568"/>
    <w:rsid w:val="00691516"/>
    <w:rsid w:val="006A25B6"/>
    <w:rsid w:val="006A69E1"/>
    <w:rsid w:val="006B4F9D"/>
    <w:rsid w:val="006C6FB0"/>
    <w:rsid w:val="006D54B7"/>
    <w:rsid w:val="00702F3C"/>
    <w:rsid w:val="00702F73"/>
    <w:rsid w:val="007409EB"/>
    <w:rsid w:val="00766B8F"/>
    <w:rsid w:val="007C288E"/>
    <w:rsid w:val="007C723E"/>
    <w:rsid w:val="007C7740"/>
    <w:rsid w:val="007D396B"/>
    <w:rsid w:val="0082128C"/>
    <w:rsid w:val="008238D6"/>
    <w:rsid w:val="00823E79"/>
    <w:rsid w:val="00887C6D"/>
    <w:rsid w:val="008901D7"/>
    <w:rsid w:val="008910D2"/>
    <w:rsid w:val="008A706E"/>
    <w:rsid w:val="008E4EC8"/>
    <w:rsid w:val="008E64B7"/>
    <w:rsid w:val="008F2156"/>
    <w:rsid w:val="008F21A2"/>
    <w:rsid w:val="00904FC5"/>
    <w:rsid w:val="009122E5"/>
    <w:rsid w:val="00915127"/>
    <w:rsid w:val="00927935"/>
    <w:rsid w:val="0093292C"/>
    <w:rsid w:val="009574A6"/>
    <w:rsid w:val="00980ABB"/>
    <w:rsid w:val="009A7392"/>
    <w:rsid w:val="009B6898"/>
    <w:rsid w:val="009F23A0"/>
    <w:rsid w:val="009F60BB"/>
    <w:rsid w:val="00A33ADD"/>
    <w:rsid w:val="00A40CBA"/>
    <w:rsid w:val="00A63B90"/>
    <w:rsid w:val="00A733E1"/>
    <w:rsid w:val="00AA0EF4"/>
    <w:rsid w:val="00AA7996"/>
    <w:rsid w:val="00AF04AE"/>
    <w:rsid w:val="00B05D0E"/>
    <w:rsid w:val="00B1512B"/>
    <w:rsid w:val="00B26032"/>
    <w:rsid w:val="00B60906"/>
    <w:rsid w:val="00B71379"/>
    <w:rsid w:val="00B775E2"/>
    <w:rsid w:val="00BA14E4"/>
    <w:rsid w:val="00BB28E5"/>
    <w:rsid w:val="00BC5B26"/>
    <w:rsid w:val="00BE2237"/>
    <w:rsid w:val="00C04C46"/>
    <w:rsid w:val="00C3205C"/>
    <w:rsid w:val="00C47578"/>
    <w:rsid w:val="00C56990"/>
    <w:rsid w:val="00C8289F"/>
    <w:rsid w:val="00C82DF2"/>
    <w:rsid w:val="00C877EE"/>
    <w:rsid w:val="00C87C38"/>
    <w:rsid w:val="00CB3D05"/>
    <w:rsid w:val="00CE4025"/>
    <w:rsid w:val="00CF4080"/>
    <w:rsid w:val="00D1379D"/>
    <w:rsid w:val="00D2125E"/>
    <w:rsid w:val="00D213E1"/>
    <w:rsid w:val="00D24734"/>
    <w:rsid w:val="00D73511"/>
    <w:rsid w:val="00D86D64"/>
    <w:rsid w:val="00D9049E"/>
    <w:rsid w:val="00D909A3"/>
    <w:rsid w:val="00DA5E1E"/>
    <w:rsid w:val="00DD307A"/>
    <w:rsid w:val="00DE21F5"/>
    <w:rsid w:val="00E11E03"/>
    <w:rsid w:val="00E161DC"/>
    <w:rsid w:val="00E3141E"/>
    <w:rsid w:val="00E53E2C"/>
    <w:rsid w:val="00EA4A4E"/>
    <w:rsid w:val="00EA4B22"/>
    <w:rsid w:val="00EA75CE"/>
    <w:rsid w:val="00EB21D1"/>
    <w:rsid w:val="00ED4DD6"/>
    <w:rsid w:val="00EE5AF1"/>
    <w:rsid w:val="00F039C3"/>
    <w:rsid w:val="00F60C9D"/>
    <w:rsid w:val="00F807BB"/>
    <w:rsid w:val="00F81BAA"/>
    <w:rsid w:val="00F927F7"/>
    <w:rsid w:val="00F96CD1"/>
    <w:rsid w:val="00FE4D8E"/>
    <w:rsid w:val="00FE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06425"/>
  <w15:chartTrackingRefBased/>
  <w15:docId w15:val="{6CCC28B1-D49A-47D3-8B68-178BE52AA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5C7A5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C7A5E"/>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C7A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7A5E"/>
    <w:pPr>
      <w:ind w:left="720"/>
      <w:contextualSpacing/>
    </w:pPr>
  </w:style>
  <w:style w:type="character" w:styleId="Hyperlink">
    <w:name w:val="Hyperlink"/>
    <w:basedOn w:val="DefaultParagraphFont"/>
    <w:uiPriority w:val="99"/>
    <w:unhideWhenUsed/>
    <w:rsid w:val="005C7A5E"/>
    <w:rPr>
      <w:color w:val="0000FF"/>
      <w:u w:val="single"/>
    </w:rPr>
  </w:style>
  <w:style w:type="character" w:customStyle="1" w:styleId="cit-auth">
    <w:name w:val="cit-auth"/>
    <w:basedOn w:val="DefaultParagraphFont"/>
    <w:rsid w:val="00C47578"/>
  </w:style>
  <w:style w:type="character" w:customStyle="1" w:styleId="cit-comment">
    <w:name w:val="cit-comment"/>
    <w:basedOn w:val="DefaultParagraphFont"/>
    <w:rsid w:val="00C47578"/>
  </w:style>
  <w:style w:type="character" w:styleId="FollowedHyperlink">
    <w:name w:val="FollowedHyperlink"/>
    <w:basedOn w:val="DefaultParagraphFont"/>
    <w:uiPriority w:val="99"/>
    <w:semiHidden/>
    <w:unhideWhenUsed/>
    <w:rsid w:val="00904F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82028">
      <w:bodyDiv w:val="1"/>
      <w:marLeft w:val="0"/>
      <w:marRight w:val="0"/>
      <w:marTop w:val="0"/>
      <w:marBottom w:val="0"/>
      <w:divBdr>
        <w:top w:val="none" w:sz="0" w:space="0" w:color="auto"/>
        <w:left w:val="none" w:sz="0" w:space="0" w:color="auto"/>
        <w:bottom w:val="none" w:sz="0" w:space="0" w:color="auto"/>
        <w:right w:val="none" w:sz="0" w:space="0" w:color="auto"/>
      </w:divBdr>
      <w:divsChild>
        <w:div w:id="1309162927">
          <w:marLeft w:val="0"/>
          <w:marRight w:val="0"/>
          <w:marTop w:val="0"/>
          <w:marBottom w:val="0"/>
          <w:divBdr>
            <w:top w:val="none" w:sz="0" w:space="0" w:color="auto"/>
            <w:left w:val="none" w:sz="0" w:space="0" w:color="auto"/>
            <w:bottom w:val="none" w:sz="0" w:space="0" w:color="auto"/>
            <w:right w:val="none" w:sz="0" w:space="0" w:color="auto"/>
          </w:divBdr>
        </w:div>
      </w:divsChild>
    </w:div>
    <w:div w:id="23755433">
      <w:bodyDiv w:val="1"/>
      <w:marLeft w:val="0"/>
      <w:marRight w:val="0"/>
      <w:marTop w:val="0"/>
      <w:marBottom w:val="0"/>
      <w:divBdr>
        <w:top w:val="none" w:sz="0" w:space="0" w:color="auto"/>
        <w:left w:val="none" w:sz="0" w:space="0" w:color="auto"/>
        <w:bottom w:val="none" w:sz="0" w:space="0" w:color="auto"/>
        <w:right w:val="none" w:sz="0" w:space="0" w:color="auto"/>
      </w:divBdr>
      <w:divsChild>
        <w:div w:id="177934787">
          <w:marLeft w:val="0"/>
          <w:marRight w:val="0"/>
          <w:marTop w:val="0"/>
          <w:marBottom w:val="0"/>
          <w:divBdr>
            <w:top w:val="none" w:sz="0" w:space="0" w:color="auto"/>
            <w:left w:val="none" w:sz="0" w:space="0" w:color="auto"/>
            <w:bottom w:val="none" w:sz="0" w:space="0" w:color="auto"/>
            <w:right w:val="none" w:sz="0" w:space="0" w:color="auto"/>
          </w:divBdr>
        </w:div>
      </w:divsChild>
    </w:div>
    <w:div w:id="515078815">
      <w:bodyDiv w:val="1"/>
      <w:marLeft w:val="0"/>
      <w:marRight w:val="0"/>
      <w:marTop w:val="0"/>
      <w:marBottom w:val="0"/>
      <w:divBdr>
        <w:top w:val="none" w:sz="0" w:space="0" w:color="auto"/>
        <w:left w:val="none" w:sz="0" w:space="0" w:color="auto"/>
        <w:bottom w:val="none" w:sz="0" w:space="0" w:color="auto"/>
        <w:right w:val="none" w:sz="0" w:space="0" w:color="auto"/>
      </w:divBdr>
    </w:div>
    <w:div w:id="520972304">
      <w:bodyDiv w:val="1"/>
      <w:marLeft w:val="0"/>
      <w:marRight w:val="0"/>
      <w:marTop w:val="0"/>
      <w:marBottom w:val="0"/>
      <w:divBdr>
        <w:top w:val="none" w:sz="0" w:space="0" w:color="auto"/>
        <w:left w:val="none" w:sz="0" w:space="0" w:color="auto"/>
        <w:bottom w:val="none" w:sz="0" w:space="0" w:color="auto"/>
        <w:right w:val="none" w:sz="0" w:space="0" w:color="auto"/>
      </w:divBdr>
      <w:divsChild>
        <w:div w:id="1410731392">
          <w:marLeft w:val="0"/>
          <w:marRight w:val="0"/>
          <w:marTop w:val="0"/>
          <w:marBottom w:val="0"/>
          <w:divBdr>
            <w:top w:val="none" w:sz="0" w:space="0" w:color="auto"/>
            <w:left w:val="none" w:sz="0" w:space="0" w:color="auto"/>
            <w:bottom w:val="none" w:sz="0" w:space="0" w:color="auto"/>
            <w:right w:val="none" w:sz="0" w:space="0" w:color="auto"/>
          </w:divBdr>
        </w:div>
        <w:div w:id="1895771577">
          <w:marLeft w:val="0"/>
          <w:marRight w:val="0"/>
          <w:marTop w:val="0"/>
          <w:marBottom w:val="0"/>
          <w:divBdr>
            <w:top w:val="none" w:sz="0" w:space="0" w:color="auto"/>
            <w:left w:val="none" w:sz="0" w:space="0" w:color="auto"/>
            <w:bottom w:val="none" w:sz="0" w:space="0" w:color="auto"/>
            <w:right w:val="none" w:sz="0" w:space="0" w:color="auto"/>
          </w:divBdr>
        </w:div>
      </w:divsChild>
    </w:div>
    <w:div w:id="547230592">
      <w:bodyDiv w:val="1"/>
      <w:marLeft w:val="0"/>
      <w:marRight w:val="0"/>
      <w:marTop w:val="0"/>
      <w:marBottom w:val="0"/>
      <w:divBdr>
        <w:top w:val="none" w:sz="0" w:space="0" w:color="auto"/>
        <w:left w:val="none" w:sz="0" w:space="0" w:color="auto"/>
        <w:bottom w:val="none" w:sz="0" w:space="0" w:color="auto"/>
        <w:right w:val="none" w:sz="0" w:space="0" w:color="auto"/>
      </w:divBdr>
    </w:div>
    <w:div w:id="610552098">
      <w:bodyDiv w:val="1"/>
      <w:marLeft w:val="0"/>
      <w:marRight w:val="0"/>
      <w:marTop w:val="0"/>
      <w:marBottom w:val="0"/>
      <w:divBdr>
        <w:top w:val="none" w:sz="0" w:space="0" w:color="auto"/>
        <w:left w:val="none" w:sz="0" w:space="0" w:color="auto"/>
        <w:bottom w:val="none" w:sz="0" w:space="0" w:color="auto"/>
        <w:right w:val="none" w:sz="0" w:space="0" w:color="auto"/>
      </w:divBdr>
      <w:divsChild>
        <w:div w:id="445005372">
          <w:marLeft w:val="0"/>
          <w:marRight w:val="0"/>
          <w:marTop w:val="0"/>
          <w:marBottom w:val="0"/>
          <w:divBdr>
            <w:top w:val="none" w:sz="0" w:space="0" w:color="auto"/>
            <w:left w:val="none" w:sz="0" w:space="0" w:color="auto"/>
            <w:bottom w:val="none" w:sz="0" w:space="0" w:color="auto"/>
            <w:right w:val="none" w:sz="0" w:space="0" w:color="auto"/>
          </w:divBdr>
        </w:div>
      </w:divsChild>
    </w:div>
    <w:div w:id="921835346">
      <w:bodyDiv w:val="1"/>
      <w:marLeft w:val="0"/>
      <w:marRight w:val="0"/>
      <w:marTop w:val="0"/>
      <w:marBottom w:val="0"/>
      <w:divBdr>
        <w:top w:val="none" w:sz="0" w:space="0" w:color="auto"/>
        <w:left w:val="none" w:sz="0" w:space="0" w:color="auto"/>
        <w:bottom w:val="none" w:sz="0" w:space="0" w:color="auto"/>
        <w:right w:val="none" w:sz="0" w:space="0" w:color="auto"/>
      </w:divBdr>
      <w:divsChild>
        <w:div w:id="21051261">
          <w:marLeft w:val="0"/>
          <w:marRight w:val="0"/>
          <w:marTop w:val="0"/>
          <w:marBottom w:val="0"/>
          <w:divBdr>
            <w:top w:val="none" w:sz="0" w:space="0" w:color="auto"/>
            <w:left w:val="none" w:sz="0" w:space="0" w:color="auto"/>
            <w:bottom w:val="none" w:sz="0" w:space="0" w:color="auto"/>
            <w:right w:val="none" w:sz="0" w:space="0" w:color="auto"/>
          </w:divBdr>
          <w:divsChild>
            <w:div w:id="731538419">
              <w:marLeft w:val="0"/>
              <w:marRight w:val="0"/>
              <w:marTop w:val="0"/>
              <w:marBottom w:val="0"/>
              <w:divBdr>
                <w:top w:val="none" w:sz="0" w:space="0" w:color="auto"/>
                <w:left w:val="none" w:sz="0" w:space="0" w:color="auto"/>
                <w:bottom w:val="none" w:sz="0" w:space="0" w:color="auto"/>
                <w:right w:val="none" w:sz="0" w:space="0" w:color="auto"/>
              </w:divBdr>
              <w:divsChild>
                <w:div w:id="1237280312">
                  <w:marLeft w:val="0"/>
                  <w:marRight w:val="0"/>
                  <w:marTop w:val="0"/>
                  <w:marBottom w:val="0"/>
                  <w:divBdr>
                    <w:top w:val="none" w:sz="0" w:space="0" w:color="auto"/>
                    <w:left w:val="none" w:sz="0" w:space="0" w:color="auto"/>
                    <w:bottom w:val="none" w:sz="0" w:space="0" w:color="auto"/>
                    <w:right w:val="none" w:sz="0" w:space="0" w:color="auto"/>
                  </w:divBdr>
                  <w:divsChild>
                    <w:div w:id="512573650">
                      <w:marLeft w:val="0"/>
                      <w:marRight w:val="0"/>
                      <w:marTop w:val="0"/>
                      <w:marBottom w:val="0"/>
                      <w:divBdr>
                        <w:top w:val="none" w:sz="0" w:space="0" w:color="auto"/>
                        <w:left w:val="none" w:sz="0" w:space="0" w:color="auto"/>
                        <w:bottom w:val="none" w:sz="0" w:space="0" w:color="auto"/>
                        <w:right w:val="none" w:sz="0" w:space="0" w:color="auto"/>
                      </w:divBdr>
                      <w:divsChild>
                        <w:div w:id="1209223974">
                          <w:marLeft w:val="0"/>
                          <w:marRight w:val="0"/>
                          <w:marTop w:val="0"/>
                          <w:marBottom w:val="0"/>
                          <w:divBdr>
                            <w:top w:val="none" w:sz="0" w:space="0" w:color="auto"/>
                            <w:left w:val="none" w:sz="0" w:space="0" w:color="auto"/>
                            <w:bottom w:val="none" w:sz="0" w:space="0" w:color="auto"/>
                            <w:right w:val="none" w:sz="0" w:space="0" w:color="auto"/>
                          </w:divBdr>
                          <w:divsChild>
                            <w:div w:id="1671985042">
                              <w:marLeft w:val="0"/>
                              <w:marRight w:val="0"/>
                              <w:marTop w:val="0"/>
                              <w:marBottom w:val="0"/>
                              <w:divBdr>
                                <w:top w:val="none" w:sz="0" w:space="0" w:color="auto"/>
                                <w:left w:val="none" w:sz="0" w:space="0" w:color="auto"/>
                                <w:bottom w:val="none" w:sz="0" w:space="0" w:color="auto"/>
                                <w:right w:val="none" w:sz="0" w:space="0" w:color="auto"/>
                              </w:divBdr>
                              <w:divsChild>
                                <w:div w:id="488519186">
                                  <w:marLeft w:val="0"/>
                                  <w:marRight w:val="0"/>
                                  <w:marTop w:val="0"/>
                                  <w:marBottom w:val="0"/>
                                  <w:divBdr>
                                    <w:top w:val="none" w:sz="0" w:space="0" w:color="auto"/>
                                    <w:left w:val="none" w:sz="0" w:space="0" w:color="auto"/>
                                    <w:bottom w:val="none" w:sz="0" w:space="0" w:color="auto"/>
                                    <w:right w:val="none" w:sz="0" w:space="0" w:color="auto"/>
                                  </w:divBdr>
                                  <w:divsChild>
                                    <w:div w:id="1161386718">
                                      <w:marLeft w:val="0"/>
                                      <w:marRight w:val="0"/>
                                      <w:marTop w:val="0"/>
                                      <w:marBottom w:val="0"/>
                                      <w:divBdr>
                                        <w:top w:val="none" w:sz="0" w:space="0" w:color="auto"/>
                                        <w:left w:val="none" w:sz="0" w:space="0" w:color="auto"/>
                                        <w:bottom w:val="none" w:sz="0" w:space="0" w:color="auto"/>
                                        <w:right w:val="none" w:sz="0" w:space="0" w:color="auto"/>
                                      </w:divBdr>
                                      <w:divsChild>
                                        <w:div w:id="333925136">
                                          <w:marLeft w:val="0"/>
                                          <w:marRight w:val="0"/>
                                          <w:marTop w:val="0"/>
                                          <w:marBottom w:val="0"/>
                                          <w:divBdr>
                                            <w:top w:val="none" w:sz="0" w:space="0" w:color="auto"/>
                                            <w:left w:val="none" w:sz="0" w:space="0" w:color="auto"/>
                                            <w:bottom w:val="none" w:sz="0" w:space="0" w:color="auto"/>
                                            <w:right w:val="none" w:sz="0" w:space="0" w:color="auto"/>
                                          </w:divBdr>
                                          <w:divsChild>
                                            <w:div w:id="1444225241">
                                              <w:marLeft w:val="0"/>
                                              <w:marRight w:val="0"/>
                                              <w:marTop w:val="0"/>
                                              <w:marBottom w:val="0"/>
                                              <w:divBdr>
                                                <w:top w:val="none" w:sz="0" w:space="0" w:color="auto"/>
                                                <w:left w:val="none" w:sz="0" w:space="0" w:color="auto"/>
                                                <w:bottom w:val="none" w:sz="0" w:space="0" w:color="auto"/>
                                                <w:right w:val="none" w:sz="0" w:space="0" w:color="auto"/>
                                              </w:divBdr>
                                              <w:divsChild>
                                                <w:div w:id="1257440909">
                                                  <w:marLeft w:val="0"/>
                                                  <w:marRight w:val="0"/>
                                                  <w:marTop w:val="0"/>
                                                  <w:marBottom w:val="0"/>
                                                  <w:divBdr>
                                                    <w:top w:val="none" w:sz="0" w:space="0" w:color="auto"/>
                                                    <w:left w:val="none" w:sz="0" w:space="0" w:color="auto"/>
                                                    <w:bottom w:val="none" w:sz="0" w:space="0" w:color="auto"/>
                                                    <w:right w:val="none" w:sz="0" w:space="0" w:color="auto"/>
                                                  </w:divBdr>
                                                  <w:divsChild>
                                                    <w:div w:id="1000935674">
                                                      <w:marLeft w:val="0"/>
                                                      <w:marRight w:val="0"/>
                                                      <w:marTop w:val="0"/>
                                                      <w:marBottom w:val="0"/>
                                                      <w:divBdr>
                                                        <w:top w:val="none" w:sz="0" w:space="0" w:color="auto"/>
                                                        <w:left w:val="none" w:sz="0" w:space="0" w:color="auto"/>
                                                        <w:bottom w:val="none" w:sz="0" w:space="0" w:color="auto"/>
                                                        <w:right w:val="none" w:sz="0" w:space="0" w:color="auto"/>
                                                      </w:divBdr>
                                                      <w:divsChild>
                                                        <w:div w:id="3535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340137">
                                              <w:marLeft w:val="0"/>
                                              <w:marRight w:val="0"/>
                                              <w:marTop w:val="0"/>
                                              <w:marBottom w:val="0"/>
                                              <w:divBdr>
                                                <w:top w:val="none" w:sz="0" w:space="0" w:color="auto"/>
                                                <w:left w:val="none" w:sz="0" w:space="0" w:color="auto"/>
                                                <w:bottom w:val="none" w:sz="0" w:space="0" w:color="auto"/>
                                                <w:right w:val="none" w:sz="0" w:space="0" w:color="auto"/>
                                              </w:divBdr>
                                              <w:divsChild>
                                                <w:div w:id="349989559">
                                                  <w:marLeft w:val="0"/>
                                                  <w:marRight w:val="0"/>
                                                  <w:marTop w:val="0"/>
                                                  <w:marBottom w:val="0"/>
                                                  <w:divBdr>
                                                    <w:top w:val="none" w:sz="0" w:space="0" w:color="auto"/>
                                                    <w:left w:val="none" w:sz="0" w:space="0" w:color="auto"/>
                                                    <w:bottom w:val="none" w:sz="0" w:space="0" w:color="auto"/>
                                                    <w:right w:val="none" w:sz="0" w:space="0" w:color="auto"/>
                                                  </w:divBdr>
                                                  <w:divsChild>
                                                    <w:div w:id="181288931">
                                                      <w:marLeft w:val="0"/>
                                                      <w:marRight w:val="0"/>
                                                      <w:marTop w:val="0"/>
                                                      <w:marBottom w:val="0"/>
                                                      <w:divBdr>
                                                        <w:top w:val="none" w:sz="0" w:space="0" w:color="auto"/>
                                                        <w:left w:val="none" w:sz="0" w:space="0" w:color="auto"/>
                                                        <w:bottom w:val="none" w:sz="0" w:space="0" w:color="auto"/>
                                                        <w:right w:val="none" w:sz="0" w:space="0" w:color="auto"/>
                                                      </w:divBdr>
                                                      <w:divsChild>
                                                        <w:div w:id="82747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32310662">
          <w:marLeft w:val="0"/>
          <w:marRight w:val="0"/>
          <w:marTop w:val="0"/>
          <w:marBottom w:val="0"/>
          <w:divBdr>
            <w:top w:val="none" w:sz="0" w:space="0" w:color="auto"/>
            <w:left w:val="none" w:sz="0" w:space="0" w:color="auto"/>
            <w:bottom w:val="none" w:sz="0" w:space="0" w:color="auto"/>
            <w:right w:val="none" w:sz="0" w:space="0" w:color="auto"/>
          </w:divBdr>
          <w:divsChild>
            <w:div w:id="1154637431">
              <w:marLeft w:val="0"/>
              <w:marRight w:val="0"/>
              <w:marTop w:val="0"/>
              <w:marBottom w:val="0"/>
              <w:divBdr>
                <w:top w:val="none" w:sz="0" w:space="0" w:color="auto"/>
                <w:left w:val="none" w:sz="0" w:space="0" w:color="auto"/>
                <w:bottom w:val="none" w:sz="0" w:space="0" w:color="auto"/>
                <w:right w:val="none" w:sz="0" w:space="0" w:color="auto"/>
              </w:divBdr>
              <w:divsChild>
                <w:div w:id="697777449">
                  <w:marLeft w:val="0"/>
                  <w:marRight w:val="0"/>
                  <w:marTop w:val="0"/>
                  <w:marBottom w:val="0"/>
                  <w:divBdr>
                    <w:top w:val="none" w:sz="0" w:space="0" w:color="auto"/>
                    <w:left w:val="none" w:sz="0" w:space="0" w:color="auto"/>
                    <w:bottom w:val="none" w:sz="0" w:space="0" w:color="auto"/>
                    <w:right w:val="none" w:sz="0" w:space="0" w:color="auto"/>
                  </w:divBdr>
                  <w:divsChild>
                    <w:div w:id="2117627459">
                      <w:marLeft w:val="0"/>
                      <w:marRight w:val="0"/>
                      <w:marTop w:val="0"/>
                      <w:marBottom w:val="0"/>
                      <w:divBdr>
                        <w:top w:val="none" w:sz="0" w:space="0" w:color="auto"/>
                        <w:left w:val="none" w:sz="0" w:space="0" w:color="auto"/>
                        <w:bottom w:val="none" w:sz="0" w:space="0" w:color="auto"/>
                        <w:right w:val="none" w:sz="0" w:space="0" w:color="auto"/>
                      </w:divBdr>
                      <w:divsChild>
                        <w:div w:id="708066265">
                          <w:marLeft w:val="0"/>
                          <w:marRight w:val="0"/>
                          <w:marTop w:val="0"/>
                          <w:marBottom w:val="0"/>
                          <w:divBdr>
                            <w:top w:val="none" w:sz="0" w:space="0" w:color="auto"/>
                            <w:left w:val="none" w:sz="0" w:space="0" w:color="auto"/>
                            <w:bottom w:val="none" w:sz="0" w:space="0" w:color="auto"/>
                            <w:right w:val="none" w:sz="0" w:space="0" w:color="auto"/>
                          </w:divBdr>
                          <w:divsChild>
                            <w:div w:id="850486260">
                              <w:marLeft w:val="0"/>
                              <w:marRight w:val="0"/>
                              <w:marTop w:val="0"/>
                              <w:marBottom w:val="0"/>
                              <w:divBdr>
                                <w:top w:val="none" w:sz="0" w:space="0" w:color="auto"/>
                                <w:left w:val="none" w:sz="0" w:space="0" w:color="auto"/>
                                <w:bottom w:val="none" w:sz="0" w:space="0" w:color="auto"/>
                                <w:right w:val="none" w:sz="0" w:space="0" w:color="auto"/>
                              </w:divBdr>
                              <w:divsChild>
                                <w:div w:id="201988853">
                                  <w:marLeft w:val="0"/>
                                  <w:marRight w:val="0"/>
                                  <w:marTop w:val="0"/>
                                  <w:marBottom w:val="0"/>
                                  <w:divBdr>
                                    <w:top w:val="none" w:sz="0" w:space="0" w:color="auto"/>
                                    <w:left w:val="none" w:sz="0" w:space="0" w:color="auto"/>
                                    <w:bottom w:val="none" w:sz="0" w:space="0" w:color="auto"/>
                                    <w:right w:val="none" w:sz="0" w:space="0" w:color="auto"/>
                                  </w:divBdr>
                                  <w:divsChild>
                                    <w:div w:id="1589117355">
                                      <w:marLeft w:val="0"/>
                                      <w:marRight w:val="0"/>
                                      <w:marTop w:val="0"/>
                                      <w:marBottom w:val="0"/>
                                      <w:divBdr>
                                        <w:top w:val="none" w:sz="0" w:space="0" w:color="auto"/>
                                        <w:left w:val="none" w:sz="0" w:space="0" w:color="auto"/>
                                        <w:bottom w:val="none" w:sz="0" w:space="0" w:color="auto"/>
                                        <w:right w:val="none" w:sz="0" w:space="0" w:color="auto"/>
                                      </w:divBdr>
                                      <w:divsChild>
                                        <w:div w:id="1961063591">
                                          <w:marLeft w:val="0"/>
                                          <w:marRight w:val="0"/>
                                          <w:marTop w:val="0"/>
                                          <w:marBottom w:val="0"/>
                                          <w:divBdr>
                                            <w:top w:val="none" w:sz="0" w:space="0" w:color="auto"/>
                                            <w:left w:val="none" w:sz="0" w:space="0" w:color="auto"/>
                                            <w:bottom w:val="none" w:sz="0" w:space="0" w:color="auto"/>
                                            <w:right w:val="none" w:sz="0" w:space="0" w:color="auto"/>
                                          </w:divBdr>
                                          <w:divsChild>
                                            <w:div w:id="75904809">
                                              <w:marLeft w:val="0"/>
                                              <w:marRight w:val="0"/>
                                              <w:marTop w:val="0"/>
                                              <w:marBottom w:val="0"/>
                                              <w:divBdr>
                                                <w:top w:val="none" w:sz="0" w:space="0" w:color="auto"/>
                                                <w:left w:val="none" w:sz="0" w:space="0" w:color="auto"/>
                                                <w:bottom w:val="none" w:sz="0" w:space="0" w:color="auto"/>
                                                <w:right w:val="none" w:sz="0" w:space="0" w:color="auto"/>
                                              </w:divBdr>
                                              <w:divsChild>
                                                <w:div w:id="1412658808">
                                                  <w:marLeft w:val="0"/>
                                                  <w:marRight w:val="0"/>
                                                  <w:marTop w:val="0"/>
                                                  <w:marBottom w:val="0"/>
                                                  <w:divBdr>
                                                    <w:top w:val="none" w:sz="0" w:space="0" w:color="auto"/>
                                                    <w:left w:val="none" w:sz="0" w:space="0" w:color="auto"/>
                                                    <w:bottom w:val="none" w:sz="0" w:space="0" w:color="auto"/>
                                                    <w:right w:val="none" w:sz="0" w:space="0" w:color="auto"/>
                                                  </w:divBdr>
                                                  <w:divsChild>
                                                    <w:div w:id="164057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95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733372">
                  <w:marLeft w:val="0"/>
                  <w:marRight w:val="0"/>
                  <w:marTop w:val="0"/>
                  <w:marBottom w:val="0"/>
                  <w:divBdr>
                    <w:top w:val="none" w:sz="0" w:space="0" w:color="auto"/>
                    <w:left w:val="none" w:sz="0" w:space="0" w:color="auto"/>
                    <w:bottom w:val="none" w:sz="0" w:space="0" w:color="auto"/>
                    <w:right w:val="none" w:sz="0" w:space="0" w:color="auto"/>
                  </w:divBdr>
                  <w:divsChild>
                    <w:div w:id="1047291375">
                      <w:marLeft w:val="0"/>
                      <w:marRight w:val="0"/>
                      <w:marTop w:val="0"/>
                      <w:marBottom w:val="0"/>
                      <w:divBdr>
                        <w:top w:val="none" w:sz="0" w:space="0" w:color="auto"/>
                        <w:left w:val="none" w:sz="0" w:space="0" w:color="auto"/>
                        <w:bottom w:val="none" w:sz="0" w:space="0" w:color="auto"/>
                        <w:right w:val="none" w:sz="0" w:space="0" w:color="auto"/>
                      </w:divBdr>
                      <w:divsChild>
                        <w:div w:id="198523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6249286">
      <w:bodyDiv w:val="1"/>
      <w:marLeft w:val="0"/>
      <w:marRight w:val="0"/>
      <w:marTop w:val="0"/>
      <w:marBottom w:val="0"/>
      <w:divBdr>
        <w:top w:val="none" w:sz="0" w:space="0" w:color="auto"/>
        <w:left w:val="none" w:sz="0" w:space="0" w:color="auto"/>
        <w:bottom w:val="none" w:sz="0" w:space="0" w:color="auto"/>
        <w:right w:val="none" w:sz="0" w:space="0" w:color="auto"/>
      </w:divBdr>
      <w:divsChild>
        <w:div w:id="484318625">
          <w:marLeft w:val="0"/>
          <w:marRight w:val="0"/>
          <w:marTop w:val="0"/>
          <w:marBottom w:val="0"/>
          <w:divBdr>
            <w:top w:val="none" w:sz="0" w:space="0" w:color="auto"/>
            <w:left w:val="none" w:sz="0" w:space="0" w:color="auto"/>
            <w:bottom w:val="none" w:sz="0" w:space="0" w:color="auto"/>
            <w:right w:val="none" w:sz="0" w:space="0" w:color="auto"/>
          </w:divBdr>
        </w:div>
      </w:divsChild>
    </w:div>
    <w:div w:id="2007123588">
      <w:bodyDiv w:val="1"/>
      <w:marLeft w:val="0"/>
      <w:marRight w:val="0"/>
      <w:marTop w:val="0"/>
      <w:marBottom w:val="0"/>
      <w:divBdr>
        <w:top w:val="none" w:sz="0" w:space="0" w:color="auto"/>
        <w:left w:val="none" w:sz="0" w:space="0" w:color="auto"/>
        <w:bottom w:val="none" w:sz="0" w:space="0" w:color="auto"/>
        <w:right w:val="none" w:sz="0" w:space="0" w:color="auto"/>
      </w:divBdr>
      <w:divsChild>
        <w:div w:id="269122018">
          <w:marLeft w:val="0"/>
          <w:marRight w:val="0"/>
          <w:marTop w:val="0"/>
          <w:marBottom w:val="0"/>
          <w:divBdr>
            <w:top w:val="none" w:sz="0" w:space="0" w:color="auto"/>
            <w:left w:val="none" w:sz="0" w:space="0" w:color="auto"/>
            <w:bottom w:val="none" w:sz="0" w:space="0" w:color="auto"/>
            <w:right w:val="none" w:sz="0" w:space="0" w:color="auto"/>
          </w:divBdr>
        </w:div>
        <w:div w:id="2018385705">
          <w:marLeft w:val="0"/>
          <w:marRight w:val="0"/>
          <w:marTop w:val="0"/>
          <w:marBottom w:val="0"/>
          <w:divBdr>
            <w:top w:val="none" w:sz="0" w:space="0" w:color="auto"/>
            <w:left w:val="none" w:sz="0" w:space="0" w:color="auto"/>
            <w:bottom w:val="none" w:sz="0" w:space="0" w:color="auto"/>
            <w:right w:val="none" w:sz="0" w:space="0" w:color="auto"/>
          </w:divBdr>
        </w:div>
        <w:div w:id="8724008">
          <w:marLeft w:val="0"/>
          <w:marRight w:val="0"/>
          <w:marTop w:val="0"/>
          <w:marBottom w:val="0"/>
          <w:divBdr>
            <w:top w:val="none" w:sz="0" w:space="0" w:color="auto"/>
            <w:left w:val="none" w:sz="0" w:space="0" w:color="auto"/>
            <w:bottom w:val="none" w:sz="0" w:space="0" w:color="auto"/>
            <w:right w:val="none" w:sz="0" w:space="0" w:color="auto"/>
          </w:divBdr>
        </w:div>
        <w:div w:id="6257716">
          <w:marLeft w:val="0"/>
          <w:marRight w:val="0"/>
          <w:marTop w:val="0"/>
          <w:marBottom w:val="0"/>
          <w:divBdr>
            <w:top w:val="none" w:sz="0" w:space="0" w:color="auto"/>
            <w:left w:val="none" w:sz="0" w:space="0" w:color="auto"/>
            <w:bottom w:val="none" w:sz="0" w:space="0" w:color="auto"/>
            <w:right w:val="none" w:sz="0" w:space="0" w:color="auto"/>
          </w:divBdr>
        </w:div>
        <w:div w:id="155540020">
          <w:marLeft w:val="0"/>
          <w:marRight w:val="0"/>
          <w:marTop w:val="0"/>
          <w:marBottom w:val="0"/>
          <w:divBdr>
            <w:top w:val="none" w:sz="0" w:space="0" w:color="auto"/>
            <w:left w:val="none" w:sz="0" w:space="0" w:color="auto"/>
            <w:bottom w:val="none" w:sz="0" w:space="0" w:color="auto"/>
            <w:right w:val="none" w:sz="0" w:space="0" w:color="auto"/>
          </w:divBdr>
        </w:div>
        <w:div w:id="729497476">
          <w:marLeft w:val="0"/>
          <w:marRight w:val="0"/>
          <w:marTop w:val="0"/>
          <w:marBottom w:val="0"/>
          <w:divBdr>
            <w:top w:val="none" w:sz="0" w:space="0" w:color="auto"/>
            <w:left w:val="none" w:sz="0" w:space="0" w:color="auto"/>
            <w:bottom w:val="none" w:sz="0" w:space="0" w:color="auto"/>
            <w:right w:val="none" w:sz="0" w:space="0" w:color="auto"/>
          </w:divBdr>
        </w:div>
        <w:div w:id="874776348">
          <w:marLeft w:val="0"/>
          <w:marRight w:val="0"/>
          <w:marTop w:val="0"/>
          <w:marBottom w:val="0"/>
          <w:divBdr>
            <w:top w:val="none" w:sz="0" w:space="0" w:color="auto"/>
            <w:left w:val="none" w:sz="0" w:space="0" w:color="auto"/>
            <w:bottom w:val="none" w:sz="0" w:space="0" w:color="auto"/>
            <w:right w:val="none" w:sz="0" w:space="0" w:color="auto"/>
          </w:divBdr>
        </w:div>
        <w:div w:id="927081116">
          <w:marLeft w:val="0"/>
          <w:marRight w:val="0"/>
          <w:marTop w:val="0"/>
          <w:marBottom w:val="0"/>
          <w:divBdr>
            <w:top w:val="none" w:sz="0" w:space="0" w:color="auto"/>
            <w:left w:val="none" w:sz="0" w:space="0" w:color="auto"/>
            <w:bottom w:val="none" w:sz="0" w:space="0" w:color="auto"/>
            <w:right w:val="none" w:sz="0" w:space="0" w:color="auto"/>
          </w:divBdr>
        </w:div>
        <w:div w:id="1011184521">
          <w:marLeft w:val="0"/>
          <w:marRight w:val="0"/>
          <w:marTop w:val="0"/>
          <w:marBottom w:val="0"/>
          <w:divBdr>
            <w:top w:val="none" w:sz="0" w:space="0" w:color="auto"/>
            <w:left w:val="none" w:sz="0" w:space="0" w:color="auto"/>
            <w:bottom w:val="none" w:sz="0" w:space="0" w:color="auto"/>
            <w:right w:val="none" w:sz="0" w:space="0" w:color="auto"/>
          </w:divBdr>
        </w:div>
        <w:div w:id="20455965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196/17696" TargetMode="External"/><Relationship Id="rId18" Type="http://schemas.openxmlformats.org/officeDocument/2006/relationships/hyperlink" Target="https://www.nmc.org.uk/globalassets/sitedocuments/nmc-publications/nmc-code.pdf" TargetMode="External"/><Relationship Id="rId26" Type="http://schemas.openxmlformats.org/officeDocument/2006/relationships/hyperlink" Target="http://www.legislation.gov.uk/ukpga/Geo5/7-8/21/contents" TargetMode="External"/><Relationship Id="rId3" Type="http://schemas.openxmlformats.org/officeDocument/2006/relationships/customXml" Target="../customXml/item3.xml"/><Relationship Id="rId21" Type="http://schemas.openxmlformats.org/officeDocument/2006/relationships/hyperlink" Target="https://doi.org/10.1136/sextrans-2013-051369" TargetMode="External"/><Relationship Id="rId7" Type="http://schemas.openxmlformats.org/officeDocument/2006/relationships/webSettings" Target="webSettings.xml"/><Relationship Id="rId12" Type="http://schemas.openxmlformats.org/officeDocument/2006/relationships/hyperlink" Target="https://doi.org/10.1007/s10997-023-09675-8" TargetMode="External"/><Relationship Id="rId17" Type="http://schemas.openxmlformats.org/officeDocument/2006/relationships/hyperlink" Target="https://doi.org/10.1186/s12909-023-04998-4" TargetMode="External"/><Relationship Id="rId25" Type="http://schemas.openxmlformats.org/officeDocument/2006/relationships/hyperlink" Target="https://doi.org/10.1016/J.IJMEDINF.2008.07.001" TargetMode="External"/><Relationship Id="rId2" Type="http://schemas.openxmlformats.org/officeDocument/2006/relationships/customXml" Target="../customXml/item2.xml"/><Relationship Id="rId16" Type="http://schemas.openxmlformats.org/officeDocument/2006/relationships/hyperlink" Target="https://doi.org/10.1016/j.amepre.2016.06.008" TargetMode="External"/><Relationship Id="rId20" Type="http://schemas.openxmlformats.org/officeDocument/2006/relationships/hyperlink" Target="https://doi.org/10.1080/13696998.2023.222653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86/1748-5908-4-50" TargetMode="External"/><Relationship Id="rId24" Type="http://schemas.openxmlformats.org/officeDocument/2006/relationships/hyperlink" Target="https://www.legislation.gov.uk/uksi/1974/29/made" TargetMode="External"/><Relationship Id="rId5" Type="http://schemas.openxmlformats.org/officeDocument/2006/relationships/styles" Target="styles.xml"/><Relationship Id="rId15" Type="http://schemas.openxmlformats.org/officeDocument/2006/relationships/hyperlink" Target="https://doi.org/10.1017/S0022215122002018" TargetMode="External"/><Relationship Id="rId23" Type="http://schemas.openxmlformats.org/officeDocument/2006/relationships/hyperlink" Target="https://www.legislation.gov.uk/ukpga/2018/12/contents/enacted" TargetMode="External"/><Relationship Id="rId28" Type="http://schemas.openxmlformats.org/officeDocument/2006/relationships/theme" Target="theme/theme1.xml"/><Relationship Id="rId10" Type="http://schemas.openxmlformats.org/officeDocument/2006/relationships/hyperlink" Target="https://bhiva.org/wp-content/uploads/2024/10/Update-for-disemmination-STI-confidentiality-Final-100915.pdf" TargetMode="External"/><Relationship Id="rId19" Type="http://schemas.openxmlformats.org/officeDocument/2006/relationships/hyperlink" Target="https://doi.org/10.1080/17538157.2016.1178118" TargetMode="External"/><Relationship Id="rId4" Type="http://schemas.openxmlformats.org/officeDocument/2006/relationships/numbering" Target="numbering.xml"/><Relationship Id="rId9" Type="http://schemas.openxmlformats.org/officeDocument/2006/relationships/hyperlink" Target="https://doi.org/10.1186/1472-6947-6-3" TargetMode="External"/><Relationship Id="rId14" Type="http://schemas.openxmlformats.org/officeDocument/2006/relationships/hyperlink" Target="https://doi.org/10.1016/S2468-2667(21)00099-2" TargetMode="External"/><Relationship Id="rId22" Type="http://schemas.openxmlformats.org/officeDocument/2006/relationships/hyperlink" Target="https://doi.org/10.1016/j.ijmedinf.2012.07.00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7" ma:contentTypeDescription="Create a new document." ma:contentTypeScope="" ma:versionID="fedb3c7ad4e3c3917f8a9c83c636bbc9">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a3a3f6d4a640cb638fc6ce0401bb41ab"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795bbee-07b4-4e79-98d8-0419d9871cad" xsi:nil="true"/>
  </documentManagement>
</p:properties>
</file>

<file path=customXml/itemProps1.xml><?xml version="1.0" encoding="utf-8"?>
<ds:datastoreItem xmlns:ds="http://schemas.openxmlformats.org/officeDocument/2006/customXml" ds:itemID="{C18C443B-77CB-4C84-B7CF-898F0F688294}">
  <ds:schemaRefs>
    <ds:schemaRef ds:uri="http://schemas.microsoft.com/sharepoint/v3/contenttype/forms"/>
  </ds:schemaRefs>
</ds:datastoreItem>
</file>

<file path=customXml/itemProps2.xml><?xml version="1.0" encoding="utf-8"?>
<ds:datastoreItem xmlns:ds="http://schemas.openxmlformats.org/officeDocument/2006/customXml" ds:itemID="{0CCE318C-ED5B-4203-916B-C76EB4D529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D6A048-C9E4-48E3-8CF5-7F329D72CB64}">
  <ds:schemaRefs>
    <ds:schemaRef ds:uri="http://purl.org/dc/elements/1.1/"/>
    <ds:schemaRef ds:uri="http://schemas.microsoft.com/office/2006/documentManagement/types"/>
    <ds:schemaRef ds:uri="http://schemas.openxmlformats.org/package/2006/metadata/core-properties"/>
    <ds:schemaRef ds:uri="2795bbee-07b4-4e79-98d8-0419d9871cad"/>
    <ds:schemaRef ds:uri="http://purl.org/dc/dcmitype/"/>
    <ds:schemaRef ds:uri="http://schemas.microsoft.com/office/infopath/2007/PartnerControls"/>
    <ds:schemaRef ds:uri="http://schemas.microsoft.com/office/2006/metadata/properties"/>
    <ds:schemaRef ds:uri="258d5018-feb4-45ec-8043-ac7152467c64"/>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9</Pages>
  <Words>3607</Words>
  <Characters>20566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Williams (Swansea Bay UHB - Integrated Sexual Health)</dc:creator>
  <cp:keywords/>
  <dc:description/>
  <cp:lastModifiedBy>Carly Williams (Swansea Bay UHB - Integrated Sexual Health)</cp:lastModifiedBy>
  <cp:revision>111</cp:revision>
  <dcterms:created xsi:type="dcterms:W3CDTF">2025-01-15T14:53:00Z</dcterms:created>
  <dcterms:modified xsi:type="dcterms:W3CDTF">2025-02-18T22:22:00Z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