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128" w:rsidRDefault="008F1128">
      <w:pPr>
        <w:rPr>
          <w:rFonts w:ascii="Arial" w:hAnsi="Arial" w:cs="Arial"/>
          <w:b/>
          <w:sz w:val="52"/>
          <w:szCs w:val="52"/>
        </w:rPr>
      </w:pPr>
    </w:p>
    <w:p w:rsidR="008E7786" w:rsidRDefault="008E7786" w:rsidP="008E7786">
      <w:pPr>
        <w:jc w:val="center"/>
        <w:rPr>
          <w:rFonts w:ascii="Arial" w:hAnsi="Arial" w:cs="Arial"/>
          <w:b/>
          <w:sz w:val="52"/>
          <w:szCs w:val="52"/>
        </w:rPr>
      </w:pPr>
    </w:p>
    <w:p w:rsidR="008E7786" w:rsidRDefault="008E7786" w:rsidP="008E7786">
      <w:pPr>
        <w:jc w:val="center"/>
        <w:rPr>
          <w:rFonts w:ascii="Arial" w:hAnsi="Arial" w:cs="Arial"/>
          <w:b/>
          <w:sz w:val="52"/>
          <w:szCs w:val="52"/>
        </w:rPr>
      </w:pPr>
    </w:p>
    <w:p w:rsidR="008E7786" w:rsidRDefault="008E7786" w:rsidP="008E7786">
      <w:pPr>
        <w:jc w:val="center"/>
        <w:rPr>
          <w:rFonts w:ascii="Arial" w:hAnsi="Arial" w:cs="Arial"/>
          <w:b/>
          <w:sz w:val="52"/>
          <w:szCs w:val="52"/>
        </w:rPr>
      </w:pPr>
      <w:r>
        <w:rPr>
          <w:rFonts w:ascii="Arial" w:hAnsi="Arial" w:cs="Arial"/>
          <w:b/>
          <w:sz w:val="52"/>
          <w:szCs w:val="52"/>
        </w:rPr>
        <w:t>European Law – Assignment 2: Direct effect, indirect effect and member state liability</w:t>
      </w:r>
    </w:p>
    <w:p w:rsidR="008E7786" w:rsidRDefault="008E7786" w:rsidP="008E7786">
      <w:pPr>
        <w:jc w:val="center"/>
        <w:rPr>
          <w:rFonts w:ascii="Arial" w:hAnsi="Arial" w:cs="Arial"/>
          <w:sz w:val="36"/>
          <w:szCs w:val="36"/>
        </w:rPr>
      </w:pPr>
      <w:r>
        <w:rPr>
          <w:rFonts w:ascii="Arial" w:hAnsi="Arial" w:cs="Arial"/>
          <w:sz w:val="36"/>
          <w:szCs w:val="36"/>
        </w:rPr>
        <w:t xml:space="preserve">By George </w:t>
      </w:r>
      <w:proofErr w:type="spellStart"/>
      <w:r>
        <w:rPr>
          <w:rFonts w:ascii="Arial" w:hAnsi="Arial" w:cs="Arial"/>
          <w:sz w:val="36"/>
          <w:szCs w:val="36"/>
        </w:rPr>
        <w:t>Lovering</w:t>
      </w:r>
      <w:proofErr w:type="spellEnd"/>
    </w:p>
    <w:p w:rsidR="008E7786" w:rsidRDefault="008E7786">
      <w:pPr>
        <w:rPr>
          <w:rFonts w:ascii="Arial" w:hAnsi="Arial" w:cs="Arial"/>
          <w:sz w:val="36"/>
          <w:szCs w:val="36"/>
        </w:rPr>
      </w:pPr>
      <w:r>
        <w:rPr>
          <w:rFonts w:ascii="Arial" w:hAnsi="Arial" w:cs="Arial"/>
          <w:sz w:val="36"/>
          <w:szCs w:val="36"/>
        </w:rPr>
        <w:br w:type="page"/>
      </w:r>
    </w:p>
    <w:p w:rsidR="008E7786" w:rsidRDefault="001701F5" w:rsidP="008E7786">
      <w:pPr>
        <w:rPr>
          <w:rFonts w:ascii="Arial" w:hAnsi="Arial" w:cs="Arial"/>
          <w:sz w:val="24"/>
          <w:szCs w:val="24"/>
        </w:rPr>
      </w:pPr>
      <w:r>
        <w:rPr>
          <w:rFonts w:ascii="Arial" w:hAnsi="Arial" w:cs="Arial"/>
          <w:sz w:val="24"/>
          <w:szCs w:val="24"/>
        </w:rPr>
        <w:lastRenderedPageBreak/>
        <w:t>The main aim of this discussion is to examine key principles</w:t>
      </w:r>
      <w:r w:rsidR="005E67F5">
        <w:rPr>
          <w:rFonts w:ascii="Arial" w:hAnsi="Arial" w:cs="Arial"/>
          <w:sz w:val="24"/>
          <w:szCs w:val="24"/>
        </w:rPr>
        <w:t xml:space="preserve"> in EU law and to </w:t>
      </w:r>
      <w:r w:rsidR="00567AFB">
        <w:rPr>
          <w:rFonts w:ascii="Arial" w:hAnsi="Arial" w:cs="Arial"/>
          <w:sz w:val="24"/>
          <w:szCs w:val="24"/>
        </w:rPr>
        <w:t xml:space="preserve">evaluate their effectiveness in providing rights to natural and legal persons in the EU, the key principles discussed will be direct effect, indirect effect and member state liability. </w:t>
      </w:r>
      <w:r w:rsidR="000E0781">
        <w:rPr>
          <w:rFonts w:ascii="Arial" w:hAnsi="Arial" w:cs="Arial"/>
          <w:sz w:val="24"/>
          <w:szCs w:val="24"/>
        </w:rPr>
        <w:t>In order to evaluate the extent to which these principles provide protection, the use of case law in this area will be important along with the relevant legislation. TFEU will be significant in this discussion, specifically Art</w:t>
      </w:r>
      <w:r w:rsidR="00C566F7">
        <w:rPr>
          <w:rFonts w:ascii="Arial" w:hAnsi="Arial" w:cs="Arial"/>
          <w:sz w:val="24"/>
          <w:szCs w:val="24"/>
        </w:rPr>
        <w:t xml:space="preserve"> 288, Art 258 and Art 4.3 TFEU, looking at the impact that the legislation has had collectively and individually.</w:t>
      </w:r>
    </w:p>
    <w:p w:rsidR="002A1133" w:rsidRDefault="00740789" w:rsidP="00740789">
      <w:pPr>
        <w:rPr>
          <w:rStyle w:val="Emphasis"/>
          <w:rFonts w:ascii="Arial" w:hAnsi="Arial" w:cs="Arial"/>
          <w:i w:val="0"/>
          <w:sz w:val="24"/>
          <w:szCs w:val="24"/>
          <w:bdr w:val="none" w:sz="0" w:space="0" w:color="auto" w:frame="1"/>
          <w:shd w:val="clear" w:color="auto" w:fill="FFFFFF"/>
        </w:rPr>
      </w:pPr>
      <w:r>
        <w:rPr>
          <w:rFonts w:ascii="Arial" w:hAnsi="Arial" w:cs="Arial"/>
          <w:sz w:val="24"/>
          <w:szCs w:val="24"/>
        </w:rPr>
        <w:t xml:space="preserve">The judgement in </w:t>
      </w:r>
      <w:r w:rsidR="004B4E89">
        <w:rPr>
          <w:rFonts w:ascii="Arial" w:hAnsi="Arial" w:cs="Arial"/>
          <w:sz w:val="24"/>
          <w:szCs w:val="24"/>
        </w:rPr>
        <w:t xml:space="preserve">Van </w:t>
      </w:r>
      <w:proofErr w:type="spellStart"/>
      <w:r w:rsidR="004B4E89">
        <w:rPr>
          <w:rFonts w:ascii="Arial" w:hAnsi="Arial" w:cs="Arial"/>
          <w:sz w:val="24"/>
          <w:szCs w:val="24"/>
        </w:rPr>
        <w:t>Gend</w:t>
      </w:r>
      <w:proofErr w:type="spellEnd"/>
      <w:r w:rsidR="004B4E89">
        <w:rPr>
          <w:rFonts w:ascii="Arial" w:hAnsi="Arial" w:cs="Arial"/>
          <w:sz w:val="24"/>
          <w:szCs w:val="24"/>
        </w:rPr>
        <w:t xml:space="preserve"> </w:t>
      </w:r>
      <w:proofErr w:type="spellStart"/>
      <w:r w:rsidR="004B4E89">
        <w:rPr>
          <w:rFonts w:ascii="Arial" w:hAnsi="Arial" w:cs="Arial"/>
          <w:sz w:val="24"/>
          <w:szCs w:val="24"/>
        </w:rPr>
        <w:t>en</w:t>
      </w:r>
      <w:proofErr w:type="spellEnd"/>
      <w:r w:rsidR="004B4E89">
        <w:rPr>
          <w:rFonts w:ascii="Arial" w:hAnsi="Arial" w:cs="Arial"/>
          <w:sz w:val="24"/>
          <w:szCs w:val="24"/>
        </w:rPr>
        <w:t xml:space="preserve"> Loos [1963]</w:t>
      </w:r>
      <w:r w:rsidR="00D13073">
        <w:rPr>
          <w:rFonts w:ascii="Arial" w:hAnsi="Arial" w:cs="Arial"/>
          <w:sz w:val="24"/>
          <w:szCs w:val="24"/>
        </w:rPr>
        <w:t xml:space="preserve"> </w:t>
      </w:r>
      <w:r w:rsidR="005502D9">
        <w:rPr>
          <w:rFonts w:ascii="Arial" w:hAnsi="Arial" w:cs="Arial"/>
          <w:sz w:val="24"/>
          <w:szCs w:val="24"/>
        </w:rPr>
        <w:t xml:space="preserve">led to </w:t>
      </w:r>
      <w:r w:rsidR="00592B3A">
        <w:rPr>
          <w:rFonts w:ascii="Arial" w:hAnsi="Arial" w:cs="Arial"/>
          <w:sz w:val="24"/>
          <w:szCs w:val="24"/>
        </w:rPr>
        <w:t>the</w:t>
      </w:r>
      <w:r w:rsidR="00B01380">
        <w:rPr>
          <w:rFonts w:ascii="Arial" w:hAnsi="Arial" w:cs="Arial"/>
          <w:sz w:val="24"/>
          <w:szCs w:val="24"/>
        </w:rPr>
        <w:t xml:space="preserve"> development </w:t>
      </w:r>
      <w:r w:rsidR="00592B3A">
        <w:rPr>
          <w:rFonts w:ascii="Arial" w:hAnsi="Arial" w:cs="Arial"/>
          <w:sz w:val="24"/>
          <w:szCs w:val="24"/>
        </w:rPr>
        <w:t>of</w:t>
      </w:r>
      <w:r w:rsidR="00B01380">
        <w:rPr>
          <w:rFonts w:ascii="Arial" w:hAnsi="Arial" w:cs="Arial"/>
          <w:sz w:val="24"/>
          <w:szCs w:val="24"/>
        </w:rPr>
        <w:t xml:space="preserve"> the principle of direct effect, in this case </w:t>
      </w:r>
      <w:r w:rsidR="001818BC">
        <w:rPr>
          <w:rFonts w:ascii="Arial" w:hAnsi="Arial" w:cs="Arial"/>
          <w:sz w:val="24"/>
          <w:szCs w:val="24"/>
        </w:rPr>
        <w:t xml:space="preserve">the court determined that </w:t>
      </w:r>
      <w:r w:rsidR="00F837A9">
        <w:rPr>
          <w:rFonts w:ascii="Arial" w:hAnsi="Arial" w:cs="Arial"/>
          <w:sz w:val="24"/>
          <w:szCs w:val="24"/>
        </w:rPr>
        <w:t>European Law doesn’t only hold member states responsible for obligations, but also encompasses the r</w:t>
      </w:r>
      <w:r w:rsidR="00234D20">
        <w:rPr>
          <w:rFonts w:ascii="Arial" w:hAnsi="Arial" w:cs="Arial"/>
          <w:sz w:val="24"/>
          <w:szCs w:val="24"/>
        </w:rPr>
        <w:t xml:space="preserve">ights of individuals in the EU and </w:t>
      </w:r>
      <w:r w:rsidR="00573784">
        <w:rPr>
          <w:rFonts w:ascii="Arial" w:hAnsi="Arial" w:cs="Arial"/>
          <w:sz w:val="24"/>
          <w:szCs w:val="24"/>
        </w:rPr>
        <w:t>people’s</w:t>
      </w:r>
      <w:r w:rsidR="00496D62">
        <w:rPr>
          <w:rFonts w:ascii="Arial" w:hAnsi="Arial" w:cs="Arial"/>
          <w:sz w:val="24"/>
          <w:szCs w:val="24"/>
        </w:rPr>
        <w:t xml:space="preserve"> entitlement to these rights, it also allows individuals to invoke European provisions in the courts of that country or before a European court.</w:t>
      </w:r>
      <w:r w:rsidR="005E5C89">
        <w:rPr>
          <w:rFonts w:ascii="Arial" w:hAnsi="Arial" w:cs="Arial"/>
          <w:sz w:val="24"/>
          <w:szCs w:val="24"/>
        </w:rPr>
        <w:t xml:space="preserve"> </w:t>
      </w:r>
      <w:r w:rsidR="000B3A59">
        <w:rPr>
          <w:rFonts w:ascii="Arial" w:hAnsi="Arial" w:cs="Arial"/>
          <w:sz w:val="24"/>
          <w:szCs w:val="24"/>
        </w:rPr>
        <w:t xml:space="preserve">As far as the development of direct effect and the improvements it has brought forward, </w:t>
      </w:r>
      <w:r w:rsidR="000B3A59" w:rsidRPr="000B3A59">
        <w:rPr>
          <w:rFonts w:ascii="Arial" w:hAnsi="Arial" w:cs="Arial"/>
          <w:i/>
          <w:sz w:val="24"/>
          <w:szCs w:val="24"/>
        </w:rPr>
        <w:t>Robin-Oliver</w:t>
      </w:r>
      <w:r w:rsidR="000B3A59">
        <w:rPr>
          <w:rFonts w:ascii="Arial" w:hAnsi="Arial" w:cs="Arial"/>
          <w:sz w:val="24"/>
          <w:szCs w:val="24"/>
        </w:rPr>
        <w:t xml:space="preserve"> (2014) says “</w:t>
      </w:r>
      <w:r w:rsidR="000B3A59" w:rsidRPr="000B3A59">
        <w:rPr>
          <w:rStyle w:val="Emphasis"/>
          <w:rFonts w:ascii="Arial" w:hAnsi="Arial" w:cs="Arial"/>
          <w:i w:val="0"/>
          <w:sz w:val="24"/>
          <w:szCs w:val="24"/>
          <w:bdr w:val="none" w:sz="0" w:space="0" w:color="auto" w:frame="1"/>
          <w:shd w:val="clear" w:color="auto" w:fill="FFFFFF"/>
        </w:rPr>
        <w:t>the existence of a particular category of (‘direct effect’) EU norms, which implies a process of selection among EU law provisions, is no longer as problematic as the method of comparison and combination of norms in judicial reasoning that has become a vehicle for the penetration of EU law in courts.</w:t>
      </w:r>
      <w:r w:rsidR="000B3A59">
        <w:rPr>
          <w:rStyle w:val="Emphasis"/>
          <w:rFonts w:ascii="Arial" w:hAnsi="Arial" w:cs="Arial"/>
          <w:i w:val="0"/>
          <w:sz w:val="24"/>
          <w:szCs w:val="24"/>
          <w:bdr w:val="none" w:sz="0" w:space="0" w:color="auto" w:frame="1"/>
          <w:shd w:val="clear" w:color="auto" w:fill="FFFFFF"/>
        </w:rPr>
        <w:t xml:space="preserve">” </w:t>
      </w:r>
      <w:r w:rsidR="009C4FBA">
        <w:rPr>
          <w:rStyle w:val="Emphasis"/>
          <w:rFonts w:ascii="Arial" w:hAnsi="Arial" w:cs="Arial"/>
          <w:i w:val="0"/>
          <w:sz w:val="24"/>
          <w:szCs w:val="24"/>
          <w:bdr w:val="none" w:sz="0" w:space="0" w:color="auto" w:frame="1"/>
          <w:shd w:val="clear" w:color="auto" w:fill="FFFFFF"/>
        </w:rPr>
        <w:t>Expanding on that observation, with direct effect having a significant impact</w:t>
      </w:r>
      <w:r w:rsidR="007626A3">
        <w:rPr>
          <w:rStyle w:val="Emphasis"/>
          <w:rFonts w:ascii="Arial" w:hAnsi="Arial" w:cs="Arial"/>
          <w:i w:val="0"/>
          <w:sz w:val="24"/>
          <w:szCs w:val="24"/>
          <w:bdr w:val="none" w:sz="0" w:space="0" w:color="auto" w:frame="1"/>
          <w:shd w:val="clear" w:color="auto" w:fill="FFFFFF"/>
        </w:rPr>
        <w:t xml:space="preserve"> on </w:t>
      </w:r>
      <w:r w:rsidR="00312BDB">
        <w:rPr>
          <w:rStyle w:val="Emphasis"/>
          <w:rFonts w:ascii="Arial" w:hAnsi="Arial" w:cs="Arial"/>
          <w:i w:val="0"/>
          <w:sz w:val="24"/>
          <w:szCs w:val="24"/>
          <w:bdr w:val="none" w:sz="0" w:space="0" w:color="auto" w:frame="1"/>
          <w:shd w:val="clear" w:color="auto" w:fill="FFFFFF"/>
        </w:rPr>
        <w:t xml:space="preserve">judicial process and the ability individuals have to invoke provisions, it </w:t>
      </w:r>
      <w:r w:rsidR="00C52574">
        <w:rPr>
          <w:rStyle w:val="Emphasis"/>
          <w:rFonts w:ascii="Arial" w:hAnsi="Arial" w:cs="Arial"/>
          <w:i w:val="0"/>
          <w:sz w:val="24"/>
          <w:szCs w:val="24"/>
          <w:bdr w:val="none" w:sz="0" w:space="0" w:color="auto" w:frame="1"/>
          <w:shd w:val="clear" w:color="auto" w:fill="FFFFFF"/>
        </w:rPr>
        <w:t>has arguably allowed for more encouragement of holding national governments accountable for actions and promotes the idea of upholding the rights of individuals in EU member states.</w:t>
      </w:r>
      <w:r w:rsidR="00B05106">
        <w:rPr>
          <w:rStyle w:val="Emphasis"/>
          <w:rFonts w:ascii="Arial" w:hAnsi="Arial" w:cs="Arial"/>
          <w:i w:val="0"/>
          <w:sz w:val="24"/>
          <w:szCs w:val="24"/>
          <w:bdr w:val="none" w:sz="0" w:space="0" w:color="auto" w:frame="1"/>
          <w:shd w:val="clear" w:color="auto" w:fill="FFFFFF"/>
        </w:rPr>
        <w:t xml:space="preserve"> </w:t>
      </w:r>
      <w:r w:rsidR="002A1133">
        <w:rPr>
          <w:rStyle w:val="Emphasis"/>
          <w:rFonts w:ascii="Arial" w:hAnsi="Arial" w:cs="Arial"/>
          <w:i w:val="0"/>
          <w:sz w:val="24"/>
          <w:szCs w:val="24"/>
          <w:bdr w:val="none" w:sz="0" w:space="0" w:color="auto" w:frame="1"/>
          <w:shd w:val="clear" w:color="auto" w:fill="FFFFFF"/>
        </w:rPr>
        <w:t xml:space="preserve">The importance of direct effect being implemented has received report for the reasons already stated, </w:t>
      </w:r>
      <w:proofErr w:type="spellStart"/>
      <w:r w:rsidR="002A1133">
        <w:rPr>
          <w:rStyle w:val="Emphasis"/>
          <w:rFonts w:ascii="Arial" w:hAnsi="Arial" w:cs="Arial"/>
          <w:i w:val="0"/>
          <w:sz w:val="24"/>
          <w:szCs w:val="24"/>
          <w:bdr w:val="none" w:sz="0" w:space="0" w:color="auto" w:frame="1"/>
          <w:shd w:val="clear" w:color="auto" w:fill="FFFFFF"/>
        </w:rPr>
        <w:t>V</w:t>
      </w:r>
      <w:r w:rsidR="002A1133" w:rsidRPr="002A1133">
        <w:rPr>
          <w:rStyle w:val="Emphasis"/>
          <w:rFonts w:ascii="Arial" w:hAnsi="Arial" w:cs="Arial"/>
          <w:i w:val="0"/>
          <w:sz w:val="24"/>
          <w:szCs w:val="24"/>
          <w:bdr w:val="none" w:sz="0" w:space="0" w:color="auto" w:frame="1"/>
          <w:shd w:val="clear" w:color="auto" w:fill="FFFFFF"/>
        </w:rPr>
        <w:t>ukadinović</w:t>
      </w:r>
      <w:proofErr w:type="spellEnd"/>
      <w:r w:rsidR="002A1133">
        <w:rPr>
          <w:rStyle w:val="Emphasis"/>
          <w:rFonts w:ascii="Arial" w:hAnsi="Arial" w:cs="Arial"/>
          <w:i w:val="0"/>
          <w:sz w:val="24"/>
          <w:szCs w:val="24"/>
          <w:bdr w:val="none" w:sz="0" w:space="0" w:color="auto" w:frame="1"/>
          <w:shd w:val="clear" w:color="auto" w:fill="FFFFFF"/>
        </w:rPr>
        <w:t xml:space="preserve"> (2011) says “it is believed that direct effect is an essential ch</w:t>
      </w:r>
      <w:r w:rsidR="00597216">
        <w:rPr>
          <w:rStyle w:val="Emphasis"/>
          <w:rFonts w:ascii="Arial" w:hAnsi="Arial" w:cs="Arial"/>
          <w:i w:val="0"/>
          <w:sz w:val="24"/>
          <w:szCs w:val="24"/>
          <w:bdr w:val="none" w:sz="0" w:space="0" w:color="auto" w:frame="1"/>
          <w:shd w:val="clear" w:color="auto" w:fill="FFFFFF"/>
        </w:rPr>
        <w:t xml:space="preserve">aracteristic of community order”, this </w:t>
      </w:r>
      <w:r w:rsidR="00A65B66">
        <w:rPr>
          <w:rStyle w:val="Emphasis"/>
          <w:rFonts w:ascii="Arial" w:hAnsi="Arial" w:cs="Arial"/>
          <w:i w:val="0"/>
          <w:sz w:val="24"/>
          <w:szCs w:val="24"/>
          <w:bdr w:val="none" w:sz="0" w:space="0" w:color="auto" w:frame="1"/>
          <w:shd w:val="clear" w:color="auto" w:fill="FFFFFF"/>
        </w:rPr>
        <w:t xml:space="preserve">statement is a testimony </w:t>
      </w:r>
      <w:r w:rsidR="00123CB8">
        <w:rPr>
          <w:rStyle w:val="Emphasis"/>
          <w:rFonts w:ascii="Arial" w:hAnsi="Arial" w:cs="Arial"/>
          <w:i w:val="0"/>
          <w:sz w:val="24"/>
          <w:szCs w:val="24"/>
          <w:bdr w:val="none" w:sz="0" w:space="0" w:color="auto" w:frame="1"/>
          <w:shd w:val="clear" w:color="auto" w:fill="FFFFFF"/>
        </w:rPr>
        <w:t>to the effectiveness of direct effect in the relation it has to community law and the EU maintaining order.</w:t>
      </w:r>
    </w:p>
    <w:p w:rsidR="008960C4" w:rsidRPr="008960C4" w:rsidRDefault="008960C4" w:rsidP="00DD27A2">
      <w:pPr>
        <w:rPr>
          <w:rStyle w:val="Emphasis"/>
          <w:rFonts w:ascii="Arial" w:hAnsi="Arial" w:cs="Arial"/>
          <w:i w:val="0"/>
          <w:iCs w:val="0"/>
          <w:sz w:val="24"/>
          <w:szCs w:val="24"/>
        </w:rPr>
      </w:pPr>
      <w:r>
        <w:rPr>
          <w:rStyle w:val="Emphasis"/>
          <w:rFonts w:ascii="Arial" w:hAnsi="Arial" w:cs="Arial"/>
          <w:i w:val="0"/>
          <w:sz w:val="24"/>
          <w:szCs w:val="24"/>
          <w:bdr w:val="none" w:sz="0" w:space="0" w:color="auto" w:frame="1"/>
          <w:shd w:val="clear" w:color="auto" w:fill="FFFFFF"/>
        </w:rPr>
        <w:t xml:space="preserve">The case of </w:t>
      </w:r>
      <w:r w:rsidRPr="0014433E">
        <w:rPr>
          <w:rFonts w:ascii="Arial" w:hAnsi="Arial" w:cs="Arial"/>
          <w:sz w:val="24"/>
          <w:szCs w:val="24"/>
        </w:rPr>
        <w:t xml:space="preserve">Van </w:t>
      </w:r>
      <w:proofErr w:type="spellStart"/>
      <w:r w:rsidRPr="0014433E">
        <w:rPr>
          <w:rFonts w:ascii="Arial" w:hAnsi="Arial" w:cs="Arial"/>
          <w:sz w:val="24"/>
          <w:szCs w:val="24"/>
        </w:rPr>
        <w:t>Duyn</w:t>
      </w:r>
      <w:proofErr w:type="spellEnd"/>
      <w:r w:rsidRPr="0014433E">
        <w:rPr>
          <w:rFonts w:ascii="Arial" w:hAnsi="Arial" w:cs="Arial"/>
          <w:sz w:val="24"/>
          <w:szCs w:val="24"/>
        </w:rPr>
        <w:t xml:space="preserve"> v Home Off</w:t>
      </w:r>
      <w:r>
        <w:rPr>
          <w:rFonts w:ascii="Arial" w:hAnsi="Arial" w:cs="Arial"/>
          <w:sz w:val="24"/>
          <w:szCs w:val="24"/>
        </w:rPr>
        <w:t>ice [1974]</w:t>
      </w:r>
      <w:r>
        <w:rPr>
          <w:rFonts w:ascii="Arial" w:hAnsi="Arial" w:cs="Arial"/>
          <w:sz w:val="24"/>
          <w:szCs w:val="24"/>
        </w:rPr>
        <w:t xml:space="preserve"> </w:t>
      </w:r>
      <w:r w:rsidR="00B12254">
        <w:rPr>
          <w:rFonts w:ascii="Arial" w:hAnsi="Arial" w:cs="Arial"/>
          <w:sz w:val="24"/>
          <w:szCs w:val="24"/>
        </w:rPr>
        <w:t xml:space="preserve">was a case that had a main focus of free movement of workers in the EU, </w:t>
      </w:r>
      <w:r w:rsidR="00DD27A2">
        <w:rPr>
          <w:rFonts w:ascii="Arial" w:hAnsi="Arial" w:cs="Arial"/>
          <w:sz w:val="24"/>
          <w:szCs w:val="24"/>
        </w:rPr>
        <w:t>a</w:t>
      </w:r>
      <w:r w:rsidR="00B12254">
        <w:rPr>
          <w:rFonts w:ascii="Arial" w:hAnsi="Arial" w:cs="Arial"/>
          <w:sz w:val="24"/>
          <w:szCs w:val="24"/>
        </w:rPr>
        <w:t>ccording to the European Commission (2021), vertical direct effect can be defined as</w:t>
      </w:r>
      <w:r w:rsidR="00B12254">
        <w:rPr>
          <w:rFonts w:ascii="Lucida Sans Unicode" w:hAnsi="Lucida Sans Unicode" w:cs="Lucida Sans Unicode"/>
          <w:color w:val="090F1C"/>
          <w:sz w:val="20"/>
          <w:szCs w:val="20"/>
          <w:shd w:val="clear" w:color="auto" w:fill="FFFFFF"/>
        </w:rPr>
        <w:t xml:space="preserve"> </w:t>
      </w:r>
      <w:r w:rsidR="00B12254">
        <w:rPr>
          <w:rFonts w:ascii="Lucida Sans Unicode" w:hAnsi="Lucida Sans Unicode" w:cs="Lucida Sans Unicode"/>
          <w:color w:val="090F1C"/>
          <w:sz w:val="20"/>
          <w:szCs w:val="20"/>
          <w:shd w:val="clear" w:color="auto" w:fill="FFFFFF"/>
        </w:rPr>
        <w:t>“</w:t>
      </w:r>
      <w:r w:rsidR="00B12254" w:rsidRPr="00B12254">
        <w:rPr>
          <w:rFonts w:ascii="Arial" w:hAnsi="Arial" w:cs="Arial"/>
          <w:sz w:val="24"/>
          <w:szCs w:val="24"/>
          <w:shd w:val="clear" w:color="auto" w:fill="FFFFFF"/>
        </w:rPr>
        <w:t>consequence in relations between individuals and the country. This means that individuals can invoke a European provision in relation to the country. Horizontal direct effect is consequential in relations between individuals.</w:t>
      </w:r>
      <w:r w:rsidR="00B12254">
        <w:rPr>
          <w:rFonts w:ascii="Arial" w:hAnsi="Arial" w:cs="Arial"/>
          <w:sz w:val="24"/>
          <w:szCs w:val="24"/>
          <w:shd w:val="clear" w:color="auto" w:fill="FFFFFF"/>
        </w:rPr>
        <w:t>”</w:t>
      </w:r>
      <w:r w:rsidR="00DD27A2">
        <w:rPr>
          <w:rFonts w:ascii="Arial" w:hAnsi="Arial" w:cs="Arial"/>
          <w:sz w:val="24"/>
          <w:szCs w:val="24"/>
          <w:shd w:val="clear" w:color="auto" w:fill="FFFFFF"/>
        </w:rPr>
        <w:t xml:space="preserve"> </w:t>
      </w:r>
      <w:r w:rsidR="00DD27A2">
        <w:rPr>
          <w:rFonts w:ascii="Arial" w:hAnsi="Arial" w:cs="Arial"/>
          <w:sz w:val="24"/>
          <w:szCs w:val="24"/>
        </w:rPr>
        <w:t>ver</w:t>
      </w:r>
      <w:r w:rsidR="00DD27A2">
        <w:rPr>
          <w:rFonts w:ascii="Arial" w:hAnsi="Arial" w:cs="Arial"/>
          <w:sz w:val="24"/>
          <w:szCs w:val="24"/>
        </w:rPr>
        <w:t xml:space="preserve">tical direct effect was invoked in the case of Van </w:t>
      </w:r>
      <w:proofErr w:type="spellStart"/>
      <w:r w:rsidR="00DD27A2">
        <w:rPr>
          <w:rFonts w:ascii="Arial" w:hAnsi="Arial" w:cs="Arial"/>
          <w:sz w:val="24"/>
          <w:szCs w:val="24"/>
        </w:rPr>
        <w:t>Duyn</w:t>
      </w:r>
      <w:proofErr w:type="spellEnd"/>
      <w:r w:rsidR="00DD27A2">
        <w:rPr>
          <w:rFonts w:ascii="Arial" w:hAnsi="Arial" w:cs="Arial"/>
          <w:sz w:val="24"/>
          <w:szCs w:val="24"/>
        </w:rPr>
        <w:t xml:space="preserve"> v Home Office due to the in</w:t>
      </w:r>
      <w:r w:rsidR="00256231">
        <w:rPr>
          <w:rFonts w:ascii="Arial" w:hAnsi="Arial" w:cs="Arial"/>
          <w:sz w:val="24"/>
          <w:szCs w:val="24"/>
        </w:rPr>
        <w:t xml:space="preserve">dividual (Van </w:t>
      </w:r>
      <w:proofErr w:type="spellStart"/>
      <w:r w:rsidR="00256231">
        <w:rPr>
          <w:rFonts w:ascii="Arial" w:hAnsi="Arial" w:cs="Arial"/>
          <w:sz w:val="24"/>
          <w:szCs w:val="24"/>
        </w:rPr>
        <w:t>Duyn</w:t>
      </w:r>
      <w:proofErr w:type="spellEnd"/>
      <w:r w:rsidR="00256231">
        <w:rPr>
          <w:rFonts w:ascii="Arial" w:hAnsi="Arial" w:cs="Arial"/>
          <w:sz w:val="24"/>
          <w:szCs w:val="24"/>
        </w:rPr>
        <w:t>) invoking it</w:t>
      </w:r>
      <w:r w:rsidR="00DD27A2">
        <w:rPr>
          <w:rFonts w:ascii="Arial" w:hAnsi="Arial" w:cs="Arial"/>
          <w:sz w:val="24"/>
          <w:szCs w:val="24"/>
        </w:rPr>
        <w:t xml:space="preserve">. </w:t>
      </w:r>
    </w:p>
    <w:p w:rsidR="00631A67" w:rsidRDefault="00631A67" w:rsidP="00740789">
      <w:pPr>
        <w:rPr>
          <w:rStyle w:val="Emphasis"/>
          <w:rFonts w:ascii="Arial" w:hAnsi="Arial" w:cs="Arial"/>
          <w:i w:val="0"/>
          <w:sz w:val="24"/>
          <w:szCs w:val="24"/>
          <w:bdr w:val="none" w:sz="0" w:space="0" w:color="auto" w:frame="1"/>
          <w:shd w:val="clear" w:color="auto" w:fill="FFFFFF"/>
        </w:rPr>
      </w:pPr>
      <w:r>
        <w:rPr>
          <w:rStyle w:val="Emphasis"/>
          <w:rFonts w:ascii="Arial" w:hAnsi="Arial" w:cs="Arial"/>
          <w:i w:val="0"/>
          <w:sz w:val="24"/>
          <w:szCs w:val="24"/>
          <w:bdr w:val="none" w:sz="0" w:space="0" w:color="auto" w:frame="1"/>
          <w:shd w:val="clear" w:color="auto" w:fill="FFFFFF"/>
        </w:rPr>
        <w:t xml:space="preserve">Alternatively, national </w:t>
      </w:r>
      <w:r w:rsidR="00893F6E">
        <w:rPr>
          <w:rStyle w:val="Emphasis"/>
          <w:rFonts w:ascii="Arial" w:hAnsi="Arial" w:cs="Arial"/>
          <w:i w:val="0"/>
          <w:sz w:val="24"/>
          <w:szCs w:val="24"/>
          <w:bdr w:val="none" w:sz="0" w:space="0" w:color="auto" w:frame="1"/>
          <w:shd w:val="clear" w:color="auto" w:fill="FFFFFF"/>
        </w:rPr>
        <w:t xml:space="preserve">authorities can choose how a principle like direct effect is applied due to Article 288 TFEU outlining this, citing </w:t>
      </w:r>
      <w:r w:rsidR="00893F6E">
        <w:rPr>
          <w:rStyle w:val="Emphasis"/>
          <w:rFonts w:ascii="Arial" w:hAnsi="Arial" w:cs="Arial"/>
          <w:sz w:val="24"/>
          <w:szCs w:val="24"/>
          <w:bdr w:val="none" w:sz="0" w:space="0" w:color="auto" w:frame="1"/>
          <w:shd w:val="clear" w:color="auto" w:fill="FFFFFF"/>
        </w:rPr>
        <w:t xml:space="preserve">European Observatory of Working </w:t>
      </w:r>
      <w:r w:rsidR="003E38C2">
        <w:rPr>
          <w:rStyle w:val="Emphasis"/>
          <w:rFonts w:ascii="Arial" w:hAnsi="Arial" w:cs="Arial"/>
          <w:sz w:val="24"/>
          <w:szCs w:val="24"/>
          <w:bdr w:val="none" w:sz="0" w:space="0" w:color="auto" w:frame="1"/>
          <w:shd w:val="clear" w:color="auto" w:fill="FFFFFF"/>
        </w:rPr>
        <w:t>Life</w:t>
      </w:r>
      <w:r w:rsidR="00893F6E">
        <w:rPr>
          <w:rStyle w:val="Emphasis"/>
          <w:rFonts w:ascii="Arial" w:hAnsi="Arial" w:cs="Arial"/>
          <w:i w:val="0"/>
          <w:sz w:val="24"/>
          <w:szCs w:val="24"/>
          <w:bdr w:val="none" w:sz="0" w:space="0" w:color="auto" w:frame="1"/>
          <w:shd w:val="clear" w:color="auto" w:fill="FFFFFF"/>
        </w:rPr>
        <w:t xml:space="preserve"> (2011),</w:t>
      </w:r>
      <w:r w:rsidR="001F5A23">
        <w:rPr>
          <w:rStyle w:val="Emphasis"/>
          <w:rFonts w:ascii="Arial" w:hAnsi="Arial" w:cs="Arial"/>
          <w:i w:val="0"/>
          <w:sz w:val="24"/>
          <w:szCs w:val="24"/>
          <w:bdr w:val="none" w:sz="0" w:space="0" w:color="auto" w:frame="1"/>
          <w:shd w:val="clear" w:color="auto" w:fill="FFFFFF"/>
        </w:rPr>
        <w:t xml:space="preserve"> para 1,</w:t>
      </w:r>
      <w:r w:rsidR="00893F6E">
        <w:rPr>
          <w:rStyle w:val="Emphasis"/>
          <w:rFonts w:ascii="Arial" w:hAnsi="Arial" w:cs="Arial"/>
          <w:i w:val="0"/>
          <w:sz w:val="24"/>
          <w:szCs w:val="24"/>
          <w:bdr w:val="none" w:sz="0" w:space="0" w:color="auto" w:frame="1"/>
          <w:shd w:val="clear" w:color="auto" w:fill="FFFFFF"/>
        </w:rPr>
        <w:t xml:space="preserve"> </w:t>
      </w:r>
      <w:r w:rsidR="00893F6E" w:rsidRPr="00893F6E">
        <w:rPr>
          <w:rStyle w:val="Emphasis"/>
          <w:rFonts w:ascii="Arial" w:hAnsi="Arial" w:cs="Arial"/>
          <w:i w:val="0"/>
          <w:sz w:val="24"/>
          <w:szCs w:val="24"/>
          <w:bdr w:val="none" w:sz="0" w:space="0" w:color="auto" w:frame="1"/>
          <w:shd w:val="clear" w:color="auto" w:fill="FFFFFF"/>
        </w:rPr>
        <w:t>“</w:t>
      </w:r>
      <w:r w:rsidR="00893F6E" w:rsidRPr="00893F6E">
        <w:rPr>
          <w:rFonts w:ascii="Arial" w:hAnsi="Arial" w:cs="Arial"/>
          <w:sz w:val="24"/>
          <w:szCs w:val="24"/>
          <w:shd w:val="clear" w:color="auto" w:fill="FFFFFF"/>
        </w:rPr>
        <w:t>Article 288 TFEU provides: ‘A directive shall be binding, as to the result to be achieved, upon each Member State to which it is addressed, but shall leave to the national authorities the choice of form and methods.’</w:t>
      </w:r>
      <w:r w:rsidR="00893F6E">
        <w:rPr>
          <w:rStyle w:val="Emphasis"/>
          <w:rFonts w:ascii="Arial" w:hAnsi="Arial" w:cs="Arial"/>
          <w:i w:val="0"/>
          <w:sz w:val="24"/>
          <w:szCs w:val="24"/>
          <w:bdr w:val="none" w:sz="0" w:space="0" w:color="auto" w:frame="1"/>
          <w:shd w:val="clear" w:color="auto" w:fill="FFFFFF"/>
        </w:rPr>
        <w:t xml:space="preserve">” </w:t>
      </w:r>
      <w:r w:rsidR="006501B6">
        <w:rPr>
          <w:rStyle w:val="Emphasis"/>
          <w:rFonts w:ascii="Arial" w:hAnsi="Arial" w:cs="Arial"/>
          <w:i w:val="0"/>
          <w:sz w:val="24"/>
          <w:szCs w:val="24"/>
          <w:bdr w:val="none" w:sz="0" w:space="0" w:color="auto" w:frame="1"/>
          <w:shd w:val="clear" w:color="auto" w:fill="FFFFFF"/>
        </w:rPr>
        <w:t xml:space="preserve">This can be seen in </w:t>
      </w:r>
      <w:r w:rsidR="006501B6" w:rsidRPr="006501B6">
        <w:rPr>
          <w:rStyle w:val="Emphasis"/>
          <w:rFonts w:ascii="Arial" w:hAnsi="Arial" w:cs="Arial"/>
          <w:i w:val="0"/>
          <w:sz w:val="24"/>
          <w:szCs w:val="24"/>
          <w:bdr w:val="none" w:sz="0" w:space="0" w:color="auto" w:frame="1"/>
          <w:shd w:val="clear" w:color="auto" w:fill="FFFFFF"/>
        </w:rPr>
        <w:t xml:space="preserve">Pfeiffer </w:t>
      </w:r>
      <w:proofErr w:type="spellStart"/>
      <w:r w:rsidR="006501B6" w:rsidRPr="006501B6">
        <w:rPr>
          <w:rStyle w:val="Emphasis"/>
          <w:rFonts w:ascii="Arial" w:hAnsi="Arial" w:cs="Arial"/>
          <w:i w:val="0"/>
          <w:sz w:val="24"/>
          <w:szCs w:val="24"/>
          <w:bdr w:val="none" w:sz="0" w:space="0" w:color="auto" w:frame="1"/>
          <w:shd w:val="clear" w:color="auto" w:fill="FFFFFF"/>
        </w:rPr>
        <w:t>etc</w:t>
      </w:r>
      <w:proofErr w:type="spellEnd"/>
      <w:r w:rsidR="006501B6" w:rsidRPr="006501B6">
        <w:rPr>
          <w:rStyle w:val="Emphasis"/>
          <w:rFonts w:ascii="Arial" w:hAnsi="Arial" w:cs="Arial"/>
          <w:i w:val="0"/>
          <w:sz w:val="24"/>
          <w:szCs w:val="24"/>
          <w:bdr w:val="none" w:sz="0" w:space="0" w:color="auto" w:frame="1"/>
          <w:shd w:val="clear" w:color="auto" w:fill="FFFFFF"/>
        </w:rPr>
        <w:t xml:space="preserve"> v </w:t>
      </w:r>
      <w:proofErr w:type="spellStart"/>
      <w:r w:rsidR="006501B6" w:rsidRPr="006501B6">
        <w:rPr>
          <w:rStyle w:val="Emphasis"/>
          <w:rFonts w:ascii="Arial" w:hAnsi="Arial" w:cs="Arial"/>
          <w:i w:val="0"/>
          <w:sz w:val="24"/>
          <w:szCs w:val="24"/>
          <w:bdr w:val="none" w:sz="0" w:space="0" w:color="auto" w:frame="1"/>
          <w:shd w:val="clear" w:color="auto" w:fill="FFFFFF"/>
        </w:rPr>
        <w:t>Deutsches</w:t>
      </w:r>
      <w:proofErr w:type="spellEnd"/>
      <w:r w:rsidR="006501B6" w:rsidRPr="006501B6">
        <w:rPr>
          <w:rStyle w:val="Emphasis"/>
          <w:rFonts w:ascii="Arial" w:hAnsi="Arial" w:cs="Arial"/>
          <w:i w:val="0"/>
          <w:sz w:val="24"/>
          <w:szCs w:val="24"/>
          <w:bdr w:val="none" w:sz="0" w:space="0" w:color="auto" w:frame="1"/>
          <w:shd w:val="clear" w:color="auto" w:fill="FFFFFF"/>
        </w:rPr>
        <w:t xml:space="preserve"> Rotes </w:t>
      </w:r>
      <w:proofErr w:type="spellStart"/>
      <w:r w:rsidR="006501B6" w:rsidRPr="006501B6">
        <w:rPr>
          <w:rStyle w:val="Emphasis"/>
          <w:rFonts w:ascii="Arial" w:hAnsi="Arial" w:cs="Arial"/>
          <w:i w:val="0"/>
          <w:sz w:val="24"/>
          <w:szCs w:val="24"/>
          <w:bdr w:val="none" w:sz="0" w:space="0" w:color="auto" w:frame="1"/>
          <w:shd w:val="clear" w:color="auto" w:fill="FFFFFF"/>
        </w:rPr>
        <w:t>Kreuz</w:t>
      </w:r>
      <w:proofErr w:type="spellEnd"/>
      <w:r w:rsidR="006501B6" w:rsidRPr="006501B6">
        <w:rPr>
          <w:rStyle w:val="Emphasis"/>
          <w:rFonts w:ascii="Arial" w:hAnsi="Arial" w:cs="Arial"/>
          <w:i w:val="0"/>
          <w:sz w:val="24"/>
          <w:szCs w:val="24"/>
          <w:bdr w:val="none" w:sz="0" w:space="0" w:color="auto" w:frame="1"/>
          <w:shd w:val="clear" w:color="auto" w:fill="FFFFFF"/>
        </w:rPr>
        <w:t xml:space="preserve">, </w:t>
      </w:r>
      <w:proofErr w:type="spellStart"/>
      <w:r w:rsidR="006501B6" w:rsidRPr="006501B6">
        <w:rPr>
          <w:rStyle w:val="Emphasis"/>
          <w:rFonts w:ascii="Arial" w:hAnsi="Arial" w:cs="Arial"/>
          <w:i w:val="0"/>
          <w:sz w:val="24"/>
          <w:szCs w:val="24"/>
          <w:bdr w:val="none" w:sz="0" w:space="0" w:color="auto" w:frame="1"/>
          <w:shd w:val="clear" w:color="auto" w:fill="FFFFFF"/>
        </w:rPr>
        <w:t>Kreisverband</w:t>
      </w:r>
      <w:proofErr w:type="spellEnd"/>
      <w:r w:rsidR="006501B6" w:rsidRPr="006501B6">
        <w:rPr>
          <w:rStyle w:val="Emphasis"/>
          <w:rFonts w:ascii="Arial" w:hAnsi="Arial" w:cs="Arial"/>
          <w:i w:val="0"/>
          <w:sz w:val="24"/>
          <w:szCs w:val="24"/>
          <w:bdr w:val="none" w:sz="0" w:space="0" w:color="auto" w:frame="1"/>
          <w:shd w:val="clear" w:color="auto" w:fill="FFFFFF"/>
        </w:rPr>
        <w:t xml:space="preserve"> </w:t>
      </w:r>
      <w:proofErr w:type="spellStart"/>
      <w:r w:rsidR="006501B6" w:rsidRPr="006501B6">
        <w:rPr>
          <w:rStyle w:val="Emphasis"/>
          <w:rFonts w:ascii="Arial" w:hAnsi="Arial" w:cs="Arial"/>
          <w:i w:val="0"/>
          <w:sz w:val="24"/>
          <w:szCs w:val="24"/>
          <w:bdr w:val="none" w:sz="0" w:space="0" w:color="auto" w:frame="1"/>
          <w:shd w:val="clear" w:color="auto" w:fill="FFFFFF"/>
        </w:rPr>
        <w:t>Waldshut</w:t>
      </w:r>
      <w:proofErr w:type="spellEnd"/>
      <w:r w:rsidR="00FA2345">
        <w:rPr>
          <w:rStyle w:val="Emphasis"/>
          <w:rFonts w:ascii="Arial" w:hAnsi="Arial" w:cs="Arial"/>
          <w:i w:val="0"/>
          <w:sz w:val="24"/>
          <w:szCs w:val="24"/>
          <w:bdr w:val="none" w:sz="0" w:space="0" w:color="auto" w:frame="1"/>
          <w:shd w:val="clear" w:color="auto" w:fill="FFFFFF"/>
        </w:rPr>
        <w:t xml:space="preserve"> </w:t>
      </w:r>
      <w:r w:rsidR="00360E0D">
        <w:rPr>
          <w:rStyle w:val="Emphasis"/>
          <w:rFonts w:ascii="Arial" w:hAnsi="Arial" w:cs="Arial"/>
          <w:i w:val="0"/>
          <w:sz w:val="24"/>
          <w:szCs w:val="24"/>
          <w:bdr w:val="none" w:sz="0" w:space="0" w:color="auto" w:frame="1"/>
          <w:shd w:val="clear" w:color="auto" w:fill="FFFFFF"/>
        </w:rPr>
        <w:t>[2004].</w:t>
      </w:r>
    </w:p>
    <w:p w:rsidR="00E96D19" w:rsidRDefault="00D16020" w:rsidP="00740789">
      <w:pPr>
        <w:rPr>
          <w:rFonts w:ascii="Arial" w:hAnsi="Arial" w:cs="Arial"/>
          <w:sz w:val="24"/>
          <w:szCs w:val="24"/>
          <w:lang w:val="it-IT"/>
        </w:rPr>
      </w:pPr>
      <w:r>
        <w:rPr>
          <w:rStyle w:val="Emphasis"/>
          <w:rFonts w:ascii="Arial" w:hAnsi="Arial" w:cs="Arial"/>
          <w:i w:val="0"/>
          <w:sz w:val="24"/>
          <w:szCs w:val="24"/>
          <w:bdr w:val="none" w:sz="0" w:space="0" w:color="auto" w:frame="1"/>
          <w:shd w:val="clear" w:color="auto" w:fill="FFFFFF"/>
        </w:rPr>
        <w:t>Indirect effect is another key principle in EU law, indirect effect</w:t>
      </w:r>
      <w:r w:rsidR="003E38C2">
        <w:rPr>
          <w:rStyle w:val="Emphasis"/>
          <w:rFonts w:ascii="Arial" w:hAnsi="Arial" w:cs="Arial"/>
          <w:i w:val="0"/>
          <w:sz w:val="24"/>
          <w:szCs w:val="24"/>
          <w:bdr w:val="none" w:sz="0" w:space="0" w:color="auto" w:frame="1"/>
          <w:shd w:val="clear" w:color="auto" w:fill="FFFFFF"/>
        </w:rPr>
        <w:t xml:space="preserve"> differs from direct effect as it focuses on </w:t>
      </w:r>
      <w:r w:rsidR="00376AB1">
        <w:rPr>
          <w:rStyle w:val="Emphasis"/>
          <w:rFonts w:ascii="Arial" w:hAnsi="Arial" w:cs="Arial"/>
          <w:i w:val="0"/>
          <w:sz w:val="24"/>
          <w:szCs w:val="24"/>
          <w:bdr w:val="none" w:sz="0" w:space="0" w:color="auto" w:frame="1"/>
          <w:shd w:val="clear" w:color="auto" w:fill="FFFFFF"/>
        </w:rPr>
        <w:t xml:space="preserve">making sure </w:t>
      </w:r>
      <w:r w:rsidR="001F75B2">
        <w:rPr>
          <w:rStyle w:val="Emphasis"/>
          <w:rFonts w:ascii="Arial" w:hAnsi="Arial" w:cs="Arial"/>
          <w:i w:val="0"/>
          <w:sz w:val="24"/>
          <w:szCs w:val="24"/>
          <w:bdr w:val="none" w:sz="0" w:space="0" w:color="auto" w:frame="1"/>
          <w:shd w:val="clear" w:color="auto" w:fill="FFFFFF"/>
        </w:rPr>
        <w:t xml:space="preserve">that </w:t>
      </w:r>
      <w:r w:rsidR="00376AB1">
        <w:rPr>
          <w:rStyle w:val="Emphasis"/>
          <w:rFonts w:ascii="Arial" w:hAnsi="Arial" w:cs="Arial"/>
          <w:i w:val="0"/>
          <w:sz w:val="24"/>
          <w:szCs w:val="24"/>
          <w:bdr w:val="none" w:sz="0" w:space="0" w:color="auto" w:frame="1"/>
          <w:shd w:val="clear" w:color="auto" w:fill="FFFFFF"/>
        </w:rPr>
        <w:t xml:space="preserve">national authorities of member states apply directives in an adequate way, </w:t>
      </w:r>
      <w:r w:rsidR="000E3983">
        <w:rPr>
          <w:rStyle w:val="Emphasis"/>
          <w:rFonts w:ascii="Arial" w:hAnsi="Arial" w:cs="Arial"/>
          <w:i w:val="0"/>
          <w:sz w:val="24"/>
          <w:szCs w:val="24"/>
          <w:bdr w:val="none" w:sz="0" w:space="0" w:color="auto" w:frame="1"/>
          <w:shd w:val="clear" w:color="auto" w:fill="FFFFFF"/>
        </w:rPr>
        <w:t xml:space="preserve">quoting </w:t>
      </w:r>
      <w:r w:rsidR="000E3983">
        <w:rPr>
          <w:rStyle w:val="Emphasis"/>
          <w:rFonts w:ascii="Arial" w:hAnsi="Arial" w:cs="Arial"/>
          <w:sz w:val="24"/>
          <w:szCs w:val="24"/>
          <w:bdr w:val="none" w:sz="0" w:space="0" w:color="auto" w:frame="1"/>
          <w:shd w:val="clear" w:color="auto" w:fill="FFFFFF"/>
        </w:rPr>
        <w:t xml:space="preserve">European Observatory of Working Life </w:t>
      </w:r>
      <w:r w:rsidR="000E3983">
        <w:rPr>
          <w:rStyle w:val="Emphasis"/>
          <w:rFonts w:ascii="Arial" w:hAnsi="Arial" w:cs="Arial"/>
          <w:i w:val="0"/>
          <w:sz w:val="24"/>
          <w:szCs w:val="24"/>
          <w:bdr w:val="none" w:sz="0" w:space="0" w:color="auto" w:frame="1"/>
          <w:shd w:val="clear" w:color="auto" w:fill="FFFFFF"/>
        </w:rPr>
        <w:t xml:space="preserve">(2017), para 19, </w:t>
      </w:r>
      <w:r w:rsidR="000E3983" w:rsidRPr="000E3983">
        <w:rPr>
          <w:rStyle w:val="Emphasis"/>
          <w:rFonts w:ascii="Arial" w:hAnsi="Arial" w:cs="Arial"/>
          <w:i w:val="0"/>
          <w:sz w:val="24"/>
          <w:szCs w:val="24"/>
          <w:bdr w:val="none" w:sz="0" w:space="0" w:color="auto" w:frame="1"/>
          <w:shd w:val="clear" w:color="auto" w:fill="FFFFFF"/>
        </w:rPr>
        <w:t>“</w:t>
      </w:r>
      <w:r w:rsidR="000E3983" w:rsidRPr="000E3983">
        <w:rPr>
          <w:rFonts w:ascii="Arial" w:hAnsi="Arial" w:cs="Arial"/>
          <w:sz w:val="24"/>
          <w:szCs w:val="24"/>
          <w:shd w:val="clear" w:color="auto" w:fill="FFFFFF"/>
        </w:rPr>
        <w:t xml:space="preserve">The doctrine of indirect effect requires national courts, as organs of </w:t>
      </w:r>
      <w:r w:rsidR="000E3983" w:rsidRPr="000E3983">
        <w:rPr>
          <w:rFonts w:ascii="Arial" w:hAnsi="Arial" w:cs="Arial"/>
          <w:sz w:val="24"/>
          <w:szCs w:val="24"/>
          <w:shd w:val="clear" w:color="auto" w:fill="FFFFFF"/>
        </w:rPr>
        <w:lastRenderedPageBreak/>
        <w:t>the Member State responsible for the fulfilment of EU obligations, to interpret domestic law consistently with directives. This doctrine achieves indirectly, through the technique of judicial interpretation of domestic law, the result obtainable through the doctrine of direct effect of directives.</w:t>
      </w:r>
      <w:r w:rsidR="00930D32">
        <w:rPr>
          <w:rFonts w:ascii="Arial" w:hAnsi="Arial" w:cs="Arial"/>
          <w:sz w:val="24"/>
          <w:szCs w:val="24"/>
          <w:shd w:val="clear" w:color="auto" w:fill="FFFFFF"/>
        </w:rPr>
        <w:t xml:space="preserve">” </w:t>
      </w:r>
      <w:r w:rsidR="001D737D">
        <w:rPr>
          <w:rFonts w:ascii="Arial" w:hAnsi="Arial" w:cs="Arial"/>
          <w:sz w:val="24"/>
          <w:szCs w:val="24"/>
          <w:shd w:val="clear" w:color="auto" w:fill="FFFFFF"/>
        </w:rPr>
        <w:t xml:space="preserve">Adding onto this definition of indirect effect, </w:t>
      </w:r>
      <w:r w:rsidR="00496322">
        <w:rPr>
          <w:rFonts w:ascii="Arial" w:hAnsi="Arial" w:cs="Arial"/>
          <w:sz w:val="24"/>
          <w:szCs w:val="24"/>
          <w:shd w:val="clear" w:color="auto" w:fill="FFFFFF"/>
        </w:rPr>
        <w:t>this</w:t>
      </w:r>
      <w:r w:rsidR="00666631">
        <w:rPr>
          <w:rFonts w:ascii="Arial" w:hAnsi="Arial" w:cs="Arial"/>
          <w:sz w:val="24"/>
          <w:szCs w:val="24"/>
          <w:shd w:val="clear" w:color="auto" w:fill="FFFFFF"/>
        </w:rPr>
        <w:t xml:space="preserve"> principle</w:t>
      </w:r>
      <w:r w:rsidR="00496322">
        <w:rPr>
          <w:rFonts w:ascii="Arial" w:hAnsi="Arial" w:cs="Arial"/>
          <w:sz w:val="24"/>
          <w:szCs w:val="24"/>
          <w:shd w:val="clear" w:color="auto" w:fill="FFFFFF"/>
        </w:rPr>
        <w:t xml:space="preserve"> of EU law</w:t>
      </w:r>
      <w:r w:rsidR="00666631">
        <w:rPr>
          <w:rFonts w:ascii="Arial" w:hAnsi="Arial" w:cs="Arial"/>
          <w:sz w:val="24"/>
          <w:szCs w:val="24"/>
          <w:shd w:val="clear" w:color="auto" w:fill="FFFFFF"/>
        </w:rPr>
        <w:t xml:space="preserve"> was developed significantly in the case of </w:t>
      </w:r>
      <w:r w:rsidR="00666631">
        <w:rPr>
          <w:rFonts w:ascii="Arial" w:hAnsi="Arial" w:cs="Arial"/>
          <w:sz w:val="24"/>
          <w:szCs w:val="24"/>
          <w:lang w:val="it-IT"/>
        </w:rPr>
        <w:t xml:space="preserve">Von Colson [1984] where the judgement was that Article 4(3) TFEU meant that </w:t>
      </w:r>
      <w:r w:rsidR="00A503EE">
        <w:rPr>
          <w:rFonts w:ascii="Arial" w:hAnsi="Arial" w:cs="Arial"/>
          <w:sz w:val="24"/>
          <w:szCs w:val="24"/>
          <w:lang w:val="it-IT"/>
        </w:rPr>
        <w:t xml:space="preserve">national courts must </w:t>
      </w:r>
      <w:r w:rsidR="001F3B4C">
        <w:rPr>
          <w:rFonts w:ascii="Arial" w:hAnsi="Arial" w:cs="Arial"/>
          <w:sz w:val="24"/>
          <w:szCs w:val="24"/>
          <w:lang w:val="it-IT"/>
        </w:rPr>
        <w:t xml:space="preserve">interprut </w:t>
      </w:r>
      <w:r w:rsidR="003D66BA">
        <w:rPr>
          <w:rFonts w:ascii="Arial" w:hAnsi="Arial" w:cs="Arial"/>
          <w:sz w:val="24"/>
          <w:szCs w:val="24"/>
          <w:lang w:val="it-IT"/>
        </w:rPr>
        <w:t>laws in line with EU directives in order to maintain unity between member states and the bodies of European Union.</w:t>
      </w:r>
    </w:p>
    <w:p w:rsidR="004E0779" w:rsidRDefault="003A4252" w:rsidP="00D62C57">
      <w:pPr>
        <w:rPr>
          <w:rFonts w:ascii="Arial" w:hAnsi="Arial" w:cs="Arial"/>
          <w:sz w:val="24"/>
          <w:szCs w:val="24"/>
        </w:rPr>
      </w:pPr>
      <w:r>
        <w:rPr>
          <w:rFonts w:ascii="Arial" w:hAnsi="Arial" w:cs="Arial"/>
          <w:sz w:val="24"/>
          <w:szCs w:val="24"/>
          <w:lang w:val="it-IT"/>
        </w:rPr>
        <w:t>Member state liability holds member states responsible for any violations of rights or laws in the EU, individuals can se</w:t>
      </w:r>
      <w:r w:rsidR="002E18AD">
        <w:rPr>
          <w:rFonts w:ascii="Arial" w:hAnsi="Arial" w:cs="Arial"/>
          <w:sz w:val="24"/>
          <w:szCs w:val="24"/>
          <w:lang w:val="it-IT"/>
        </w:rPr>
        <w:t>ek damages under EU law for loss suffered as a result of the state, this can be seen in Francovich v Italy [1991]</w:t>
      </w:r>
      <w:r w:rsidR="0024255A">
        <w:rPr>
          <w:rFonts w:ascii="Arial" w:hAnsi="Arial" w:cs="Arial"/>
          <w:sz w:val="24"/>
          <w:szCs w:val="24"/>
          <w:lang w:val="it-IT"/>
        </w:rPr>
        <w:t xml:space="preserve"> and </w:t>
      </w:r>
      <w:r w:rsidR="0024255A" w:rsidRPr="0014433E">
        <w:rPr>
          <w:rFonts w:ascii="Arial" w:hAnsi="Arial" w:cs="Arial"/>
          <w:sz w:val="24"/>
          <w:szCs w:val="24"/>
          <w:lang w:val="fr-FR"/>
        </w:rPr>
        <w:t>Brasserie du Pécheur/</w:t>
      </w:r>
      <w:proofErr w:type="spellStart"/>
      <w:r w:rsidR="0024255A" w:rsidRPr="0014433E">
        <w:rPr>
          <w:rFonts w:ascii="Arial" w:hAnsi="Arial" w:cs="Arial"/>
          <w:sz w:val="24"/>
          <w:szCs w:val="24"/>
          <w:lang w:val="fr-FR"/>
        </w:rPr>
        <w:t>Facortame</w:t>
      </w:r>
      <w:proofErr w:type="spellEnd"/>
      <w:r w:rsidR="0024255A" w:rsidRPr="0014433E">
        <w:rPr>
          <w:rFonts w:ascii="Arial" w:hAnsi="Arial" w:cs="Arial"/>
          <w:sz w:val="24"/>
          <w:szCs w:val="24"/>
          <w:lang w:val="fr-FR"/>
        </w:rPr>
        <w:t xml:space="preserve"> </w:t>
      </w:r>
      <w:r w:rsidR="0024255A">
        <w:rPr>
          <w:rFonts w:ascii="Arial" w:hAnsi="Arial" w:cs="Arial"/>
          <w:sz w:val="24"/>
          <w:szCs w:val="24"/>
          <w:lang w:val="fr-FR"/>
        </w:rPr>
        <w:t>III [1996]</w:t>
      </w:r>
      <w:r w:rsidR="00D824D6">
        <w:rPr>
          <w:rFonts w:ascii="Arial" w:hAnsi="Arial" w:cs="Arial"/>
          <w:sz w:val="24"/>
          <w:szCs w:val="24"/>
          <w:lang w:val="fr-FR"/>
        </w:rPr>
        <w:t>.</w:t>
      </w:r>
      <w:r w:rsidR="00691CEA">
        <w:rPr>
          <w:rFonts w:ascii="Arial" w:hAnsi="Arial" w:cs="Arial"/>
          <w:sz w:val="24"/>
          <w:szCs w:val="24"/>
          <w:lang w:val="fr-FR"/>
        </w:rPr>
        <w:t xml:space="preserve"> </w:t>
      </w:r>
      <w:r w:rsidR="000D6260">
        <w:rPr>
          <w:rFonts w:ascii="Arial" w:hAnsi="Arial" w:cs="Arial"/>
          <w:sz w:val="24"/>
          <w:szCs w:val="24"/>
          <w:lang w:val="fr-FR"/>
        </w:rPr>
        <w:t xml:space="preserve">Brasserie du Pécheur </w:t>
      </w:r>
      <w:proofErr w:type="spellStart"/>
      <w:r w:rsidR="000D6260">
        <w:rPr>
          <w:rFonts w:ascii="Arial" w:hAnsi="Arial" w:cs="Arial"/>
          <w:sz w:val="24"/>
          <w:szCs w:val="24"/>
          <w:lang w:val="fr-FR"/>
        </w:rPr>
        <w:t>was</w:t>
      </w:r>
      <w:proofErr w:type="spellEnd"/>
      <w:r w:rsidR="000D6260">
        <w:rPr>
          <w:rFonts w:ascii="Arial" w:hAnsi="Arial" w:cs="Arial"/>
          <w:sz w:val="24"/>
          <w:szCs w:val="24"/>
          <w:lang w:val="fr-FR"/>
        </w:rPr>
        <w:t xml:space="preserve"> </w:t>
      </w:r>
      <w:proofErr w:type="spellStart"/>
      <w:r w:rsidR="000D6260">
        <w:rPr>
          <w:rFonts w:ascii="Arial" w:hAnsi="Arial" w:cs="Arial"/>
          <w:sz w:val="24"/>
          <w:szCs w:val="24"/>
          <w:lang w:val="fr-FR"/>
        </w:rPr>
        <w:t>combined</w:t>
      </w:r>
      <w:proofErr w:type="spellEnd"/>
      <w:r w:rsidR="000D6260">
        <w:rPr>
          <w:rFonts w:ascii="Arial" w:hAnsi="Arial" w:cs="Arial"/>
          <w:sz w:val="24"/>
          <w:szCs w:val="24"/>
          <w:lang w:val="fr-FR"/>
        </w:rPr>
        <w:t xml:space="preserve"> </w:t>
      </w:r>
      <w:proofErr w:type="spellStart"/>
      <w:r w:rsidR="000D6260">
        <w:rPr>
          <w:rFonts w:ascii="Arial" w:hAnsi="Arial" w:cs="Arial"/>
          <w:sz w:val="24"/>
          <w:szCs w:val="24"/>
          <w:lang w:val="fr-FR"/>
        </w:rPr>
        <w:t>with</w:t>
      </w:r>
      <w:proofErr w:type="spellEnd"/>
      <w:r w:rsidR="000D6260">
        <w:rPr>
          <w:rFonts w:ascii="Arial" w:hAnsi="Arial" w:cs="Arial"/>
          <w:sz w:val="24"/>
          <w:szCs w:val="24"/>
          <w:lang w:val="fr-FR"/>
        </w:rPr>
        <w:t xml:space="preserve"> the </w:t>
      </w:r>
      <w:proofErr w:type="spellStart"/>
      <w:r w:rsidR="007916D3" w:rsidRPr="0014433E">
        <w:rPr>
          <w:rFonts w:ascii="Arial" w:hAnsi="Arial" w:cs="Arial"/>
          <w:sz w:val="24"/>
          <w:szCs w:val="24"/>
          <w:lang w:val="fr-FR"/>
        </w:rPr>
        <w:t>Facortame</w:t>
      </w:r>
      <w:proofErr w:type="spellEnd"/>
      <w:r w:rsidR="007916D3">
        <w:rPr>
          <w:rFonts w:ascii="Arial" w:hAnsi="Arial" w:cs="Arial"/>
          <w:sz w:val="24"/>
          <w:szCs w:val="24"/>
          <w:lang w:val="fr-FR"/>
        </w:rPr>
        <w:t xml:space="preserve"> </w:t>
      </w:r>
      <w:r w:rsidR="000D6260">
        <w:rPr>
          <w:rFonts w:ascii="Arial" w:hAnsi="Arial" w:cs="Arial"/>
          <w:sz w:val="24"/>
          <w:szCs w:val="24"/>
          <w:lang w:val="fr-FR"/>
        </w:rPr>
        <w:t xml:space="preserve">Ltd case, </w:t>
      </w:r>
      <w:proofErr w:type="spellStart"/>
      <w:r w:rsidR="000D6260">
        <w:rPr>
          <w:rFonts w:ascii="Arial" w:hAnsi="Arial" w:cs="Arial"/>
          <w:sz w:val="24"/>
          <w:szCs w:val="24"/>
          <w:lang w:val="fr-FR"/>
        </w:rPr>
        <w:t>this</w:t>
      </w:r>
      <w:proofErr w:type="spellEnd"/>
      <w:r w:rsidR="000D6260">
        <w:rPr>
          <w:rFonts w:ascii="Arial" w:hAnsi="Arial" w:cs="Arial"/>
          <w:sz w:val="24"/>
          <w:szCs w:val="24"/>
          <w:lang w:val="fr-FR"/>
        </w:rPr>
        <w:t xml:space="preserve"> </w:t>
      </w:r>
      <w:proofErr w:type="spellStart"/>
      <w:r w:rsidR="007916D3">
        <w:rPr>
          <w:rFonts w:ascii="Arial" w:hAnsi="Arial" w:cs="Arial"/>
          <w:sz w:val="24"/>
          <w:szCs w:val="24"/>
          <w:lang w:val="fr-FR"/>
        </w:rPr>
        <w:t>was</w:t>
      </w:r>
      <w:proofErr w:type="spellEnd"/>
      <w:r w:rsidR="007916D3">
        <w:rPr>
          <w:rFonts w:ascii="Arial" w:hAnsi="Arial" w:cs="Arial"/>
          <w:sz w:val="24"/>
          <w:szCs w:val="24"/>
          <w:lang w:val="fr-FR"/>
        </w:rPr>
        <w:t xml:space="preserve"> esp</w:t>
      </w:r>
      <w:proofErr w:type="spellStart"/>
      <w:r w:rsidR="007916D3">
        <w:rPr>
          <w:rFonts w:ascii="Arial" w:hAnsi="Arial" w:cs="Arial"/>
          <w:sz w:val="24"/>
          <w:szCs w:val="24"/>
        </w:rPr>
        <w:t>ecially</w:t>
      </w:r>
      <w:proofErr w:type="spellEnd"/>
      <w:r w:rsidR="007916D3">
        <w:rPr>
          <w:rFonts w:ascii="Arial" w:hAnsi="Arial" w:cs="Arial"/>
          <w:sz w:val="24"/>
          <w:szCs w:val="24"/>
        </w:rPr>
        <w:t xml:space="preserve"> important due to the case establishing the conditions needed in order for there to have been state liability and </w:t>
      </w:r>
      <w:r w:rsidR="004B2A45">
        <w:rPr>
          <w:rFonts w:ascii="Arial" w:hAnsi="Arial" w:cs="Arial"/>
          <w:sz w:val="24"/>
          <w:szCs w:val="24"/>
        </w:rPr>
        <w:t xml:space="preserve">provided </w:t>
      </w:r>
      <w:r w:rsidR="007916D3">
        <w:rPr>
          <w:rFonts w:ascii="Arial" w:hAnsi="Arial" w:cs="Arial"/>
          <w:sz w:val="24"/>
          <w:szCs w:val="24"/>
        </w:rPr>
        <w:t>a test for serious breach of rights.</w:t>
      </w:r>
      <w:r w:rsidR="006859BA">
        <w:rPr>
          <w:rFonts w:ascii="Arial" w:hAnsi="Arial" w:cs="Arial"/>
          <w:sz w:val="24"/>
          <w:szCs w:val="24"/>
        </w:rPr>
        <w:t xml:space="preserve"> Additionally, regarding the judgement in </w:t>
      </w:r>
      <w:r w:rsidR="006859BA" w:rsidRPr="0014433E">
        <w:rPr>
          <w:rFonts w:ascii="Arial" w:hAnsi="Arial" w:cs="Arial"/>
          <w:sz w:val="24"/>
          <w:szCs w:val="24"/>
          <w:lang w:val="fr-FR"/>
        </w:rPr>
        <w:t>Pécheur/</w:t>
      </w:r>
      <w:proofErr w:type="spellStart"/>
      <w:r w:rsidR="006859BA" w:rsidRPr="0014433E">
        <w:rPr>
          <w:rFonts w:ascii="Arial" w:hAnsi="Arial" w:cs="Arial"/>
          <w:sz w:val="24"/>
          <w:szCs w:val="24"/>
          <w:lang w:val="fr-FR"/>
        </w:rPr>
        <w:t>Facortame</w:t>
      </w:r>
      <w:proofErr w:type="spellEnd"/>
      <w:r w:rsidR="006859BA" w:rsidRPr="0014433E">
        <w:rPr>
          <w:rFonts w:ascii="Arial" w:hAnsi="Arial" w:cs="Arial"/>
          <w:sz w:val="24"/>
          <w:szCs w:val="24"/>
          <w:lang w:val="fr-FR"/>
        </w:rPr>
        <w:t xml:space="preserve"> </w:t>
      </w:r>
      <w:r w:rsidR="006859BA">
        <w:rPr>
          <w:rFonts w:ascii="Arial" w:hAnsi="Arial" w:cs="Arial"/>
          <w:sz w:val="24"/>
          <w:szCs w:val="24"/>
          <w:lang w:val="fr-FR"/>
        </w:rPr>
        <w:t>III [1996]</w:t>
      </w:r>
      <w:r w:rsidR="006859BA">
        <w:rPr>
          <w:rFonts w:ascii="Arial" w:hAnsi="Arial" w:cs="Arial"/>
          <w:sz w:val="24"/>
          <w:szCs w:val="24"/>
          <w:lang w:val="fr-FR"/>
        </w:rPr>
        <w:t>,</w:t>
      </w:r>
      <w:r w:rsidR="006859BA">
        <w:rPr>
          <w:rFonts w:ascii="Arial" w:hAnsi="Arial" w:cs="Arial"/>
          <w:sz w:val="24"/>
          <w:szCs w:val="24"/>
        </w:rPr>
        <w:t xml:space="preserve"> </w:t>
      </w:r>
      <w:proofErr w:type="spellStart"/>
      <w:r w:rsidR="00A20017">
        <w:rPr>
          <w:rFonts w:ascii="Arial" w:hAnsi="Arial" w:cs="Arial"/>
          <w:sz w:val="24"/>
          <w:szCs w:val="24"/>
        </w:rPr>
        <w:t>Tridimas</w:t>
      </w:r>
      <w:proofErr w:type="spellEnd"/>
      <w:r w:rsidR="00A20017">
        <w:rPr>
          <w:rFonts w:ascii="Arial" w:hAnsi="Arial" w:cs="Arial"/>
          <w:sz w:val="24"/>
          <w:szCs w:val="24"/>
        </w:rPr>
        <w:t xml:space="preserve"> (2009</w:t>
      </w:r>
      <w:r w:rsidR="006859BA">
        <w:rPr>
          <w:rFonts w:ascii="Arial" w:hAnsi="Arial" w:cs="Arial"/>
          <w:sz w:val="24"/>
          <w:szCs w:val="24"/>
        </w:rPr>
        <w:t>) states</w:t>
      </w:r>
      <w:r w:rsidR="007916D3">
        <w:rPr>
          <w:rFonts w:ascii="Arial" w:hAnsi="Arial" w:cs="Arial"/>
          <w:sz w:val="24"/>
          <w:szCs w:val="24"/>
        </w:rPr>
        <w:t xml:space="preserve"> </w:t>
      </w:r>
      <w:r w:rsidR="000E54A7">
        <w:rPr>
          <w:rFonts w:ascii="Arial" w:hAnsi="Arial" w:cs="Arial"/>
          <w:sz w:val="24"/>
          <w:szCs w:val="24"/>
        </w:rPr>
        <w:t>“</w:t>
      </w:r>
      <w:r w:rsidR="00A20017">
        <w:rPr>
          <w:rFonts w:ascii="Arial" w:hAnsi="Arial" w:cs="Arial"/>
          <w:sz w:val="24"/>
          <w:szCs w:val="24"/>
        </w:rPr>
        <w:t>The court established that member state liability in damages is a universal principle</w:t>
      </w:r>
      <w:r w:rsidR="000E54A7" w:rsidRPr="000E54A7">
        <w:rPr>
          <w:rFonts w:ascii="Arial" w:hAnsi="Arial" w:cs="Arial"/>
          <w:sz w:val="24"/>
          <w:szCs w:val="24"/>
        </w:rPr>
        <w:t>.</w:t>
      </w:r>
      <w:r w:rsidR="000E54A7">
        <w:rPr>
          <w:rFonts w:ascii="Arial" w:hAnsi="Arial" w:cs="Arial"/>
          <w:sz w:val="24"/>
          <w:szCs w:val="24"/>
        </w:rPr>
        <w:t>”</w:t>
      </w:r>
      <w:r w:rsidR="00A20017">
        <w:rPr>
          <w:rFonts w:ascii="Arial" w:hAnsi="Arial" w:cs="Arial"/>
          <w:sz w:val="24"/>
          <w:szCs w:val="24"/>
        </w:rPr>
        <w:t xml:space="preserve"> This was a signifi</w:t>
      </w:r>
      <w:r w:rsidR="005657FE">
        <w:rPr>
          <w:rFonts w:ascii="Arial" w:hAnsi="Arial" w:cs="Arial"/>
          <w:sz w:val="24"/>
          <w:szCs w:val="24"/>
        </w:rPr>
        <w:t xml:space="preserve">cant breakthrough made by the ECJ on member state liability as </w:t>
      </w:r>
      <w:r w:rsidR="003430F3">
        <w:rPr>
          <w:rFonts w:ascii="Arial" w:hAnsi="Arial" w:cs="Arial"/>
          <w:sz w:val="24"/>
          <w:szCs w:val="24"/>
        </w:rPr>
        <w:t>the court summed up the benefit by stating it would aid “any</w:t>
      </w:r>
      <w:r w:rsidR="00F135D1">
        <w:rPr>
          <w:rFonts w:ascii="Arial" w:hAnsi="Arial" w:cs="Arial"/>
          <w:sz w:val="24"/>
          <w:szCs w:val="24"/>
        </w:rPr>
        <w:t xml:space="preserve"> case in which a member state breaches community law, whatever be the organ of the state whose act or omission was responsible for the breach.” </w:t>
      </w:r>
      <w:r w:rsidR="00D32281">
        <w:rPr>
          <w:rFonts w:ascii="Arial" w:hAnsi="Arial" w:cs="Arial"/>
          <w:sz w:val="24"/>
          <w:szCs w:val="24"/>
        </w:rPr>
        <w:t>Returning to an earlier point on member state liability, the judgement in this case further places more accountability on member states to f</w:t>
      </w:r>
      <w:r w:rsidR="003502C9">
        <w:rPr>
          <w:rFonts w:ascii="Arial" w:hAnsi="Arial" w:cs="Arial"/>
          <w:sz w:val="24"/>
          <w:szCs w:val="24"/>
        </w:rPr>
        <w:t>all in line and act accordingly when trying to maintain order.</w:t>
      </w:r>
      <w:r w:rsidR="00DC5455">
        <w:rPr>
          <w:rFonts w:ascii="Arial" w:hAnsi="Arial" w:cs="Arial"/>
          <w:sz w:val="24"/>
          <w:szCs w:val="24"/>
        </w:rPr>
        <w:t xml:space="preserve"> Art. 258 TFEU is used when a member state breaches their obligations.  </w:t>
      </w:r>
    </w:p>
    <w:p w:rsidR="00982689" w:rsidRPr="00BF7DB1" w:rsidRDefault="00982689" w:rsidP="00D62C57">
      <w:pPr>
        <w:rPr>
          <w:rFonts w:ascii="Arial" w:hAnsi="Arial" w:cs="Arial"/>
          <w:sz w:val="24"/>
          <w:szCs w:val="24"/>
        </w:rPr>
      </w:pPr>
      <w:r>
        <w:rPr>
          <w:rFonts w:ascii="Arial" w:hAnsi="Arial" w:cs="Arial"/>
          <w:sz w:val="24"/>
          <w:szCs w:val="24"/>
        </w:rPr>
        <w:t xml:space="preserve">To conclude everything that has been discussed, </w:t>
      </w:r>
      <w:r w:rsidR="00806C33">
        <w:rPr>
          <w:rFonts w:ascii="Arial" w:hAnsi="Arial" w:cs="Arial"/>
          <w:sz w:val="24"/>
          <w:szCs w:val="24"/>
        </w:rPr>
        <w:t xml:space="preserve">the principles of direct effect, indirect effect and member state liability </w:t>
      </w:r>
      <w:r w:rsidR="00846298">
        <w:rPr>
          <w:rFonts w:ascii="Arial" w:hAnsi="Arial" w:cs="Arial"/>
          <w:sz w:val="24"/>
          <w:szCs w:val="24"/>
        </w:rPr>
        <w:t>have been effective in how they are implemented because there is a road map that can be pointed to in the case law where</w:t>
      </w:r>
      <w:r w:rsidR="00080462">
        <w:rPr>
          <w:rFonts w:ascii="Arial" w:hAnsi="Arial" w:cs="Arial"/>
          <w:sz w:val="24"/>
          <w:szCs w:val="24"/>
        </w:rPr>
        <w:t xml:space="preserve"> you can see that</w:t>
      </w:r>
      <w:r w:rsidR="00846298">
        <w:rPr>
          <w:rFonts w:ascii="Arial" w:hAnsi="Arial" w:cs="Arial"/>
          <w:sz w:val="24"/>
          <w:szCs w:val="24"/>
        </w:rPr>
        <w:t xml:space="preserve"> the principles have been established and developed. </w:t>
      </w:r>
      <w:r w:rsidR="009921DE">
        <w:rPr>
          <w:rFonts w:ascii="Arial" w:hAnsi="Arial" w:cs="Arial"/>
          <w:sz w:val="24"/>
          <w:szCs w:val="24"/>
        </w:rPr>
        <w:t xml:space="preserve">In </w:t>
      </w:r>
      <w:r w:rsidR="009921DE" w:rsidRPr="0014433E">
        <w:rPr>
          <w:rFonts w:ascii="Arial" w:hAnsi="Arial" w:cs="Arial"/>
          <w:sz w:val="24"/>
          <w:szCs w:val="24"/>
          <w:lang w:val="fr-FR"/>
        </w:rPr>
        <w:t>Pécheur/</w:t>
      </w:r>
      <w:proofErr w:type="spellStart"/>
      <w:r w:rsidR="009921DE" w:rsidRPr="0014433E">
        <w:rPr>
          <w:rFonts w:ascii="Arial" w:hAnsi="Arial" w:cs="Arial"/>
          <w:sz w:val="24"/>
          <w:szCs w:val="24"/>
          <w:lang w:val="fr-FR"/>
        </w:rPr>
        <w:t>Facortame</w:t>
      </w:r>
      <w:proofErr w:type="spellEnd"/>
      <w:r w:rsidR="009921DE" w:rsidRPr="0014433E">
        <w:rPr>
          <w:rFonts w:ascii="Arial" w:hAnsi="Arial" w:cs="Arial"/>
          <w:sz w:val="24"/>
          <w:szCs w:val="24"/>
          <w:lang w:val="fr-FR"/>
        </w:rPr>
        <w:t xml:space="preserve"> </w:t>
      </w:r>
      <w:r w:rsidR="009921DE">
        <w:rPr>
          <w:rFonts w:ascii="Arial" w:hAnsi="Arial" w:cs="Arial"/>
          <w:sz w:val="24"/>
          <w:szCs w:val="24"/>
          <w:lang w:val="fr-FR"/>
        </w:rPr>
        <w:t>III</w:t>
      </w:r>
      <w:r w:rsidR="009921DE">
        <w:rPr>
          <w:rFonts w:ascii="Arial" w:hAnsi="Arial" w:cs="Arial"/>
          <w:sz w:val="24"/>
          <w:szCs w:val="24"/>
          <w:lang w:val="fr-FR"/>
        </w:rPr>
        <w:t xml:space="preserve">, </w:t>
      </w:r>
      <w:r w:rsidR="009921DE" w:rsidRPr="009921DE">
        <w:rPr>
          <w:rFonts w:ascii="Arial" w:hAnsi="Arial" w:cs="Arial"/>
          <w:sz w:val="24"/>
          <w:szCs w:val="24"/>
        </w:rPr>
        <w:t>member</w:t>
      </w:r>
      <w:r w:rsidR="009921DE">
        <w:rPr>
          <w:rFonts w:ascii="Arial" w:hAnsi="Arial" w:cs="Arial"/>
          <w:sz w:val="24"/>
          <w:szCs w:val="24"/>
          <w:lang w:val="fr-FR"/>
        </w:rPr>
        <w:t xml:space="preserve"> state </w:t>
      </w:r>
      <w:r w:rsidR="009921DE" w:rsidRPr="009921DE">
        <w:rPr>
          <w:rFonts w:ascii="Arial" w:hAnsi="Arial" w:cs="Arial"/>
          <w:sz w:val="24"/>
          <w:szCs w:val="24"/>
        </w:rPr>
        <w:t>liability</w:t>
      </w:r>
      <w:r w:rsidR="009921DE">
        <w:rPr>
          <w:rFonts w:ascii="Arial" w:hAnsi="Arial" w:cs="Arial"/>
          <w:sz w:val="24"/>
          <w:szCs w:val="24"/>
          <w:lang w:val="fr-FR"/>
        </w:rPr>
        <w:t xml:space="preserve"> </w:t>
      </w:r>
      <w:proofErr w:type="spellStart"/>
      <w:r w:rsidR="00A96B07">
        <w:rPr>
          <w:rFonts w:ascii="Arial" w:hAnsi="Arial" w:cs="Arial"/>
          <w:sz w:val="24"/>
          <w:szCs w:val="24"/>
          <w:lang w:val="fr-FR"/>
        </w:rPr>
        <w:t>was</w:t>
      </w:r>
      <w:proofErr w:type="spellEnd"/>
      <w:r w:rsidR="00A96B07">
        <w:rPr>
          <w:rFonts w:ascii="Arial" w:hAnsi="Arial" w:cs="Arial"/>
          <w:sz w:val="24"/>
          <w:szCs w:val="24"/>
          <w:lang w:val="fr-FR"/>
        </w:rPr>
        <w:t xml:space="preserve"> </w:t>
      </w:r>
      <w:proofErr w:type="spellStart"/>
      <w:r w:rsidR="00A96B07">
        <w:rPr>
          <w:rFonts w:ascii="Arial" w:hAnsi="Arial" w:cs="Arial"/>
          <w:sz w:val="24"/>
          <w:szCs w:val="24"/>
          <w:lang w:val="fr-FR"/>
        </w:rPr>
        <w:t>shown</w:t>
      </w:r>
      <w:proofErr w:type="spellEnd"/>
      <w:r w:rsidR="00A96B07">
        <w:rPr>
          <w:rFonts w:ascii="Arial" w:hAnsi="Arial" w:cs="Arial"/>
          <w:sz w:val="24"/>
          <w:szCs w:val="24"/>
          <w:lang w:val="fr-FR"/>
        </w:rPr>
        <w:t xml:space="preserve"> to </w:t>
      </w:r>
      <w:proofErr w:type="spellStart"/>
      <w:r w:rsidR="00A96B07">
        <w:rPr>
          <w:rFonts w:ascii="Arial" w:hAnsi="Arial" w:cs="Arial"/>
          <w:sz w:val="24"/>
          <w:szCs w:val="24"/>
          <w:lang w:val="fr-FR"/>
        </w:rPr>
        <w:t>be</w:t>
      </w:r>
      <w:proofErr w:type="spellEnd"/>
      <w:r w:rsidR="00A96B07">
        <w:rPr>
          <w:rFonts w:ascii="Arial" w:hAnsi="Arial" w:cs="Arial"/>
          <w:sz w:val="24"/>
          <w:szCs w:val="24"/>
          <w:lang w:val="fr-FR"/>
        </w:rPr>
        <w:t xml:space="preserve"> </w:t>
      </w:r>
      <w:r w:rsidR="00BF7DB1">
        <w:rPr>
          <w:rFonts w:ascii="Arial" w:hAnsi="Arial" w:cs="Arial"/>
          <w:sz w:val="24"/>
          <w:szCs w:val="24"/>
        </w:rPr>
        <w:t xml:space="preserve">applied for damages. </w:t>
      </w:r>
      <w:r w:rsidR="00E17D95">
        <w:rPr>
          <w:rFonts w:ascii="Arial" w:hAnsi="Arial" w:cs="Arial"/>
          <w:sz w:val="24"/>
          <w:szCs w:val="24"/>
        </w:rPr>
        <w:t xml:space="preserve">In terms of direct effect, the case of Van </w:t>
      </w:r>
      <w:proofErr w:type="spellStart"/>
      <w:r w:rsidR="00E17D95">
        <w:rPr>
          <w:rFonts w:ascii="Arial" w:hAnsi="Arial" w:cs="Arial"/>
          <w:sz w:val="24"/>
          <w:szCs w:val="24"/>
        </w:rPr>
        <w:t>Gend</w:t>
      </w:r>
      <w:proofErr w:type="spellEnd"/>
      <w:r w:rsidR="00E17D95">
        <w:rPr>
          <w:rFonts w:ascii="Arial" w:hAnsi="Arial" w:cs="Arial"/>
          <w:sz w:val="24"/>
          <w:szCs w:val="24"/>
        </w:rPr>
        <w:t xml:space="preserve"> </w:t>
      </w:r>
      <w:proofErr w:type="spellStart"/>
      <w:r w:rsidR="00E17D95">
        <w:rPr>
          <w:rFonts w:ascii="Arial" w:hAnsi="Arial" w:cs="Arial"/>
          <w:sz w:val="24"/>
          <w:szCs w:val="24"/>
        </w:rPr>
        <w:t>En</w:t>
      </w:r>
      <w:proofErr w:type="spellEnd"/>
      <w:r w:rsidR="00E17D95">
        <w:rPr>
          <w:rFonts w:ascii="Arial" w:hAnsi="Arial" w:cs="Arial"/>
          <w:sz w:val="24"/>
          <w:szCs w:val="24"/>
        </w:rPr>
        <w:t xml:space="preserve"> Loos </w:t>
      </w:r>
      <w:r w:rsidR="004C65D7">
        <w:rPr>
          <w:rFonts w:ascii="Arial" w:hAnsi="Arial" w:cs="Arial"/>
          <w:sz w:val="24"/>
          <w:szCs w:val="24"/>
        </w:rPr>
        <w:t xml:space="preserve">led to the development of the principle that is </w:t>
      </w:r>
      <w:r w:rsidR="004E3B3A">
        <w:rPr>
          <w:rFonts w:ascii="Arial" w:hAnsi="Arial" w:cs="Arial"/>
          <w:sz w:val="24"/>
          <w:szCs w:val="24"/>
        </w:rPr>
        <w:t xml:space="preserve">direct effect. The principle of indirect effect came about after the Von Colson case where </w:t>
      </w:r>
      <w:r w:rsidR="00555264">
        <w:rPr>
          <w:rFonts w:ascii="Arial" w:hAnsi="Arial" w:cs="Arial"/>
          <w:sz w:val="24"/>
          <w:szCs w:val="24"/>
        </w:rPr>
        <w:t xml:space="preserve">Art. 4(3) TFEU played a part in the judgement of the case and establishing that national courts should be aligned with the EU bodies when it came to interpreting laws. </w:t>
      </w:r>
    </w:p>
    <w:p w:rsidR="002E18AD" w:rsidRDefault="002E18AD" w:rsidP="002E18AD">
      <w:pPr>
        <w:jc w:val="both"/>
        <w:rPr>
          <w:rFonts w:ascii="Arial" w:hAnsi="Arial" w:cs="Arial"/>
          <w:sz w:val="24"/>
          <w:szCs w:val="24"/>
          <w:lang w:val="it-IT"/>
        </w:rPr>
      </w:pPr>
    </w:p>
    <w:p w:rsidR="00D51021" w:rsidRDefault="00D51021" w:rsidP="007174C0">
      <w:pPr>
        <w:rPr>
          <w:rFonts w:ascii="Arial" w:hAnsi="Arial" w:cs="Arial"/>
          <w:sz w:val="24"/>
          <w:szCs w:val="24"/>
          <w:u w:val="single"/>
        </w:rPr>
      </w:pPr>
    </w:p>
    <w:p w:rsidR="00D51021" w:rsidRDefault="00D51021" w:rsidP="007174C0">
      <w:pPr>
        <w:rPr>
          <w:rFonts w:ascii="Arial" w:hAnsi="Arial" w:cs="Arial"/>
          <w:sz w:val="24"/>
          <w:szCs w:val="24"/>
          <w:u w:val="single"/>
        </w:rPr>
      </w:pPr>
    </w:p>
    <w:p w:rsidR="00D51021" w:rsidRDefault="00D51021" w:rsidP="007174C0">
      <w:pPr>
        <w:rPr>
          <w:rFonts w:ascii="Arial" w:hAnsi="Arial" w:cs="Arial"/>
          <w:sz w:val="24"/>
          <w:szCs w:val="24"/>
          <w:u w:val="single"/>
        </w:rPr>
      </w:pPr>
    </w:p>
    <w:p w:rsidR="00D51021" w:rsidRDefault="00D51021" w:rsidP="007174C0">
      <w:pPr>
        <w:rPr>
          <w:rFonts w:ascii="Arial" w:hAnsi="Arial" w:cs="Arial"/>
          <w:sz w:val="24"/>
          <w:szCs w:val="24"/>
          <w:u w:val="single"/>
        </w:rPr>
      </w:pPr>
    </w:p>
    <w:p w:rsidR="00D51021" w:rsidRDefault="00D51021" w:rsidP="007174C0">
      <w:pPr>
        <w:rPr>
          <w:rFonts w:ascii="Arial" w:hAnsi="Arial" w:cs="Arial"/>
          <w:sz w:val="24"/>
          <w:szCs w:val="24"/>
          <w:u w:val="single"/>
        </w:rPr>
      </w:pPr>
    </w:p>
    <w:p w:rsidR="00D51021" w:rsidRDefault="00D51021" w:rsidP="007174C0">
      <w:pPr>
        <w:rPr>
          <w:rFonts w:ascii="Arial" w:hAnsi="Arial" w:cs="Arial"/>
          <w:sz w:val="24"/>
          <w:szCs w:val="24"/>
          <w:u w:val="single"/>
        </w:rPr>
      </w:pPr>
    </w:p>
    <w:p w:rsidR="007174C0" w:rsidRDefault="007174C0" w:rsidP="007174C0">
      <w:pPr>
        <w:rPr>
          <w:rFonts w:ascii="Arial" w:hAnsi="Arial" w:cs="Arial"/>
          <w:sz w:val="24"/>
          <w:szCs w:val="24"/>
          <w:u w:val="single"/>
        </w:rPr>
      </w:pPr>
      <w:bookmarkStart w:id="0" w:name="_GoBack"/>
      <w:bookmarkEnd w:id="0"/>
      <w:r>
        <w:rPr>
          <w:rFonts w:ascii="Arial" w:hAnsi="Arial" w:cs="Arial"/>
          <w:sz w:val="24"/>
          <w:szCs w:val="24"/>
          <w:u w:val="single"/>
        </w:rPr>
        <w:lastRenderedPageBreak/>
        <w:t>References</w:t>
      </w:r>
    </w:p>
    <w:p w:rsidR="007174C0" w:rsidRDefault="007174C0" w:rsidP="007174C0">
      <w:pPr>
        <w:pStyle w:val="NormalWeb"/>
        <w:rPr>
          <w:rFonts w:ascii="Arial" w:hAnsi="Arial" w:cs="Arial"/>
        </w:rPr>
      </w:pPr>
      <w:r w:rsidRPr="00E40014">
        <w:rPr>
          <w:rStyle w:val="Emphasis"/>
          <w:rFonts w:ascii="Arial" w:hAnsi="Arial" w:cs="Arial"/>
          <w:i w:val="0"/>
          <w:bdr w:val="none" w:sz="0" w:space="0" w:color="auto" w:frame="1"/>
          <w:shd w:val="clear" w:color="auto" w:fill="FFFFFF"/>
        </w:rPr>
        <w:t xml:space="preserve">European Observatory of Working </w:t>
      </w:r>
      <w:r>
        <w:rPr>
          <w:rStyle w:val="Emphasis"/>
          <w:rFonts w:ascii="Arial" w:hAnsi="Arial" w:cs="Arial"/>
          <w:i w:val="0"/>
          <w:bdr w:val="none" w:sz="0" w:space="0" w:color="auto" w:frame="1"/>
          <w:shd w:val="clear" w:color="auto" w:fill="FFFFFF"/>
        </w:rPr>
        <w:t>Life</w:t>
      </w:r>
      <w:r w:rsidRPr="00F41B13">
        <w:rPr>
          <w:rFonts w:ascii="Arial" w:hAnsi="Arial" w:cs="Arial"/>
        </w:rPr>
        <w:t>. (2011). </w:t>
      </w:r>
      <w:r w:rsidRPr="00F41B13">
        <w:rPr>
          <w:rFonts w:ascii="Arial" w:hAnsi="Arial" w:cs="Arial"/>
          <w:i/>
          <w:iCs/>
        </w:rPr>
        <w:t>Directives.</w:t>
      </w:r>
      <w:r w:rsidRPr="00F41B13">
        <w:rPr>
          <w:rFonts w:ascii="Arial" w:hAnsi="Arial" w:cs="Arial"/>
        </w:rPr>
        <w:t xml:space="preserve"> Available: </w:t>
      </w:r>
      <w:hyperlink r:id="rId4" w:anchor=":~:text=Article%20288%20TFEU%20provides%3A%20%E2%80%98A%20directive%20shall%20be,and%20industrial%20rel" w:history="1">
        <w:r w:rsidRPr="00383D8F">
          <w:rPr>
            <w:rStyle w:val="Hyperlink"/>
            <w:rFonts w:ascii="Arial" w:hAnsi="Arial" w:cs="Arial"/>
          </w:rPr>
          <w:t>https://www.eurofound.europa.eu/observatories/eurwork/industrial-relations-dictionary/directives#:~:text=Article%20288%20TFEU%20provides%3A%20%E2%80%98A%20directive%20shall%20be,and%20industrial%20rel</w:t>
        </w:r>
      </w:hyperlink>
      <w:r>
        <w:rPr>
          <w:rFonts w:ascii="Arial" w:hAnsi="Arial" w:cs="Arial"/>
        </w:rPr>
        <w:t xml:space="preserve">. </w:t>
      </w:r>
      <w:r w:rsidRPr="00F41B13">
        <w:rPr>
          <w:rFonts w:ascii="Arial" w:hAnsi="Arial" w:cs="Arial"/>
        </w:rPr>
        <w:t>Last accessed 6th May 2022.</w:t>
      </w:r>
    </w:p>
    <w:p w:rsidR="009A3E8F" w:rsidRDefault="009A3E8F" w:rsidP="007174C0">
      <w:pPr>
        <w:pStyle w:val="NormalWeb"/>
        <w:rPr>
          <w:rFonts w:ascii="Arial" w:hAnsi="Arial" w:cs="Arial"/>
          <w:color w:val="000000"/>
        </w:rPr>
      </w:pPr>
      <w:r w:rsidRPr="009A3E8F">
        <w:rPr>
          <w:rFonts w:ascii="Arial" w:hAnsi="Arial" w:cs="Arial"/>
          <w:color w:val="000000"/>
        </w:rPr>
        <w:t>European Observatory of Working Life. (2017). </w:t>
      </w:r>
      <w:r w:rsidRPr="009A3E8F">
        <w:rPr>
          <w:rFonts w:ascii="Arial" w:hAnsi="Arial" w:cs="Arial"/>
          <w:i/>
          <w:iCs/>
          <w:color w:val="000000"/>
        </w:rPr>
        <w:t>Direct effect.</w:t>
      </w:r>
      <w:r w:rsidRPr="009A3E8F">
        <w:rPr>
          <w:rFonts w:ascii="Arial" w:hAnsi="Arial" w:cs="Arial"/>
          <w:color w:val="000000"/>
        </w:rPr>
        <w:t xml:space="preserve"> Available: </w:t>
      </w:r>
      <w:hyperlink r:id="rId5" w:history="1">
        <w:r w:rsidRPr="00437059">
          <w:rPr>
            <w:rStyle w:val="Hyperlink"/>
            <w:rFonts w:ascii="Arial" w:hAnsi="Arial" w:cs="Arial"/>
          </w:rPr>
          <w:t>https://www.eurofound.europa.eu/observatories/eurwork/industrial-relations-dictionary/direct-effect</w:t>
        </w:r>
      </w:hyperlink>
      <w:r>
        <w:rPr>
          <w:rFonts w:ascii="Arial" w:hAnsi="Arial" w:cs="Arial"/>
          <w:color w:val="000000"/>
        </w:rPr>
        <w:t xml:space="preserve">. </w:t>
      </w:r>
      <w:r w:rsidRPr="009A3E8F">
        <w:rPr>
          <w:rFonts w:ascii="Arial" w:hAnsi="Arial" w:cs="Arial"/>
          <w:color w:val="000000"/>
        </w:rPr>
        <w:t>Last accessed 6th May 2022.</w:t>
      </w:r>
    </w:p>
    <w:p w:rsidR="003F6630" w:rsidRPr="003F6630" w:rsidRDefault="003F6630" w:rsidP="003F6630">
      <w:pPr>
        <w:pStyle w:val="NormalWeb"/>
        <w:rPr>
          <w:rFonts w:ascii="Arial" w:hAnsi="Arial" w:cs="Arial"/>
        </w:rPr>
      </w:pPr>
      <w:r w:rsidRPr="003F6630">
        <w:rPr>
          <w:rFonts w:ascii="Arial" w:hAnsi="Arial" w:cs="Arial"/>
        </w:rPr>
        <w:t xml:space="preserve">European </w:t>
      </w:r>
      <w:proofErr w:type="gramStart"/>
      <w:r w:rsidRPr="003F6630">
        <w:rPr>
          <w:rFonts w:ascii="Arial" w:hAnsi="Arial" w:cs="Arial"/>
        </w:rPr>
        <w:t>Commission .</w:t>
      </w:r>
      <w:proofErr w:type="gramEnd"/>
      <w:r w:rsidRPr="003F6630">
        <w:rPr>
          <w:rFonts w:ascii="Arial" w:hAnsi="Arial" w:cs="Arial"/>
        </w:rPr>
        <w:t xml:space="preserve"> (2021). </w:t>
      </w:r>
      <w:r w:rsidRPr="003F6630">
        <w:rPr>
          <w:rFonts w:ascii="Arial" w:hAnsi="Arial" w:cs="Arial"/>
          <w:i/>
          <w:iCs/>
        </w:rPr>
        <w:t>https://eur-lex.europa.eu/legal-content/EN/TXT/HTML/?uri=LEGISSUM:l14547&amp;from=FR.</w:t>
      </w:r>
      <w:r w:rsidRPr="003F6630">
        <w:rPr>
          <w:rFonts w:ascii="Arial" w:hAnsi="Arial" w:cs="Arial"/>
        </w:rPr>
        <w:t xml:space="preserve"> Available: </w:t>
      </w:r>
      <w:hyperlink r:id="rId6" w:history="1">
        <w:r w:rsidRPr="00437059">
          <w:rPr>
            <w:rStyle w:val="Hyperlink"/>
            <w:rFonts w:ascii="Arial" w:hAnsi="Arial" w:cs="Arial"/>
          </w:rPr>
          <w:t>https://eur-lex.europa.eu/legal-content/EN/TXT/HTML/?uri=LEGISSUM:l14547&amp;from=FR</w:t>
        </w:r>
      </w:hyperlink>
      <w:r>
        <w:rPr>
          <w:rFonts w:ascii="Arial" w:hAnsi="Arial" w:cs="Arial"/>
        </w:rPr>
        <w:t xml:space="preserve">. </w:t>
      </w:r>
      <w:r w:rsidRPr="003F6630">
        <w:rPr>
          <w:rFonts w:ascii="Arial" w:hAnsi="Arial" w:cs="Arial"/>
        </w:rPr>
        <w:t>Last accessed 6th May 2022.</w:t>
      </w:r>
    </w:p>
    <w:p w:rsidR="007174C0" w:rsidRPr="00FB7026" w:rsidRDefault="007174C0" w:rsidP="007174C0">
      <w:pPr>
        <w:pStyle w:val="NormalWeb"/>
        <w:rPr>
          <w:rFonts w:ascii="Arial" w:hAnsi="Arial" w:cs="Arial"/>
        </w:rPr>
      </w:pPr>
      <w:r w:rsidRPr="00FB7026">
        <w:rPr>
          <w:rFonts w:ascii="Arial" w:hAnsi="Arial" w:cs="Arial"/>
        </w:rPr>
        <w:t>Gallo, D. (2019). Challenging EU constitutional law: The Italian Constitutional Court's new stance on direct effect and the preliminary reference procedure. </w:t>
      </w:r>
      <w:r w:rsidRPr="00FB7026">
        <w:rPr>
          <w:rFonts w:ascii="Arial" w:hAnsi="Arial" w:cs="Arial"/>
          <w:i/>
          <w:iCs/>
        </w:rPr>
        <w:t>European Law Journal</w:t>
      </w:r>
      <w:r w:rsidRPr="00FB7026">
        <w:rPr>
          <w:rFonts w:ascii="Arial" w:hAnsi="Arial" w:cs="Arial"/>
        </w:rPr>
        <w:t>. Vol. 25 (4), pp434-456.</w:t>
      </w:r>
    </w:p>
    <w:p w:rsidR="00A127D2" w:rsidRPr="00A127D2" w:rsidRDefault="00A127D2" w:rsidP="00A127D2">
      <w:pPr>
        <w:spacing w:before="100" w:beforeAutospacing="1" w:after="100" w:afterAutospacing="1" w:line="240" w:lineRule="auto"/>
        <w:rPr>
          <w:rFonts w:ascii="Arial" w:eastAsia="Times New Roman" w:hAnsi="Arial" w:cs="Arial"/>
          <w:color w:val="000000"/>
          <w:sz w:val="24"/>
          <w:szCs w:val="24"/>
          <w:lang w:eastAsia="en-GB"/>
        </w:rPr>
      </w:pPr>
      <w:proofErr w:type="spellStart"/>
      <w:r w:rsidRPr="00A127D2">
        <w:rPr>
          <w:rFonts w:ascii="Arial" w:eastAsia="Times New Roman" w:hAnsi="Arial" w:cs="Arial"/>
          <w:color w:val="000000"/>
          <w:sz w:val="24"/>
          <w:szCs w:val="24"/>
          <w:lang w:eastAsia="en-GB"/>
        </w:rPr>
        <w:t>Haba</w:t>
      </w:r>
      <w:proofErr w:type="spellEnd"/>
      <w:r w:rsidRPr="00A127D2">
        <w:rPr>
          <w:rFonts w:ascii="Arial" w:eastAsia="Times New Roman" w:hAnsi="Arial" w:cs="Arial"/>
          <w:color w:val="000000"/>
          <w:sz w:val="24"/>
          <w:szCs w:val="24"/>
          <w:lang w:eastAsia="en-GB"/>
        </w:rPr>
        <w:t>, M. (2015). The Case of State Liability pp 33–49</w:t>
      </w:r>
      <w:r w:rsidR="0081673C">
        <w:rPr>
          <w:rFonts w:ascii="Arial" w:eastAsia="Times New Roman" w:hAnsi="Arial" w:cs="Arial"/>
          <w:color w:val="000000"/>
          <w:sz w:val="24"/>
          <w:szCs w:val="24"/>
          <w:lang w:eastAsia="en-GB"/>
        </w:rPr>
        <w:t>.</w:t>
      </w:r>
      <w:r w:rsidRPr="00A127D2">
        <w:rPr>
          <w:rFonts w:ascii="Arial" w:eastAsia="Times New Roman" w:hAnsi="Arial" w:cs="Arial"/>
          <w:color w:val="000000"/>
          <w:sz w:val="24"/>
          <w:szCs w:val="24"/>
          <w:lang w:eastAsia="en-GB"/>
        </w:rPr>
        <w:t xml:space="preserve"> Conditions for Implementing State Liability: Brasserie du </w:t>
      </w:r>
      <w:proofErr w:type="spellStart"/>
      <w:r w:rsidRPr="00A127D2">
        <w:rPr>
          <w:rFonts w:ascii="Arial" w:eastAsia="Times New Roman" w:hAnsi="Arial" w:cs="Arial"/>
          <w:color w:val="000000"/>
          <w:sz w:val="24"/>
          <w:szCs w:val="24"/>
          <w:lang w:eastAsia="en-GB"/>
        </w:rPr>
        <w:t>Pêcheur</w:t>
      </w:r>
      <w:proofErr w:type="spellEnd"/>
      <w:r w:rsidRPr="00A127D2">
        <w:rPr>
          <w:rFonts w:ascii="Arial" w:eastAsia="Times New Roman" w:hAnsi="Arial" w:cs="Arial"/>
          <w:color w:val="000000"/>
          <w:sz w:val="24"/>
          <w:szCs w:val="24"/>
          <w:lang w:eastAsia="en-GB"/>
        </w:rPr>
        <w:t xml:space="preserve"> / </w:t>
      </w:r>
      <w:proofErr w:type="spellStart"/>
      <w:r w:rsidRPr="00A127D2">
        <w:rPr>
          <w:rFonts w:ascii="Arial" w:eastAsia="Times New Roman" w:hAnsi="Arial" w:cs="Arial"/>
          <w:color w:val="000000"/>
          <w:sz w:val="24"/>
          <w:szCs w:val="24"/>
          <w:lang w:eastAsia="en-GB"/>
        </w:rPr>
        <w:t>Factortame</w:t>
      </w:r>
      <w:proofErr w:type="spellEnd"/>
      <w:r w:rsidRPr="00A127D2">
        <w:rPr>
          <w:rFonts w:ascii="Arial" w:eastAsia="Times New Roman" w:hAnsi="Arial" w:cs="Arial"/>
          <w:color w:val="000000"/>
          <w:sz w:val="24"/>
          <w:szCs w:val="24"/>
          <w:lang w:eastAsia="en-GB"/>
        </w:rPr>
        <w:t xml:space="preserve"> III. In: </w:t>
      </w:r>
      <w:proofErr w:type="spellStart"/>
      <w:r w:rsidRPr="00A127D2">
        <w:rPr>
          <w:rFonts w:ascii="Arial" w:eastAsia="Times New Roman" w:hAnsi="Arial" w:cs="Arial"/>
          <w:color w:val="000000"/>
          <w:sz w:val="24"/>
          <w:szCs w:val="24"/>
          <w:lang w:eastAsia="en-GB"/>
        </w:rPr>
        <w:t>Haba</w:t>
      </w:r>
      <w:proofErr w:type="spellEnd"/>
      <w:r w:rsidRPr="00A127D2">
        <w:rPr>
          <w:rFonts w:ascii="Arial" w:eastAsia="Times New Roman" w:hAnsi="Arial" w:cs="Arial"/>
          <w:color w:val="000000"/>
          <w:sz w:val="24"/>
          <w:szCs w:val="24"/>
          <w:lang w:eastAsia="en-GB"/>
        </w:rPr>
        <w:t>, M </w:t>
      </w:r>
      <w:r w:rsidRPr="00A127D2">
        <w:rPr>
          <w:rFonts w:ascii="Arial" w:eastAsia="Times New Roman" w:hAnsi="Arial" w:cs="Arial"/>
          <w:i/>
          <w:iCs/>
          <w:color w:val="000000"/>
          <w:sz w:val="24"/>
          <w:szCs w:val="24"/>
          <w:lang w:eastAsia="en-GB"/>
        </w:rPr>
        <w:t>The Case of State Liability</w:t>
      </w:r>
      <w:r w:rsidRPr="00A127D2">
        <w:rPr>
          <w:rFonts w:ascii="Arial" w:eastAsia="Times New Roman" w:hAnsi="Arial" w:cs="Arial"/>
          <w:color w:val="000000"/>
          <w:sz w:val="24"/>
          <w:szCs w:val="24"/>
          <w:lang w:eastAsia="en-GB"/>
        </w:rPr>
        <w:t xml:space="preserve">. Wiesbaden: Springer </w:t>
      </w:r>
      <w:proofErr w:type="spellStart"/>
      <w:r w:rsidRPr="00A127D2">
        <w:rPr>
          <w:rFonts w:ascii="Arial" w:eastAsia="Times New Roman" w:hAnsi="Arial" w:cs="Arial"/>
          <w:color w:val="000000"/>
          <w:sz w:val="24"/>
          <w:szCs w:val="24"/>
          <w:lang w:eastAsia="en-GB"/>
        </w:rPr>
        <w:t>Gabler</w:t>
      </w:r>
      <w:proofErr w:type="spellEnd"/>
      <w:r w:rsidRPr="00A127D2">
        <w:rPr>
          <w:rFonts w:ascii="Arial" w:eastAsia="Times New Roman" w:hAnsi="Arial" w:cs="Arial"/>
          <w:color w:val="000000"/>
          <w:sz w:val="24"/>
          <w:szCs w:val="24"/>
          <w:lang w:eastAsia="en-GB"/>
        </w:rPr>
        <w:t>. pp33-49.</w:t>
      </w:r>
    </w:p>
    <w:p w:rsidR="007174C0" w:rsidRPr="00795913" w:rsidRDefault="007174C0" w:rsidP="007174C0">
      <w:pPr>
        <w:pStyle w:val="NormalWeb"/>
        <w:rPr>
          <w:rFonts w:ascii="Arial" w:hAnsi="Arial" w:cs="Arial"/>
        </w:rPr>
      </w:pPr>
      <w:r w:rsidRPr="00795913">
        <w:rPr>
          <w:rFonts w:ascii="Arial" w:hAnsi="Arial" w:cs="Arial"/>
        </w:rPr>
        <w:t>Hameed, A. (2022). UK Withdrawal from the EU: Supremacy, Indirect Effect and Retained EU Law. </w:t>
      </w:r>
      <w:r w:rsidRPr="00795913">
        <w:rPr>
          <w:rFonts w:ascii="Arial" w:hAnsi="Arial" w:cs="Arial"/>
          <w:i/>
          <w:iCs/>
        </w:rPr>
        <w:t>The Modern Law Review</w:t>
      </w:r>
      <w:r w:rsidRPr="00795913">
        <w:rPr>
          <w:rFonts w:ascii="Arial" w:hAnsi="Arial" w:cs="Arial"/>
        </w:rPr>
        <w:t>. Vol. 85 (3), pp726-754.</w:t>
      </w:r>
    </w:p>
    <w:p w:rsidR="007174C0" w:rsidRDefault="007174C0" w:rsidP="007174C0">
      <w:pPr>
        <w:pStyle w:val="NormalWeb"/>
        <w:rPr>
          <w:rFonts w:ascii="Arial" w:hAnsi="Arial" w:cs="Arial"/>
          <w:color w:val="000000"/>
        </w:rPr>
      </w:pPr>
      <w:r w:rsidRPr="002367E8">
        <w:rPr>
          <w:rFonts w:ascii="Arial" w:hAnsi="Arial" w:cs="Arial"/>
          <w:color w:val="000000"/>
        </w:rPr>
        <w:t>Robin-Oliver, S. (2014). The Evolution of Direct Effect in the EU: Stocktaking, Problems, Projections. </w:t>
      </w:r>
      <w:r w:rsidRPr="002367E8">
        <w:rPr>
          <w:rFonts w:ascii="Arial" w:hAnsi="Arial" w:cs="Arial"/>
          <w:i/>
          <w:iCs/>
          <w:color w:val="000000"/>
        </w:rPr>
        <w:t>European Journal of International Law</w:t>
      </w:r>
      <w:r w:rsidRPr="002367E8">
        <w:rPr>
          <w:rFonts w:ascii="Arial" w:hAnsi="Arial" w:cs="Arial"/>
          <w:color w:val="000000"/>
        </w:rPr>
        <w:t>. Vol. 25 (1), p149.</w:t>
      </w:r>
    </w:p>
    <w:p w:rsidR="007174C0" w:rsidRDefault="007174C0" w:rsidP="007174C0">
      <w:pPr>
        <w:pStyle w:val="NormalWeb"/>
        <w:rPr>
          <w:rFonts w:ascii="Arial" w:hAnsi="Arial" w:cs="Arial"/>
          <w:shd w:val="clear" w:color="auto" w:fill="FFFFFF"/>
        </w:rPr>
      </w:pPr>
      <w:proofErr w:type="spellStart"/>
      <w:r w:rsidRPr="002B754B">
        <w:rPr>
          <w:rFonts w:ascii="Arial" w:hAnsi="Arial" w:cs="Arial"/>
          <w:shd w:val="clear" w:color="auto" w:fill="FFFFFF"/>
        </w:rPr>
        <w:t>Tridimas</w:t>
      </w:r>
      <w:proofErr w:type="spellEnd"/>
      <w:r w:rsidRPr="002B754B">
        <w:rPr>
          <w:rFonts w:ascii="Arial" w:hAnsi="Arial" w:cs="Arial"/>
          <w:shd w:val="clear" w:color="auto" w:fill="FFFFFF"/>
        </w:rPr>
        <w:t xml:space="preserve">, T. (1996) “Member State Liability in Damages,” The Cambridge Law Journal. Cambridge University Press, 55(3), pp. 412–415. </w:t>
      </w:r>
      <w:proofErr w:type="spellStart"/>
      <w:r w:rsidRPr="002B754B">
        <w:rPr>
          <w:rFonts w:ascii="Arial" w:hAnsi="Arial" w:cs="Arial"/>
          <w:shd w:val="clear" w:color="auto" w:fill="FFFFFF"/>
        </w:rPr>
        <w:t>doi</w:t>
      </w:r>
      <w:proofErr w:type="spellEnd"/>
      <w:r w:rsidRPr="002B754B">
        <w:rPr>
          <w:rFonts w:ascii="Arial" w:hAnsi="Arial" w:cs="Arial"/>
          <w:shd w:val="clear" w:color="auto" w:fill="FFFFFF"/>
        </w:rPr>
        <w:t>: 10.1017/S0008197300100327.</w:t>
      </w:r>
    </w:p>
    <w:p w:rsidR="003F0D52" w:rsidRPr="003F0D52" w:rsidRDefault="003F0D52" w:rsidP="007174C0">
      <w:pPr>
        <w:pStyle w:val="NormalWeb"/>
        <w:rPr>
          <w:rFonts w:ascii="Arial" w:hAnsi="Arial" w:cs="Arial"/>
          <w:shd w:val="clear" w:color="auto" w:fill="FFFFFF"/>
        </w:rPr>
      </w:pPr>
      <w:proofErr w:type="spellStart"/>
      <w:r w:rsidRPr="003F0D52">
        <w:rPr>
          <w:rFonts w:ascii="Arial" w:hAnsi="Arial" w:cs="Arial"/>
          <w:color w:val="000000"/>
        </w:rPr>
        <w:t>Vukadinović</w:t>
      </w:r>
      <w:proofErr w:type="spellEnd"/>
      <w:r w:rsidRPr="003F0D52">
        <w:rPr>
          <w:rFonts w:ascii="Arial" w:hAnsi="Arial" w:cs="Arial"/>
          <w:color w:val="000000"/>
        </w:rPr>
        <w:t>, R. (2011). The concept and faces of the principle direct effect of European community law. </w:t>
      </w:r>
      <w:r w:rsidR="00BF1355">
        <w:rPr>
          <w:rFonts w:ascii="Arial" w:hAnsi="Arial" w:cs="Arial"/>
          <w:i/>
          <w:iCs/>
          <w:color w:val="000000"/>
        </w:rPr>
        <w:t>Review of European Law</w:t>
      </w:r>
      <w:r w:rsidRPr="003F0D52">
        <w:rPr>
          <w:rFonts w:ascii="Arial" w:hAnsi="Arial" w:cs="Arial"/>
          <w:color w:val="000000"/>
        </w:rPr>
        <w:t>. Vol. 13 (1), pp35-48.</w:t>
      </w:r>
    </w:p>
    <w:p w:rsidR="007174C0" w:rsidRDefault="007174C0" w:rsidP="007174C0">
      <w:pPr>
        <w:pStyle w:val="NormalWeb"/>
        <w:rPr>
          <w:rFonts w:ascii="Arial" w:hAnsi="Arial" w:cs="Arial"/>
        </w:rPr>
      </w:pPr>
      <w:proofErr w:type="spellStart"/>
      <w:r w:rsidRPr="00841EB8">
        <w:rPr>
          <w:rFonts w:ascii="Arial" w:hAnsi="Arial" w:cs="Arial"/>
        </w:rPr>
        <w:t>Vukadinovic</w:t>
      </w:r>
      <w:proofErr w:type="spellEnd"/>
      <w:r w:rsidRPr="00841EB8">
        <w:rPr>
          <w:rFonts w:ascii="Arial" w:hAnsi="Arial" w:cs="Arial"/>
        </w:rPr>
        <w:t>, Radovan, D. (2011). The Direct Effect of Treaty Provisions. </w:t>
      </w:r>
      <w:r w:rsidRPr="00841EB8">
        <w:rPr>
          <w:rFonts w:ascii="Arial" w:hAnsi="Arial" w:cs="Arial"/>
          <w:i/>
          <w:iCs/>
        </w:rPr>
        <w:t xml:space="preserve">Lex et </w:t>
      </w:r>
      <w:proofErr w:type="spellStart"/>
      <w:r w:rsidRPr="00841EB8">
        <w:rPr>
          <w:rFonts w:ascii="Arial" w:hAnsi="Arial" w:cs="Arial"/>
          <w:i/>
          <w:iCs/>
        </w:rPr>
        <w:t>Scientia</w:t>
      </w:r>
      <w:proofErr w:type="spellEnd"/>
      <w:r w:rsidRPr="00841EB8">
        <w:rPr>
          <w:rFonts w:ascii="Arial" w:hAnsi="Arial" w:cs="Arial"/>
          <w:i/>
          <w:iCs/>
        </w:rPr>
        <w:t xml:space="preserve"> International Journal</w:t>
      </w:r>
      <w:r w:rsidRPr="00841EB8">
        <w:rPr>
          <w:rFonts w:ascii="Arial" w:hAnsi="Arial" w:cs="Arial"/>
        </w:rPr>
        <w:t>. Vol. 16 (1), pp35-48.</w:t>
      </w:r>
    </w:p>
    <w:p w:rsidR="007174C0" w:rsidRDefault="007174C0" w:rsidP="007174C0">
      <w:pPr>
        <w:pStyle w:val="NormalWeb"/>
        <w:rPr>
          <w:rFonts w:ascii="Arial" w:hAnsi="Arial" w:cs="Arial"/>
        </w:rPr>
      </w:pPr>
    </w:p>
    <w:p w:rsidR="007174C0" w:rsidRDefault="007174C0" w:rsidP="007174C0">
      <w:pPr>
        <w:pStyle w:val="NormalWeb"/>
        <w:rPr>
          <w:rFonts w:ascii="Arial" w:hAnsi="Arial" w:cs="Arial"/>
          <w:u w:val="single"/>
        </w:rPr>
      </w:pPr>
      <w:r>
        <w:rPr>
          <w:rFonts w:ascii="Arial" w:hAnsi="Arial" w:cs="Arial"/>
          <w:u w:val="single"/>
        </w:rPr>
        <w:t>Case List</w:t>
      </w:r>
    </w:p>
    <w:p w:rsidR="007174C0" w:rsidRDefault="007174C0" w:rsidP="007174C0">
      <w:pPr>
        <w:rPr>
          <w:rFonts w:ascii="Arial" w:hAnsi="Arial" w:cs="Arial"/>
          <w:sz w:val="24"/>
          <w:szCs w:val="24"/>
          <w:lang w:val="fr-FR"/>
        </w:rPr>
      </w:pPr>
      <w:r w:rsidRPr="0014433E">
        <w:rPr>
          <w:rFonts w:ascii="Arial" w:hAnsi="Arial" w:cs="Arial"/>
          <w:sz w:val="24"/>
          <w:szCs w:val="24"/>
          <w:lang w:val="fr-FR"/>
        </w:rPr>
        <w:t>Brasserie du Pécheur/</w:t>
      </w:r>
      <w:proofErr w:type="spellStart"/>
      <w:r w:rsidRPr="0014433E">
        <w:rPr>
          <w:rFonts w:ascii="Arial" w:hAnsi="Arial" w:cs="Arial"/>
          <w:sz w:val="24"/>
          <w:szCs w:val="24"/>
          <w:lang w:val="fr-FR"/>
        </w:rPr>
        <w:t>Facortame</w:t>
      </w:r>
      <w:proofErr w:type="spellEnd"/>
      <w:r w:rsidRPr="0014433E">
        <w:rPr>
          <w:rFonts w:ascii="Arial" w:hAnsi="Arial" w:cs="Arial"/>
          <w:sz w:val="24"/>
          <w:szCs w:val="24"/>
          <w:lang w:val="fr-FR"/>
        </w:rPr>
        <w:t xml:space="preserve"> </w:t>
      </w:r>
      <w:r>
        <w:rPr>
          <w:rFonts w:ascii="Arial" w:hAnsi="Arial" w:cs="Arial"/>
          <w:sz w:val="24"/>
          <w:szCs w:val="24"/>
          <w:lang w:val="fr-FR"/>
        </w:rPr>
        <w:t>III [1996]</w:t>
      </w:r>
    </w:p>
    <w:p w:rsidR="007174C0" w:rsidRDefault="007174C0" w:rsidP="007174C0">
      <w:pPr>
        <w:rPr>
          <w:rFonts w:ascii="Arial" w:hAnsi="Arial" w:cs="Arial"/>
          <w:sz w:val="24"/>
          <w:szCs w:val="24"/>
        </w:rPr>
      </w:pPr>
      <w:proofErr w:type="spellStart"/>
      <w:r>
        <w:rPr>
          <w:rFonts w:ascii="Arial" w:hAnsi="Arial" w:cs="Arial"/>
          <w:sz w:val="24"/>
          <w:szCs w:val="24"/>
        </w:rPr>
        <w:t>Defrenne</w:t>
      </w:r>
      <w:proofErr w:type="spellEnd"/>
      <w:r>
        <w:rPr>
          <w:rFonts w:ascii="Arial" w:hAnsi="Arial" w:cs="Arial"/>
          <w:sz w:val="24"/>
          <w:szCs w:val="24"/>
        </w:rPr>
        <w:t xml:space="preserve"> v Sabena (No. 2) [1976]</w:t>
      </w:r>
    </w:p>
    <w:p w:rsidR="007174C0" w:rsidRDefault="007174C0" w:rsidP="007174C0">
      <w:pPr>
        <w:rPr>
          <w:rFonts w:ascii="Arial" w:hAnsi="Arial" w:cs="Arial"/>
          <w:sz w:val="24"/>
          <w:szCs w:val="24"/>
          <w:lang w:val="it-IT"/>
        </w:rPr>
      </w:pPr>
      <w:r>
        <w:rPr>
          <w:rFonts w:ascii="Arial" w:hAnsi="Arial" w:cs="Arial"/>
          <w:sz w:val="24"/>
          <w:szCs w:val="24"/>
          <w:lang w:val="it-IT"/>
        </w:rPr>
        <w:t>Faccini Dori v Recreb [1994]</w:t>
      </w:r>
    </w:p>
    <w:p w:rsidR="007174C0" w:rsidRDefault="007174C0" w:rsidP="007174C0">
      <w:pPr>
        <w:rPr>
          <w:rFonts w:ascii="Arial" w:hAnsi="Arial" w:cs="Arial"/>
          <w:sz w:val="24"/>
          <w:szCs w:val="24"/>
          <w:lang w:val="it-IT"/>
        </w:rPr>
      </w:pPr>
      <w:r>
        <w:rPr>
          <w:rFonts w:ascii="Arial" w:hAnsi="Arial" w:cs="Arial"/>
          <w:sz w:val="24"/>
          <w:szCs w:val="24"/>
          <w:lang w:val="it-IT"/>
        </w:rPr>
        <w:lastRenderedPageBreak/>
        <w:t>Francovich v Italy [1991]</w:t>
      </w:r>
    </w:p>
    <w:p w:rsidR="00360E0D" w:rsidRDefault="00360E0D" w:rsidP="007174C0">
      <w:pPr>
        <w:rPr>
          <w:rFonts w:ascii="Arial" w:hAnsi="Arial" w:cs="Arial"/>
          <w:sz w:val="24"/>
          <w:szCs w:val="24"/>
          <w:lang w:val="it-IT"/>
        </w:rPr>
      </w:pPr>
      <w:r w:rsidRPr="006501B6">
        <w:rPr>
          <w:rStyle w:val="Emphasis"/>
          <w:rFonts w:ascii="Arial" w:hAnsi="Arial" w:cs="Arial"/>
          <w:i w:val="0"/>
          <w:sz w:val="24"/>
          <w:szCs w:val="24"/>
          <w:bdr w:val="none" w:sz="0" w:space="0" w:color="auto" w:frame="1"/>
          <w:shd w:val="clear" w:color="auto" w:fill="FFFFFF"/>
        </w:rPr>
        <w:t xml:space="preserve">Pfeiffer </w:t>
      </w:r>
      <w:proofErr w:type="spellStart"/>
      <w:r w:rsidRPr="006501B6">
        <w:rPr>
          <w:rStyle w:val="Emphasis"/>
          <w:rFonts w:ascii="Arial" w:hAnsi="Arial" w:cs="Arial"/>
          <w:i w:val="0"/>
          <w:sz w:val="24"/>
          <w:szCs w:val="24"/>
          <w:bdr w:val="none" w:sz="0" w:space="0" w:color="auto" w:frame="1"/>
          <w:shd w:val="clear" w:color="auto" w:fill="FFFFFF"/>
        </w:rPr>
        <w:t>etc</w:t>
      </w:r>
      <w:proofErr w:type="spellEnd"/>
      <w:r w:rsidRPr="006501B6">
        <w:rPr>
          <w:rStyle w:val="Emphasis"/>
          <w:rFonts w:ascii="Arial" w:hAnsi="Arial" w:cs="Arial"/>
          <w:i w:val="0"/>
          <w:sz w:val="24"/>
          <w:szCs w:val="24"/>
          <w:bdr w:val="none" w:sz="0" w:space="0" w:color="auto" w:frame="1"/>
          <w:shd w:val="clear" w:color="auto" w:fill="FFFFFF"/>
        </w:rPr>
        <w:t xml:space="preserve"> v </w:t>
      </w:r>
      <w:proofErr w:type="spellStart"/>
      <w:r w:rsidRPr="006501B6">
        <w:rPr>
          <w:rStyle w:val="Emphasis"/>
          <w:rFonts w:ascii="Arial" w:hAnsi="Arial" w:cs="Arial"/>
          <w:i w:val="0"/>
          <w:sz w:val="24"/>
          <w:szCs w:val="24"/>
          <w:bdr w:val="none" w:sz="0" w:space="0" w:color="auto" w:frame="1"/>
          <w:shd w:val="clear" w:color="auto" w:fill="FFFFFF"/>
        </w:rPr>
        <w:t>Deutsches</w:t>
      </w:r>
      <w:proofErr w:type="spellEnd"/>
      <w:r w:rsidRPr="006501B6">
        <w:rPr>
          <w:rStyle w:val="Emphasis"/>
          <w:rFonts w:ascii="Arial" w:hAnsi="Arial" w:cs="Arial"/>
          <w:i w:val="0"/>
          <w:sz w:val="24"/>
          <w:szCs w:val="24"/>
          <w:bdr w:val="none" w:sz="0" w:space="0" w:color="auto" w:frame="1"/>
          <w:shd w:val="clear" w:color="auto" w:fill="FFFFFF"/>
        </w:rPr>
        <w:t xml:space="preserve"> Rotes </w:t>
      </w:r>
      <w:proofErr w:type="spellStart"/>
      <w:r w:rsidRPr="006501B6">
        <w:rPr>
          <w:rStyle w:val="Emphasis"/>
          <w:rFonts w:ascii="Arial" w:hAnsi="Arial" w:cs="Arial"/>
          <w:i w:val="0"/>
          <w:sz w:val="24"/>
          <w:szCs w:val="24"/>
          <w:bdr w:val="none" w:sz="0" w:space="0" w:color="auto" w:frame="1"/>
          <w:shd w:val="clear" w:color="auto" w:fill="FFFFFF"/>
        </w:rPr>
        <w:t>Kreuz</w:t>
      </w:r>
      <w:proofErr w:type="spellEnd"/>
      <w:r w:rsidRPr="006501B6">
        <w:rPr>
          <w:rStyle w:val="Emphasis"/>
          <w:rFonts w:ascii="Arial" w:hAnsi="Arial" w:cs="Arial"/>
          <w:i w:val="0"/>
          <w:sz w:val="24"/>
          <w:szCs w:val="24"/>
          <w:bdr w:val="none" w:sz="0" w:space="0" w:color="auto" w:frame="1"/>
          <w:shd w:val="clear" w:color="auto" w:fill="FFFFFF"/>
        </w:rPr>
        <w:t xml:space="preserve">, </w:t>
      </w:r>
      <w:proofErr w:type="spellStart"/>
      <w:r w:rsidRPr="006501B6">
        <w:rPr>
          <w:rStyle w:val="Emphasis"/>
          <w:rFonts w:ascii="Arial" w:hAnsi="Arial" w:cs="Arial"/>
          <w:i w:val="0"/>
          <w:sz w:val="24"/>
          <w:szCs w:val="24"/>
          <w:bdr w:val="none" w:sz="0" w:space="0" w:color="auto" w:frame="1"/>
          <w:shd w:val="clear" w:color="auto" w:fill="FFFFFF"/>
        </w:rPr>
        <w:t>Kreisverband</w:t>
      </w:r>
      <w:proofErr w:type="spellEnd"/>
      <w:r w:rsidRPr="006501B6">
        <w:rPr>
          <w:rStyle w:val="Emphasis"/>
          <w:rFonts w:ascii="Arial" w:hAnsi="Arial" w:cs="Arial"/>
          <w:i w:val="0"/>
          <w:sz w:val="24"/>
          <w:szCs w:val="24"/>
          <w:bdr w:val="none" w:sz="0" w:space="0" w:color="auto" w:frame="1"/>
          <w:shd w:val="clear" w:color="auto" w:fill="FFFFFF"/>
        </w:rPr>
        <w:t xml:space="preserve"> </w:t>
      </w:r>
      <w:proofErr w:type="spellStart"/>
      <w:r w:rsidRPr="006501B6">
        <w:rPr>
          <w:rStyle w:val="Emphasis"/>
          <w:rFonts w:ascii="Arial" w:hAnsi="Arial" w:cs="Arial"/>
          <w:i w:val="0"/>
          <w:sz w:val="24"/>
          <w:szCs w:val="24"/>
          <w:bdr w:val="none" w:sz="0" w:space="0" w:color="auto" w:frame="1"/>
          <w:shd w:val="clear" w:color="auto" w:fill="FFFFFF"/>
        </w:rPr>
        <w:t>Waldshut</w:t>
      </w:r>
      <w:proofErr w:type="spellEnd"/>
      <w:r>
        <w:rPr>
          <w:rStyle w:val="Emphasis"/>
          <w:rFonts w:ascii="Arial" w:hAnsi="Arial" w:cs="Arial"/>
          <w:i w:val="0"/>
          <w:sz w:val="24"/>
          <w:szCs w:val="24"/>
          <w:bdr w:val="none" w:sz="0" w:space="0" w:color="auto" w:frame="1"/>
          <w:shd w:val="clear" w:color="auto" w:fill="FFFFFF"/>
        </w:rPr>
        <w:t xml:space="preserve"> [2004]</w:t>
      </w:r>
    </w:p>
    <w:p w:rsidR="007174C0" w:rsidRDefault="007174C0" w:rsidP="007174C0">
      <w:pPr>
        <w:rPr>
          <w:rFonts w:ascii="Arial" w:hAnsi="Arial" w:cs="Arial"/>
          <w:sz w:val="24"/>
          <w:szCs w:val="24"/>
        </w:rPr>
      </w:pPr>
      <w:r w:rsidRPr="0014433E">
        <w:rPr>
          <w:rFonts w:ascii="Arial" w:hAnsi="Arial" w:cs="Arial"/>
          <w:sz w:val="24"/>
          <w:szCs w:val="24"/>
        </w:rPr>
        <w:t xml:space="preserve">Van </w:t>
      </w:r>
      <w:proofErr w:type="spellStart"/>
      <w:r w:rsidRPr="0014433E">
        <w:rPr>
          <w:rFonts w:ascii="Arial" w:hAnsi="Arial" w:cs="Arial"/>
          <w:sz w:val="24"/>
          <w:szCs w:val="24"/>
        </w:rPr>
        <w:t>Duyn</w:t>
      </w:r>
      <w:proofErr w:type="spellEnd"/>
      <w:r w:rsidRPr="0014433E">
        <w:rPr>
          <w:rFonts w:ascii="Arial" w:hAnsi="Arial" w:cs="Arial"/>
          <w:sz w:val="24"/>
          <w:szCs w:val="24"/>
        </w:rPr>
        <w:t xml:space="preserve"> v Home Off</w:t>
      </w:r>
      <w:r>
        <w:rPr>
          <w:rFonts w:ascii="Arial" w:hAnsi="Arial" w:cs="Arial"/>
          <w:sz w:val="24"/>
          <w:szCs w:val="24"/>
        </w:rPr>
        <w:t>ice [1974]</w:t>
      </w:r>
    </w:p>
    <w:p w:rsidR="007174C0" w:rsidRDefault="007174C0" w:rsidP="007174C0">
      <w:pPr>
        <w:rPr>
          <w:rFonts w:ascii="Arial" w:hAnsi="Arial" w:cs="Arial"/>
          <w:sz w:val="24"/>
          <w:szCs w:val="24"/>
          <w:lang w:val="it-IT"/>
        </w:rPr>
      </w:pPr>
      <w:r>
        <w:rPr>
          <w:rFonts w:ascii="Arial" w:hAnsi="Arial" w:cs="Arial"/>
          <w:sz w:val="24"/>
          <w:szCs w:val="24"/>
          <w:lang w:val="it-IT"/>
        </w:rPr>
        <w:t>Von Colson [1984]</w:t>
      </w:r>
    </w:p>
    <w:p w:rsidR="007174C0" w:rsidRPr="00571316" w:rsidRDefault="007174C0" w:rsidP="007174C0">
      <w:pPr>
        <w:rPr>
          <w:rFonts w:ascii="Arial" w:hAnsi="Arial" w:cs="Arial"/>
          <w:sz w:val="24"/>
          <w:szCs w:val="24"/>
        </w:rPr>
      </w:pPr>
      <w:r>
        <w:rPr>
          <w:rFonts w:ascii="Arial" w:hAnsi="Arial" w:cs="Arial"/>
          <w:sz w:val="24"/>
          <w:szCs w:val="24"/>
        </w:rPr>
        <w:t xml:space="preserve">Van </w:t>
      </w:r>
      <w:proofErr w:type="spellStart"/>
      <w:r>
        <w:rPr>
          <w:rFonts w:ascii="Arial" w:hAnsi="Arial" w:cs="Arial"/>
          <w:sz w:val="24"/>
          <w:szCs w:val="24"/>
        </w:rPr>
        <w:t>Gend</w:t>
      </w:r>
      <w:proofErr w:type="spellEnd"/>
      <w:r>
        <w:rPr>
          <w:rFonts w:ascii="Arial" w:hAnsi="Arial" w:cs="Arial"/>
          <w:sz w:val="24"/>
          <w:szCs w:val="24"/>
        </w:rPr>
        <w:t xml:space="preserve"> </w:t>
      </w:r>
      <w:proofErr w:type="spellStart"/>
      <w:r>
        <w:rPr>
          <w:rFonts w:ascii="Arial" w:hAnsi="Arial" w:cs="Arial"/>
          <w:sz w:val="24"/>
          <w:szCs w:val="24"/>
        </w:rPr>
        <w:t>en</w:t>
      </w:r>
      <w:proofErr w:type="spellEnd"/>
      <w:r>
        <w:rPr>
          <w:rFonts w:ascii="Arial" w:hAnsi="Arial" w:cs="Arial"/>
          <w:sz w:val="24"/>
          <w:szCs w:val="24"/>
        </w:rPr>
        <w:t xml:space="preserve"> Loos [1963]</w:t>
      </w:r>
    </w:p>
    <w:p w:rsidR="002E18AD" w:rsidRPr="00666631" w:rsidRDefault="002E18AD" w:rsidP="00740789">
      <w:pPr>
        <w:rPr>
          <w:rStyle w:val="Emphasis"/>
          <w:rFonts w:ascii="Arial" w:hAnsi="Arial" w:cs="Arial"/>
          <w:i w:val="0"/>
          <w:iCs w:val="0"/>
          <w:sz w:val="24"/>
          <w:szCs w:val="24"/>
          <w:lang w:val="it-IT"/>
        </w:rPr>
      </w:pPr>
    </w:p>
    <w:p w:rsidR="00F3245D" w:rsidRDefault="00F3245D" w:rsidP="00740789">
      <w:pPr>
        <w:rPr>
          <w:rFonts w:ascii="Arial" w:hAnsi="Arial" w:cs="Arial"/>
          <w:sz w:val="24"/>
          <w:szCs w:val="24"/>
        </w:rPr>
      </w:pPr>
    </w:p>
    <w:p w:rsidR="00531FEA" w:rsidRPr="008E7786" w:rsidRDefault="004B4E89" w:rsidP="008E7786">
      <w:pPr>
        <w:rPr>
          <w:rFonts w:ascii="Arial" w:hAnsi="Arial" w:cs="Arial"/>
          <w:sz w:val="24"/>
          <w:szCs w:val="24"/>
        </w:rPr>
      </w:pPr>
      <w:r>
        <w:rPr>
          <w:rFonts w:ascii="Arial" w:hAnsi="Arial" w:cs="Arial"/>
          <w:sz w:val="24"/>
          <w:szCs w:val="24"/>
        </w:rPr>
        <w:t xml:space="preserve"> </w:t>
      </w:r>
    </w:p>
    <w:sectPr w:rsidR="00531FEA" w:rsidRPr="008E7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33C"/>
    <w:rsid w:val="00022BA9"/>
    <w:rsid w:val="0006534B"/>
    <w:rsid w:val="00080462"/>
    <w:rsid w:val="000B3A59"/>
    <w:rsid w:val="000D6260"/>
    <w:rsid w:val="000E0781"/>
    <w:rsid w:val="000E3983"/>
    <w:rsid w:val="000E54A7"/>
    <w:rsid w:val="00123CB8"/>
    <w:rsid w:val="00125453"/>
    <w:rsid w:val="00145DEB"/>
    <w:rsid w:val="001701F5"/>
    <w:rsid w:val="001818BC"/>
    <w:rsid w:val="00194D57"/>
    <w:rsid w:val="001D737D"/>
    <w:rsid w:val="001F3B4C"/>
    <w:rsid w:val="001F5A23"/>
    <w:rsid w:val="001F75B2"/>
    <w:rsid w:val="0023260F"/>
    <w:rsid w:val="00234D20"/>
    <w:rsid w:val="0024255A"/>
    <w:rsid w:val="00256231"/>
    <w:rsid w:val="00264E02"/>
    <w:rsid w:val="002964B7"/>
    <w:rsid w:val="002A1133"/>
    <w:rsid w:val="002E18AD"/>
    <w:rsid w:val="00312BDB"/>
    <w:rsid w:val="00317ACE"/>
    <w:rsid w:val="0032697A"/>
    <w:rsid w:val="003430F3"/>
    <w:rsid w:val="003459DC"/>
    <w:rsid w:val="003502C9"/>
    <w:rsid w:val="00352D21"/>
    <w:rsid w:val="00360E0D"/>
    <w:rsid w:val="00376AB1"/>
    <w:rsid w:val="003915E4"/>
    <w:rsid w:val="003A4252"/>
    <w:rsid w:val="003D66BA"/>
    <w:rsid w:val="003E38C2"/>
    <w:rsid w:val="003F0D52"/>
    <w:rsid w:val="003F6630"/>
    <w:rsid w:val="00412547"/>
    <w:rsid w:val="00496322"/>
    <w:rsid w:val="00496D62"/>
    <w:rsid w:val="004B0B21"/>
    <w:rsid w:val="004B20E4"/>
    <w:rsid w:val="004B2A45"/>
    <w:rsid w:val="004B4E89"/>
    <w:rsid w:val="004C65D7"/>
    <w:rsid w:val="004E0779"/>
    <w:rsid w:val="004E1265"/>
    <w:rsid w:val="004E3B3A"/>
    <w:rsid w:val="004F1DAB"/>
    <w:rsid w:val="00531FEA"/>
    <w:rsid w:val="00535105"/>
    <w:rsid w:val="0053708A"/>
    <w:rsid w:val="00541162"/>
    <w:rsid w:val="005502D9"/>
    <w:rsid w:val="00555264"/>
    <w:rsid w:val="005657FE"/>
    <w:rsid w:val="00567AFB"/>
    <w:rsid w:val="00573784"/>
    <w:rsid w:val="00592B3A"/>
    <w:rsid w:val="00592E75"/>
    <w:rsid w:val="00597216"/>
    <w:rsid w:val="005D01C1"/>
    <w:rsid w:val="005E5C89"/>
    <w:rsid w:val="005E67F5"/>
    <w:rsid w:val="00631A67"/>
    <w:rsid w:val="006501B6"/>
    <w:rsid w:val="00666631"/>
    <w:rsid w:val="006736E5"/>
    <w:rsid w:val="006859BA"/>
    <w:rsid w:val="00691CEA"/>
    <w:rsid w:val="007174C0"/>
    <w:rsid w:val="00740789"/>
    <w:rsid w:val="00760033"/>
    <w:rsid w:val="007626A3"/>
    <w:rsid w:val="00783D8B"/>
    <w:rsid w:val="007916D3"/>
    <w:rsid w:val="007A225E"/>
    <w:rsid w:val="00806C33"/>
    <w:rsid w:val="0081673C"/>
    <w:rsid w:val="00846298"/>
    <w:rsid w:val="00864574"/>
    <w:rsid w:val="0087627B"/>
    <w:rsid w:val="008863CD"/>
    <w:rsid w:val="00893F6E"/>
    <w:rsid w:val="008960C4"/>
    <w:rsid w:val="008D5333"/>
    <w:rsid w:val="008E7786"/>
    <w:rsid w:val="008F1128"/>
    <w:rsid w:val="00930D32"/>
    <w:rsid w:val="0096460F"/>
    <w:rsid w:val="00982689"/>
    <w:rsid w:val="009921DE"/>
    <w:rsid w:val="009A3E8F"/>
    <w:rsid w:val="009C4FBA"/>
    <w:rsid w:val="009C602B"/>
    <w:rsid w:val="009E7BF5"/>
    <w:rsid w:val="00A127D2"/>
    <w:rsid w:val="00A20017"/>
    <w:rsid w:val="00A459FC"/>
    <w:rsid w:val="00A503EE"/>
    <w:rsid w:val="00A65B66"/>
    <w:rsid w:val="00A95C90"/>
    <w:rsid w:val="00A96B07"/>
    <w:rsid w:val="00AD6328"/>
    <w:rsid w:val="00AD7C59"/>
    <w:rsid w:val="00B01380"/>
    <w:rsid w:val="00B05106"/>
    <w:rsid w:val="00B12254"/>
    <w:rsid w:val="00B12304"/>
    <w:rsid w:val="00B16764"/>
    <w:rsid w:val="00B5433C"/>
    <w:rsid w:val="00BF1355"/>
    <w:rsid w:val="00BF7DB1"/>
    <w:rsid w:val="00C42833"/>
    <w:rsid w:val="00C52574"/>
    <w:rsid w:val="00C566F7"/>
    <w:rsid w:val="00C8545A"/>
    <w:rsid w:val="00D13073"/>
    <w:rsid w:val="00D16020"/>
    <w:rsid w:val="00D32281"/>
    <w:rsid w:val="00D51021"/>
    <w:rsid w:val="00D52AD5"/>
    <w:rsid w:val="00D62C57"/>
    <w:rsid w:val="00D824D6"/>
    <w:rsid w:val="00D949EB"/>
    <w:rsid w:val="00DA6904"/>
    <w:rsid w:val="00DC5455"/>
    <w:rsid w:val="00DC63DE"/>
    <w:rsid w:val="00DD27A2"/>
    <w:rsid w:val="00E052E2"/>
    <w:rsid w:val="00E17D95"/>
    <w:rsid w:val="00E431DB"/>
    <w:rsid w:val="00E96D19"/>
    <w:rsid w:val="00EA6F7A"/>
    <w:rsid w:val="00EB093D"/>
    <w:rsid w:val="00F06A06"/>
    <w:rsid w:val="00F135D1"/>
    <w:rsid w:val="00F3245D"/>
    <w:rsid w:val="00F543F4"/>
    <w:rsid w:val="00F837A9"/>
    <w:rsid w:val="00FA16AE"/>
    <w:rsid w:val="00FA2345"/>
    <w:rsid w:val="00FC0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696C0"/>
  <w15:chartTrackingRefBased/>
  <w15:docId w15:val="{DC8B8F02-68FA-453E-A3BD-332186529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B3A59"/>
    <w:rPr>
      <w:i/>
      <w:iCs/>
    </w:rPr>
  </w:style>
  <w:style w:type="paragraph" w:styleId="NormalWeb">
    <w:name w:val="Normal (Web)"/>
    <w:basedOn w:val="Normal"/>
    <w:uiPriority w:val="99"/>
    <w:semiHidden/>
    <w:unhideWhenUsed/>
    <w:rsid w:val="007174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74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324275">
      <w:bodyDiv w:val="1"/>
      <w:marLeft w:val="0"/>
      <w:marRight w:val="0"/>
      <w:marTop w:val="0"/>
      <w:marBottom w:val="0"/>
      <w:divBdr>
        <w:top w:val="none" w:sz="0" w:space="0" w:color="auto"/>
        <w:left w:val="none" w:sz="0" w:space="0" w:color="auto"/>
        <w:bottom w:val="none" w:sz="0" w:space="0" w:color="auto"/>
        <w:right w:val="none" w:sz="0" w:space="0" w:color="auto"/>
      </w:divBdr>
    </w:div>
    <w:div w:id="1244877488">
      <w:bodyDiv w:val="1"/>
      <w:marLeft w:val="0"/>
      <w:marRight w:val="0"/>
      <w:marTop w:val="0"/>
      <w:marBottom w:val="0"/>
      <w:divBdr>
        <w:top w:val="none" w:sz="0" w:space="0" w:color="auto"/>
        <w:left w:val="none" w:sz="0" w:space="0" w:color="auto"/>
        <w:bottom w:val="none" w:sz="0" w:space="0" w:color="auto"/>
        <w:right w:val="none" w:sz="0" w:space="0" w:color="auto"/>
      </w:divBdr>
    </w:div>
    <w:div w:id="132802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lex.europa.eu/legal-content/EN/TXT/HTML/?uri=LEGISSUM:l14547&amp;from=FR" TargetMode="External"/><Relationship Id="rId5" Type="http://schemas.openxmlformats.org/officeDocument/2006/relationships/hyperlink" Target="https://www.eurofound.europa.eu/observatories/eurwork/industrial-relations-dictionary/direct-effect" TargetMode="External"/><Relationship Id="rId4" Type="http://schemas.openxmlformats.org/officeDocument/2006/relationships/hyperlink" Target="https://www.eurofound.europa.eu/observatories/eurwork/industrial-relations-dictionary/direc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2025</TotalTime>
  <Pages>5</Pages>
  <Words>1334</Words>
  <Characters>7608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dc:description/>
  <cp:lastModifiedBy>CD</cp:lastModifiedBy>
  <cp:revision>743</cp:revision>
  <dcterms:created xsi:type="dcterms:W3CDTF">2022-05-05T23:57:00Z</dcterms:created>
  <dcterms:modified xsi:type="dcterms:W3CDTF">2022-05-13T22:37:00Z</dcterms:modified>
</cp:coreProperties>
</file>