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A96EC18" w14:textId="77777777" w:rsidR="00BF61CD" w:rsidRDefault="002727A4" w:rsidP="00D45097">
      <w:pPr>
        <w:spacing w:before="240" w:after="240" w:line="240" w:lineRule="auto"/>
        <w:rPr>
          <w:rFonts w:cs="Arial"/>
          <w:noProof/>
          <w:lang w:val="en-GB" w:eastAsia="en-GB"/>
        </w:rPr>
      </w:pPr>
      <w:r>
        <w:rPr>
          <w:rFonts w:cs="Arial"/>
          <w:b/>
          <w:noProof/>
          <w:sz w:val="28"/>
          <w:szCs w:val="28"/>
          <w:lang w:val="en-GB" w:eastAsia="en-GB"/>
        </w:rPr>
        <w:drawing>
          <wp:anchor distT="0" distB="0" distL="114300" distR="114300" simplePos="0" relativeHeight="251658240" behindDoc="0" locked="0" layoutInCell="1" allowOverlap="1" wp14:anchorId="788CCC85" wp14:editId="4C8EF22B">
            <wp:simplePos x="0" y="0"/>
            <wp:positionH relativeFrom="column">
              <wp:posOffset>0</wp:posOffset>
            </wp:positionH>
            <wp:positionV relativeFrom="paragraph">
              <wp:posOffset>0</wp:posOffset>
            </wp:positionV>
            <wp:extent cx="2912400" cy="968400"/>
            <wp:effectExtent l="0" t="0" r="2540" b="3175"/>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2400" cy="968400"/>
                    </a:xfrm>
                    <a:prstGeom prst="rect">
                      <a:avLst/>
                    </a:prstGeom>
                    <a:noFill/>
                    <a:ln>
                      <a:noFill/>
                    </a:ln>
                  </pic:spPr>
                </pic:pic>
              </a:graphicData>
            </a:graphic>
          </wp:anchor>
        </w:drawing>
      </w:r>
      <w:r w:rsidR="009738F9">
        <w:rPr>
          <w:rFonts w:cs="Arial"/>
          <w:noProof/>
          <w:lang w:val="en-GB" w:eastAsia="en-GB"/>
        </w:rPr>
        <w:tab/>
      </w:r>
      <w:r w:rsidR="009738F9">
        <w:rPr>
          <w:rFonts w:cs="Arial"/>
          <w:noProof/>
          <w:lang w:val="en-GB" w:eastAsia="en-GB"/>
        </w:rPr>
        <w:tab/>
      </w:r>
      <w:r w:rsidR="009738F9">
        <w:rPr>
          <w:rFonts w:cs="Arial"/>
          <w:noProof/>
          <w:lang w:val="en-GB" w:eastAsia="en-GB"/>
        </w:rPr>
        <w:tab/>
      </w:r>
    </w:p>
    <w:p w14:paraId="3AEC415E" w14:textId="1B19F8BE" w:rsidR="00F71D38" w:rsidRPr="000B2EC1" w:rsidRDefault="00D3567C" w:rsidP="00D45097">
      <w:pPr>
        <w:spacing w:before="240" w:after="240" w:line="240" w:lineRule="auto"/>
        <w:jc w:val="right"/>
        <w:rPr>
          <w:rFonts w:cs="Arial"/>
          <w:b/>
          <w:noProof/>
          <w:lang w:val="en-GB" w:eastAsia="en-GB"/>
        </w:rPr>
      </w:pPr>
      <w:r>
        <w:rPr>
          <w:rFonts w:cs="Arial"/>
          <w:b/>
          <w:noProof/>
          <w:lang w:val="en-GB" w:eastAsia="en-GB"/>
        </w:rPr>
        <w:t>APPENDIX PV2c</w:t>
      </w:r>
    </w:p>
    <w:p w14:paraId="1494752A" w14:textId="77777777" w:rsidR="00495872" w:rsidRPr="00475BFD" w:rsidRDefault="009738F9" w:rsidP="00D45097">
      <w:pPr>
        <w:spacing w:before="240" w:after="240" w:line="240" w:lineRule="auto"/>
        <w:rPr>
          <w:rFonts w:cs="Arial"/>
          <w:noProof/>
          <w:lang w:val="en-GB" w:eastAsia="en-GB"/>
        </w:rPr>
      </w:pP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r>
        <w:rPr>
          <w:rFonts w:cs="Arial"/>
          <w:noProof/>
          <w:lang w:val="en-GB" w:eastAsia="en-GB"/>
        </w:rPr>
        <w:tab/>
      </w:r>
    </w:p>
    <w:p w14:paraId="1E5F80B6" w14:textId="77777777" w:rsidR="00495872" w:rsidRPr="00475BFD" w:rsidRDefault="00495872" w:rsidP="00D45097">
      <w:pPr>
        <w:spacing w:before="240" w:after="240" w:line="240" w:lineRule="auto"/>
        <w:rPr>
          <w:rFonts w:cs="Arial"/>
          <w:noProof/>
          <w:lang w:val="en-GB" w:eastAsia="en-GB"/>
        </w:rPr>
      </w:pPr>
    </w:p>
    <w:p w14:paraId="50D97F49" w14:textId="77777777" w:rsidR="00BF61CD" w:rsidRDefault="00BF61CD" w:rsidP="00D45097">
      <w:pPr>
        <w:spacing w:before="240" w:after="240" w:line="240" w:lineRule="auto"/>
        <w:rPr>
          <w:rFonts w:cs="Arial"/>
          <w:b/>
          <w:noProof/>
          <w:sz w:val="36"/>
          <w:szCs w:val="36"/>
          <w:lang w:val="en-GB" w:eastAsia="en-GB"/>
        </w:rPr>
      </w:pPr>
    </w:p>
    <w:p w14:paraId="42F50410" w14:textId="77777777" w:rsidR="00BF61CD" w:rsidRDefault="00BF61CD" w:rsidP="00D45097">
      <w:pPr>
        <w:spacing w:before="240" w:after="240" w:line="240" w:lineRule="auto"/>
        <w:rPr>
          <w:rFonts w:cs="Arial"/>
          <w:b/>
          <w:noProof/>
          <w:sz w:val="36"/>
          <w:szCs w:val="36"/>
          <w:lang w:val="en-GB" w:eastAsia="en-GB"/>
        </w:rPr>
      </w:pPr>
    </w:p>
    <w:p w14:paraId="4CA9ACE8" w14:textId="77777777" w:rsidR="00BF61CD" w:rsidRDefault="00BF61CD" w:rsidP="00D45097">
      <w:pPr>
        <w:spacing w:before="240" w:after="240" w:line="240" w:lineRule="auto"/>
        <w:rPr>
          <w:rFonts w:cs="Arial"/>
          <w:b/>
          <w:noProof/>
          <w:sz w:val="36"/>
          <w:szCs w:val="36"/>
          <w:lang w:val="en-GB" w:eastAsia="en-GB"/>
        </w:rPr>
      </w:pPr>
    </w:p>
    <w:p w14:paraId="245B2AFB" w14:textId="7DA60964" w:rsidR="00495872" w:rsidRPr="00AA1DBD" w:rsidRDefault="00D45097" w:rsidP="00D45097">
      <w:pPr>
        <w:spacing w:before="240" w:after="240" w:line="240" w:lineRule="auto"/>
        <w:rPr>
          <w:rFonts w:cs="Arial"/>
          <w:b/>
          <w:noProof/>
          <w:sz w:val="48"/>
          <w:szCs w:val="48"/>
          <w:lang w:val="en-GB" w:eastAsia="en-GB"/>
        </w:rPr>
      </w:pPr>
      <w:r w:rsidRPr="00AA1DBD">
        <w:rPr>
          <w:rFonts w:cs="Arial"/>
          <w:b/>
          <w:noProof/>
          <w:sz w:val="48"/>
          <w:szCs w:val="48"/>
          <w:lang w:val="en-GB" w:eastAsia="en-GB"/>
        </w:rPr>
        <w:t>READING LISTS</w:t>
      </w:r>
    </w:p>
    <w:p w14:paraId="588CABD6" w14:textId="77777777" w:rsidR="00495872" w:rsidRPr="00475BFD" w:rsidRDefault="00495872" w:rsidP="00D45097">
      <w:pPr>
        <w:spacing w:before="240" w:after="240" w:line="240" w:lineRule="auto"/>
        <w:rPr>
          <w:rFonts w:cs="Arial"/>
          <w:noProof/>
          <w:lang w:val="en-GB" w:eastAsia="en-GB"/>
        </w:rPr>
      </w:pPr>
    </w:p>
    <w:p w14:paraId="27A9039D" w14:textId="77777777" w:rsidR="00495872" w:rsidRPr="00475BFD" w:rsidRDefault="00495872" w:rsidP="00D45097">
      <w:pPr>
        <w:spacing w:before="240" w:after="240" w:line="240" w:lineRule="auto"/>
        <w:rPr>
          <w:rFonts w:cs="Arial"/>
          <w:noProof/>
          <w:lang w:val="en-GB" w:eastAsia="en-GB"/>
        </w:rPr>
      </w:pPr>
    </w:p>
    <w:p w14:paraId="2ED4B5A8" w14:textId="6D5AB403" w:rsidR="00495872" w:rsidRPr="00C923BC" w:rsidRDefault="00C923BC" w:rsidP="00D45097">
      <w:pPr>
        <w:spacing w:before="240" w:after="240" w:line="240" w:lineRule="auto"/>
        <w:rPr>
          <w:rFonts w:cs="Arial"/>
          <w:sz w:val="18"/>
          <w:lang w:val="en-GB"/>
        </w:rPr>
      </w:pPr>
      <w:r w:rsidRPr="00C923BC">
        <w:rPr>
          <w:rFonts w:cs="Arial"/>
          <w:b/>
          <w:sz w:val="52"/>
          <w:szCs w:val="44"/>
        </w:rPr>
        <w:t>Postgraduate Certificate in Teaching in Higher Education</w:t>
      </w:r>
    </w:p>
    <w:p w14:paraId="3149A807" w14:textId="77777777" w:rsidR="008B04FA" w:rsidRDefault="008B04FA" w:rsidP="00D45097">
      <w:pPr>
        <w:spacing w:before="240" w:after="240" w:line="240" w:lineRule="auto"/>
        <w:rPr>
          <w:rFonts w:cs="Arial"/>
          <w:lang w:val="en-GB"/>
        </w:rPr>
      </w:pPr>
    </w:p>
    <w:p w14:paraId="71BFDEA5" w14:textId="77777777" w:rsidR="008B04FA" w:rsidRPr="00475BFD" w:rsidRDefault="008B04FA" w:rsidP="00D45097">
      <w:pPr>
        <w:spacing w:before="240" w:after="240" w:line="240" w:lineRule="auto"/>
        <w:rPr>
          <w:rFonts w:cs="Arial"/>
          <w:lang w:val="en-GB"/>
        </w:rPr>
      </w:pPr>
    </w:p>
    <w:p w14:paraId="68CD526E" w14:textId="2A6F1D05" w:rsidR="00495872" w:rsidRPr="00475BFD" w:rsidRDefault="00C923BC" w:rsidP="00D45097">
      <w:pPr>
        <w:spacing w:before="240" w:after="240" w:line="240" w:lineRule="auto"/>
        <w:rPr>
          <w:rFonts w:cs="Arial"/>
          <w:b/>
          <w:sz w:val="32"/>
          <w:szCs w:val="32"/>
          <w:lang w:val="en-GB"/>
        </w:rPr>
      </w:pPr>
      <w:r>
        <w:rPr>
          <w:rFonts w:cs="Arial"/>
          <w:b/>
          <w:sz w:val="32"/>
          <w:szCs w:val="32"/>
          <w:lang w:val="en-GB"/>
        </w:rPr>
        <w:t>Sept 2017</w:t>
      </w:r>
    </w:p>
    <w:p w14:paraId="27E034C8" w14:textId="77777777" w:rsidR="00495872" w:rsidRPr="00475BFD" w:rsidRDefault="00495872" w:rsidP="00D45097">
      <w:pPr>
        <w:spacing w:before="240" w:after="240" w:line="240" w:lineRule="auto"/>
        <w:rPr>
          <w:rFonts w:cs="Arial"/>
          <w:b/>
          <w:sz w:val="32"/>
          <w:szCs w:val="32"/>
          <w:lang w:val="en-GB"/>
        </w:rPr>
      </w:pPr>
    </w:p>
    <w:p w14:paraId="5F55A8EF" w14:textId="77777777" w:rsidR="00495872" w:rsidRPr="00475BFD" w:rsidRDefault="00495872" w:rsidP="00D45097">
      <w:pPr>
        <w:spacing w:before="240" w:after="240" w:line="240" w:lineRule="auto"/>
        <w:rPr>
          <w:rFonts w:cs="Arial"/>
          <w:sz w:val="24"/>
          <w:szCs w:val="24"/>
          <w:lang w:val="en-GB"/>
        </w:rPr>
        <w:sectPr w:rsidR="00495872" w:rsidRPr="00475BFD" w:rsidSect="00495872">
          <w:footerReference w:type="default" r:id="rId9"/>
          <w:pgSz w:w="11906" w:h="16838"/>
          <w:pgMar w:top="1440" w:right="1440" w:bottom="1440" w:left="1440" w:header="720" w:footer="720" w:gutter="0"/>
          <w:cols w:space="720"/>
          <w:titlePg/>
          <w:docGrid w:linePitch="360"/>
        </w:sectPr>
      </w:pPr>
    </w:p>
    <w:bookmarkStart w:id="0" w:name="_Toc399428583" w:displacedByCustomXml="next"/>
    <w:sdt>
      <w:sdtPr>
        <w:rPr>
          <w:rFonts w:ascii="Arial" w:eastAsia="Calibri" w:hAnsi="Arial" w:cs="Times New Roman"/>
          <w:b w:val="0"/>
          <w:bCs w:val="0"/>
          <w:color w:val="auto"/>
          <w:sz w:val="22"/>
          <w:szCs w:val="22"/>
          <w:lang w:eastAsia="en-US"/>
        </w:rPr>
        <w:id w:val="-1440593932"/>
        <w:docPartObj>
          <w:docPartGallery w:val="Table of Contents"/>
          <w:docPartUnique/>
        </w:docPartObj>
      </w:sdtPr>
      <w:sdtEndPr>
        <w:rPr>
          <w:noProof/>
        </w:rPr>
      </w:sdtEndPr>
      <w:sdtContent>
        <w:p w14:paraId="59FF7C20" w14:textId="26383338" w:rsidR="00AA1DBD" w:rsidRDefault="00AA1DBD">
          <w:pPr>
            <w:pStyle w:val="TOCHeading"/>
            <w:rPr>
              <w:rFonts w:ascii="Arial" w:hAnsi="Arial" w:cs="Arial"/>
              <w:color w:val="auto"/>
            </w:rPr>
          </w:pPr>
          <w:r w:rsidRPr="00AA1DBD">
            <w:rPr>
              <w:rFonts w:ascii="Arial" w:hAnsi="Arial" w:cs="Arial"/>
              <w:color w:val="auto"/>
            </w:rPr>
            <w:t>Contents</w:t>
          </w:r>
        </w:p>
        <w:p w14:paraId="0F78526C" w14:textId="77777777" w:rsidR="00AA1DBD" w:rsidRPr="00AA1DBD" w:rsidRDefault="00AA1DBD" w:rsidP="00AA1DBD">
          <w:pPr>
            <w:rPr>
              <w:lang w:eastAsia="ja-JP"/>
            </w:rPr>
          </w:pPr>
        </w:p>
        <w:p w14:paraId="61C38AA5" w14:textId="77777777" w:rsidR="007A37ED" w:rsidRDefault="00AA1DBD">
          <w:pPr>
            <w:pStyle w:val="TOC2"/>
            <w:tabs>
              <w:tab w:val="right" w:leader="dot" w:pos="906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469923460" w:history="1">
            <w:r w:rsidR="007A37ED" w:rsidRPr="000D41EA">
              <w:rPr>
                <w:rStyle w:val="Hyperlink"/>
                <w:noProof/>
              </w:rPr>
              <w:t>Guidance Notes</w:t>
            </w:r>
            <w:r w:rsidR="007A37ED">
              <w:rPr>
                <w:noProof/>
                <w:webHidden/>
              </w:rPr>
              <w:tab/>
            </w:r>
            <w:r w:rsidR="007A37ED">
              <w:rPr>
                <w:noProof/>
                <w:webHidden/>
              </w:rPr>
              <w:fldChar w:fldCharType="begin"/>
            </w:r>
            <w:r w:rsidR="007A37ED">
              <w:rPr>
                <w:noProof/>
                <w:webHidden/>
              </w:rPr>
              <w:instrText xml:space="preserve"> PAGEREF _Toc469923460 \h </w:instrText>
            </w:r>
            <w:r w:rsidR="007A37ED">
              <w:rPr>
                <w:noProof/>
                <w:webHidden/>
              </w:rPr>
            </w:r>
            <w:r w:rsidR="007A37ED">
              <w:rPr>
                <w:noProof/>
                <w:webHidden/>
              </w:rPr>
              <w:fldChar w:fldCharType="separate"/>
            </w:r>
            <w:r w:rsidR="007A37ED">
              <w:rPr>
                <w:noProof/>
                <w:webHidden/>
              </w:rPr>
              <w:t>3</w:t>
            </w:r>
            <w:r w:rsidR="007A37ED">
              <w:rPr>
                <w:noProof/>
                <w:webHidden/>
              </w:rPr>
              <w:fldChar w:fldCharType="end"/>
            </w:r>
          </w:hyperlink>
        </w:p>
        <w:p w14:paraId="3949B789" w14:textId="79615649" w:rsidR="00AA1DBD" w:rsidRDefault="00AA1DBD">
          <w:r>
            <w:rPr>
              <w:b/>
              <w:bCs/>
              <w:noProof/>
            </w:rPr>
            <w:fldChar w:fldCharType="end"/>
          </w:r>
        </w:p>
      </w:sdtContent>
    </w:sdt>
    <w:p w14:paraId="176D02D9" w14:textId="77777777" w:rsidR="00FE5E43" w:rsidRDefault="00FE5E43" w:rsidP="00D45097">
      <w:pPr>
        <w:spacing w:before="240" w:after="240" w:line="240" w:lineRule="auto"/>
      </w:pPr>
    </w:p>
    <w:p w14:paraId="4C12F109" w14:textId="77777777" w:rsidR="00FE5E43" w:rsidRDefault="00FE5E43" w:rsidP="00D45097">
      <w:pPr>
        <w:spacing w:before="240" w:after="240" w:line="240" w:lineRule="auto"/>
      </w:pPr>
    </w:p>
    <w:p w14:paraId="0DB5B493" w14:textId="77777777" w:rsidR="00BF61CD" w:rsidRDefault="00BF61CD" w:rsidP="00D45097">
      <w:pPr>
        <w:spacing w:before="240" w:after="240" w:line="240" w:lineRule="auto"/>
      </w:pPr>
      <w:r>
        <w:br w:type="page"/>
      </w:r>
    </w:p>
    <w:p w14:paraId="09457CB0" w14:textId="369CB1FC" w:rsidR="00D45097" w:rsidRDefault="00925FC7" w:rsidP="00AA1DBD">
      <w:pPr>
        <w:pStyle w:val="Heading2"/>
        <w:numPr>
          <w:ilvl w:val="0"/>
          <w:numId w:val="0"/>
        </w:numPr>
        <w:ind w:left="394" w:hanging="360"/>
      </w:pPr>
      <w:bookmarkStart w:id="1" w:name="_Toc469923460"/>
      <w:r>
        <w:lastRenderedPageBreak/>
        <w:t>Guidance Notes</w:t>
      </w:r>
      <w:bookmarkEnd w:id="1"/>
    </w:p>
    <w:p w14:paraId="1EC469E0" w14:textId="77777777" w:rsidR="00D45097" w:rsidRDefault="00D45097" w:rsidP="00D45097">
      <w:pPr>
        <w:tabs>
          <w:tab w:val="num" w:pos="720"/>
          <w:tab w:val="left" w:pos="1440"/>
        </w:tabs>
        <w:spacing w:before="240" w:after="240" w:line="240" w:lineRule="auto"/>
        <w:jc w:val="both"/>
        <w:rPr>
          <w:rFonts w:cs="Arial"/>
          <w:lang w:val="en-GB"/>
        </w:rPr>
      </w:pPr>
      <w:r>
        <w:rPr>
          <w:rFonts w:cs="Arial"/>
          <w:lang w:val="en-GB"/>
        </w:rPr>
        <w:t xml:space="preserve">The bibliographies for the programmes of study delivered by the Faculty, presented in accordance with </w:t>
      </w:r>
      <w:r w:rsidRPr="008918D2">
        <w:rPr>
          <w:rFonts w:cs="Arial"/>
          <w:lang w:val="en-GB"/>
        </w:rPr>
        <w:t xml:space="preserve">the </w:t>
      </w:r>
      <w:r w:rsidRPr="002C1D3A">
        <w:rPr>
          <w:rFonts w:cs="Arial"/>
          <w:i/>
        </w:rPr>
        <w:t>Reading List Policy</w:t>
      </w:r>
      <w:r w:rsidRPr="002C1D3A">
        <w:rPr>
          <w:rFonts w:cs="Arial"/>
        </w:rPr>
        <w:t xml:space="preserve"> and </w:t>
      </w:r>
      <w:r w:rsidRPr="002C1D3A">
        <w:rPr>
          <w:rFonts w:cs="Arial"/>
          <w:i/>
        </w:rPr>
        <w:t>Reading List Policy: Summary Guidance</w:t>
      </w:r>
      <w:r w:rsidRPr="002C1D3A">
        <w:rPr>
          <w:rFonts w:cs="Arial"/>
        </w:rPr>
        <w:t xml:space="preserve"> published at </w:t>
      </w:r>
      <w:hyperlink r:id="rId10" w:history="1">
        <w:r w:rsidRPr="002C1D3A">
          <w:rPr>
            <w:rStyle w:val="Hyperlink"/>
          </w:rPr>
          <w:t>http://www.uwtsd.ac.uk/academic-office/other-forms-and-policies/</w:t>
        </w:r>
      </w:hyperlink>
      <w:r>
        <w:rPr>
          <w:rFonts w:cs="Arial"/>
        </w:rPr>
        <w:t xml:space="preserve">. </w:t>
      </w:r>
      <w:r>
        <w:rPr>
          <w:rFonts w:cs="Arial"/>
          <w:lang w:val="en-GB"/>
        </w:rPr>
        <w:t xml:space="preserve"> Faculties are free to determine how the bibliographies are organised (for example, by module, programme, academic subject area or School), providing that it is possible for an external reader to be able to identify the reading required for a given programme.</w:t>
      </w:r>
    </w:p>
    <w:p w14:paraId="701E8A97" w14:textId="0F0E336C" w:rsidR="00D45097" w:rsidRDefault="00D45097" w:rsidP="00D45097">
      <w:pPr>
        <w:tabs>
          <w:tab w:val="num" w:pos="720"/>
          <w:tab w:val="left" w:pos="1440"/>
        </w:tabs>
        <w:spacing w:before="240" w:after="240" w:line="240" w:lineRule="auto"/>
        <w:jc w:val="both"/>
        <w:rPr>
          <w:rFonts w:cs="Arial"/>
          <w:lang w:val="en-GB"/>
        </w:rPr>
      </w:pPr>
      <w:r>
        <w:rPr>
          <w:rFonts w:cs="Arial"/>
          <w:lang w:val="en-GB"/>
        </w:rPr>
        <w:t xml:space="preserve">From 2016/17, the bibliographies for any </w:t>
      </w:r>
      <w:r w:rsidRPr="002C1D3A">
        <w:rPr>
          <w:rFonts w:cs="Arial"/>
          <w:b/>
          <w:lang w:val="en-GB"/>
        </w:rPr>
        <w:t>new</w:t>
      </w:r>
      <w:r>
        <w:rPr>
          <w:rFonts w:cs="Arial"/>
          <w:lang w:val="en-GB"/>
        </w:rPr>
        <w:t xml:space="preserve"> programme of study must be included in the Appendix PV2</w:t>
      </w:r>
      <w:r w:rsidR="00D3567C">
        <w:rPr>
          <w:rFonts w:cs="Arial"/>
          <w:lang w:val="en-GB"/>
        </w:rPr>
        <w:t>c</w:t>
      </w:r>
      <w:r>
        <w:rPr>
          <w:rFonts w:cs="Arial"/>
          <w:lang w:val="en-GB"/>
        </w:rPr>
        <w:t xml:space="preserve"> document (rather than in individual module specifications). Work is planned for 2016/17 to remove bibliographies from all existing module specifications – a project that will be undertaken centrally - and to then arrange for their review and re-publication by Faculties.</w:t>
      </w:r>
    </w:p>
    <w:p w14:paraId="6792F271" w14:textId="0D06D885" w:rsidR="00B8203E" w:rsidRDefault="00D45097" w:rsidP="00D45097">
      <w:pPr>
        <w:tabs>
          <w:tab w:val="num" w:pos="720"/>
          <w:tab w:val="left" w:pos="1440"/>
        </w:tabs>
        <w:spacing w:before="240" w:after="240" w:line="240" w:lineRule="auto"/>
        <w:jc w:val="both"/>
        <w:rPr>
          <w:rFonts w:cs="Arial"/>
          <w:lang w:val="en-GB"/>
        </w:rPr>
      </w:pPr>
      <w:r>
        <w:rPr>
          <w:rFonts w:cs="Arial"/>
          <w:lang w:val="en-GB"/>
        </w:rPr>
        <w:t xml:space="preserve">A template is provided below for how the information </w:t>
      </w:r>
      <w:r w:rsidR="005B3331">
        <w:rPr>
          <w:rFonts w:cs="Arial"/>
          <w:lang w:val="en-GB"/>
        </w:rPr>
        <w:t>must</w:t>
      </w:r>
      <w:r>
        <w:rPr>
          <w:rFonts w:cs="Arial"/>
          <w:lang w:val="en-GB"/>
        </w:rPr>
        <w:t xml:space="preserve"> be presented</w:t>
      </w:r>
      <w:r w:rsidR="005B3331">
        <w:rPr>
          <w:rFonts w:cs="Arial"/>
          <w:lang w:val="en-GB"/>
        </w:rPr>
        <w:t xml:space="preserve"> – the number of rows for Essential Reading and Further Reading entries may be varied, but within the maximum number of entries specified in the </w:t>
      </w:r>
      <w:r w:rsidR="005B3331" w:rsidRPr="005B3331">
        <w:rPr>
          <w:rFonts w:cs="Arial"/>
          <w:i/>
          <w:lang w:val="en-GB"/>
        </w:rPr>
        <w:t>Reading List Policy</w:t>
      </w:r>
      <w:r w:rsidR="00B8203E">
        <w:rPr>
          <w:rFonts w:cs="Arial"/>
          <w:i/>
          <w:lang w:val="en-GB"/>
        </w:rPr>
        <w:t xml:space="preserve">, </w:t>
      </w:r>
      <w:r w:rsidR="00B8203E">
        <w:rPr>
          <w:rFonts w:cs="Arial"/>
          <w:lang w:val="en-GB"/>
        </w:rPr>
        <w:t>in summary:</w:t>
      </w:r>
    </w:p>
    <w:p w14:paraId="493DC40D" w14:textId="102877C3" w:rsidR="00B8203E" w:rsidRPr="00E520CA" w:rsidRDefault="00B8203E" w:rsidP="00B8203E">
      <w:pPr>
        <w:pStyle w:val="ListParagraph"/>
        <w:numPr>
          <w:ilvl w:val="0"/>
          <w:numId w:val="6"/>
        </w:numPr>
        <w:spacing w:after="0" w:line="240" w:lineRule="auto"/>
        <w:ind w:left="360"/>
        <w:contextualSpacing w:val="0"/>
        <w:rPr>
          <w:color w:val="000000" w:themeColor="text1"/>
        </w:rPr>
      </w:pPr>
      <w:r>
        <w:rPr>
          <w:rFonts w:cstheme="minorHAnsi"/>
          <w:b/>
          <w:color w:val="000000" w:themeColor="text1"/>
        </w:rPr>
        <w:t xml:space="preserve">Essential Reading: </w:t>
      </w:r>
      <w:r>
        <w:rPr>
          <w:rFonts w:cstheme="minorHAnsi"/>
          <w:color w:val="000000" w:themeColor="text1"/>
        </w:rPr>
        <w:t xml:space="preserve">It is expected that the majority will contain no more than 7 items; however there will be instances where no more than 2 items is appropriate. </w:t>
      </w:r>
      <w:r w:rsidRPr="00634AE9">
        <w:rPr>
          <w:rFonts w:cstheme="minorHAnsi"/>
          <w:color w:val="000000" w:themeColor="text1"/>
        </w:rPr>
        <w:t xml:space="preserve">The </w:t>
      </w:r>
      <w:r>
        <w:rPr>
          <w:rFonts w:cstheme="minorHAnsi"/>
          <w:color w:val="000000" w:themeColor="text1"/>
        </w:rPr>
        <w:t xml:space="preserve">absolute </w:t>
      </w:r>
      <w:r w:rsidRPr="00634AE9">
        <w:rPr>
          <w:rFonts w:cstheme="minorHAnsi"/>
          <w:color w:val="000000" w:themeColor="text1"/>
        </w:rPr>
        <w:t xml:space="preserve">maximum number of items to be included as essential on a </w:t>
      </w:r>
      <w:r>
        <w:rPr>
          <w:rFonts w:cstheme="minorHAnsi"/>
          <w:color w:val="000000" w:themeColor="text1"/>
        </w:rPr>
        <w:t>reading list is up to 15 items.</w:t>
      </w:r>
    </w:p>
    <w:p w14:paraId="7C16C249" w14:textId="7B873673" w:rsidR="00B8203E" w:rsidRPr="002F4B3E" w:rsidRDefault="00B8203E" w:rsidP="00B8203E">
      <w:pPr>
        <w:pStyle w:val="ListParagraph"/>
        <w:numPr>
          <w:ilvl w:val="0"/>
          <w:numId w:val="6"/>
        </w:numPr>
        <w:spacing w:before="120" w:after="0" w:line="240" w:lineRule="auto"/>
        <w:ind w:left="360"/>
        <w:contextualSpacing w:val="0"/>
        <w:rPr>
          <w:color w:val="000000" w:themeColor="text1"/>
        </w:rPr>
      </w:pPr>
      <w:r>
        <w:rPr>
          <w:rFonts w:cstheme="minorHAnsi"/>
          <w:b/>
          <w:color w:val="000000" w:themeColor="text1"/>
        </w:rPr>
        <w:t xml:space="preserve">Further Reading: </w:t>
      </w:r>
      <w:r w:rsidRPr="00634AE9">
        <w:rPr>
          <w:rFonts w:cstheme="minorHAnsi"/>
          <w:color w:val="000000" w:themeColor="text1"/>
        </w:rPr>
        <w:t xml:space="preserve">The </w:t>
      </w:r>
      <w:r>
        <w:rPr>
          <w:rFonts w:cstheme="minorHAnsi"/>
          <w:color w:val="000000" w:themeColor="text1"/>
        </w:rPr>
        <w:t xml:space="preserve">absolute </w:t>
      </w:r>
      <w:r w:rsidRPr="00634AE9">
        <w:rPr>
          <w:rFonts w:cstheme="minorHAnsi"/>
          <w:color w:val="000000" w:themeColor="text1"/>
        </w:rPr>
        <w:t xml:space="preserve">maximum number of items to be included as further reading on a reading list is up to 25 items, plus </w:t>
      </w:r>
      <w:proofErr w:type="spellStart"/>
      <w:r w:rsidRPr="00634AE9">
        <w:rPr>
          <w:rFonts w:cstheme="minorHAnsi"/>
          <w:color w:val="000000" w:themeColor="text1"/>
        </w:rPr>
        <w:t>digitised</w:t>
      </w:r>
      <w:proofErr w:type="spellEnd"/>
      <w:r w:rsidRPr="00634AE9">
        <w:rPr>
          <w:rFonts w:cstheme="minorHAnsi"/>
          <w:color w:val="000000" w:themeColor="text1"/>
        </w:rPr>
        <w:t xml:space="preserve"> chapters / articles as appropriate and within Copyright Licensing Agency (CLA) guidelines</w:t>
      </w:r>
      <w:r>
        <w:rPr>
          <w:rFonts w:cstheme="minorHAnsi"/>
          <w:color w:val="000000" w:themeColor="text1"/>
        </w:rPr>
        <w:t>.</w:t>
      </w:r>
    </w:p>
    <w:p w14:paraId="2C1B5967" w14:textId="0B6BBF7B" w:rsidR="00D45097" w:rsidRDefault="00D45097" w:rsidP="00D45097">
      <w:pPr>
        <w:tabs>
          <w:tab w:val="num" w:pos="720"/>
          <w:tab w:val="left" w:pos="1440"/>
        </w:tabs>
        <w:spacing w:before="240" w:after="240" w:line="240" w:lineRule="auto"/>
        <w:jc w:val="both"/>
        <w:rPr>
          <w:rFonts w:cs="Arial"/>
          <w:lang w:val="en-GB"/>
        </w:rPr>
      </w:pPr>
      <w:r>
        <w:rPr>
          <w:rFonts w:cs="Arial"/>
          <w:lang w:val="en-GB"/>
        </w:rPr>
        <w:t>As noted in the Introduction, it is for Faculties to determine how the bibliographies are presented e.g. some Faculties may wish to organise this document by School / Programme / Level, other Faculties may wish to organise this document by Level only.</w:t>
      </w:r>
    </w:p>
    <w:p w14:paraId="28AFC9C6" w14:textId="7ADC831F" w:rsidR="00D45097" w:rsidRDefault="00D45097" w:rsidP="00D45097">
      <w:pPr>
        <w:tabs>
          <w:tab w:val="num" w:pos="720"/>
          <w:tab w:val="left" w:pos="1440"/>
        </w:tabs>
        <w:spacing w:before="240" w:after="240" w:line="240" w:lineRule="auto"/>
        <w:jc w:val="both"/>
        <w:rPr>
          <w:rFonts w:cs="Arial"/>
          <w:lang w:val="en-GB"/>
        </w:rPr>
      </w:pPr>
      <w:r>
        <w:rPr>
          <w:rFonts w:cs="Arial"/>
          <w:b/>
          <w:lang w:val="en-GB"/>
        </w:rPr>
        <w:t>Template</w:t>
      </w:r>
    </w:p>
    <w:tbl>
      <w:tblPr>
        <w:tblStyle w:val="TableGrid"/>
        <w:tblW w:w="0" w:type="auto"/>
        <w:tblLook w:val="04A0" w:firstRow="1" w:lastRow="0" w:firstColumn="1" w:lastColumn="0" w:noHBand="0" w:noVBand="1"/>
      </w:tblPr>
      <w:tblGrid>
        <w:gridCol w:w="1693"/>
        <w:gridCol w:w="6001"/>
        <w:gridCol w:w="1366"/>
      </w:tblGrid>
      <w:tr w:rsidR="00516405" w14:paraId="29B006F8" w14:textId="77777777" w:rsidTr="0079196F">
        <w:tc>
          <w:tcPr>
            <w:tcW w:w="1693" w:type="dxa"/>
            <w:shd w:val="clear" w:color="auto" w:fill="BFBFBF" w:themeFill="background1" w:themeFillShade="BF"/>
          </w:tcPr>
          <w:p w14:paraId="4427A985" w14:textId="610812D6" w:rsidR="00516405" w:rsidRDefault="00516405" w:rsidP="00516405">
            <w:pPr>
              <w:tabs>
                <w:tab w:val="num" w:pos="720"/>
                <w:tab w:val="left" w:pos="1440"/>
              </w:tabs>
              <w:spacing w:after="0" w:line="240" w:lineRule="auto"/>
              <w:jc w:val="both"/>
              <w:rPr>
                <w:rFonts w:cs="Arial"/>
                <w:b/>
                <w:lang w:val="en-GB"/>
              </w:rPr>
            </w:pPr>
            <w:r>
              <w:rPr>
                <w:rFonts w:cs="Arial"/>
                <w:b/>
                <w:lang w:val="en-GB"/>
              </w:rPr>
              <w:t>Module Code</w:t>
            </w:r>
          </w:p>
        </w:tc>
        <w:tc>
          <w:tcPr>
            <w:tcW w:w="7367" w:type="dxa"/>
            <w:gridSpan w:val="2"/>
          </w:tcPr>
          <w:p w14:paraId="34FEAFEE" w14:textId="26A51B1E" w:rsidR="00516405" w:rsidRPr="00216D38" w:rsidRDefault="00C923BC" w:rsidP="00516405">
            <w:pPr>
              <w:tabs>
                <w:tab w:val="num" w:pos="720"/>
                <w:tab w:val="left" w:pos="1440"/>
              </w:tabs>
              <w:spacing w:after="0" w:line="240" w:lineRule="auto"/>
              <w:jc w:val="both"/>
              <w:rPr>
                <w:rFonts w:cs="Arial"/>
                <w:b/>
                <w:lang w:val="en-GB"/>
              </w:rPr>
            </w:pPr>
            <w:r>
              <w:rPr>
                <w:rFonts w:cs="Arial"/>
                <w:b/>
                <w:lang w:val="en-GB"/>
              </w:rPr>
              <w:t>UNHE7005/UNHE7006 (also UNHE7003/4) and C</w:t>
            </w:r>
          </w:p>
        </w:tc>
      </w:tr>
      <w:tr w:rsidR="00516405" w14:paraId="289BE96C" w14:textId="77777777" w:rsidTr="00C923BC">
        <w:trPr>
          <w:trHeight w:val="217"/>
        </w:trPr>
        <w:tc>
          <w:tcPr>
            <w:tcW w:w="1693" w:type="dxa"/>
            <w:shd w:val="clear" w:color="auto" w:fill="BFBFBF" w:themeFill="background1" w:themeFillShade="BF"/>
          </w:tcPr>
          <w:p w14:paraId="6CAEB13C" w14:textId="0DC7852B" w:rsidR="00516405" w:rsidRDefault="00516405" w:rsidP="00516405">
            <w:pPr>
              <w:tabs>
                <w:tab w:val="num" w:pos="720"/>
                <w:tab w:val="left" w:pos="1440"/>
              </w:tabs>
              <w:spacing w:after="0" w:line="240" w:lineRule="auto"/>
              <w:jc w:val="both"/>
              <w:rPr>
                <w:rFonts w:cs="Arial"/>
                <w:b/>
                <w:lang w:val="en-GB"/>
              </w:rPr>
            </w:pPr>
            <w:r>
              <w:rPr>
                <w:rFonts w:cs="Arial"/>
                <w:b/>
                <w:lang w:val="en-GB"/>
              </w:rPr>
              <w:t>Module Title</w:t>
            </w:r>
          </w:p>
        </w:tc>
        <w:tc>
          <w:tcPr>
            <w:tcW w:w="7367" w:type="dxa"/>
            <w:gridSpan w:val="2"/>
          </w:tcPr>
          <w:p w14:paraId="5C7D9CBA" w14:textId="59F2633C" w:rsidR="00C923BC" w:rsidRDefault="00C923BC" w:rsidP="00C923BC">
            <w:pPr>
              <w:jc w:val="both"/>
              <w:rPr>
                <w:rFonts w:cs="Arial"/>
                <w:sz w:val="20"/>
              </w:rPr>
            </w:pPr>
            <w:r>
              <w:rPr>
                <w:rFonts w:cs="Arial"/>
                <w:sz w:val="20"/>
              </w:rPr>
              <w:t>PG Cert Teaching in Higher Education (English Medium)</w:t>
            </w:r>
          </w:p>
          <w:p w14:paraId="0F1EB895" w14:textId="77777777" w:rsidR="00516405" w:rsidRPr="00216D38" w:rsidRDefault="00516405" w:rsidP="00516405">
            <w:pPr>
              <w:tabs>
                <w:tab w:val="num" w:pos="720"/>
                <w:tab w:val="left" w:pos="1440"/>
              </w:tabs>
              <w:spacing w:after="0" w:line="240" w:lineRule="auto"/>
              <w:jc w:val="both"/>
              <w:rPr>
                <w:rFonts w:cs="Arial"/>
                <w:b/>
                <w:lang w:val="en-GB"/>
              </w:rPr>
            </w:pPr>
          </w:p>
        </w:tc>
      </w:tr>
      <w:tr w:rsidR="00216D38" w14:paraId="4EECC6D1" w14:textId="77777777" w:rsidTr="0079196F">
        <w:tc>
          <w:tcPr>
            <w:tcW w:w="1693" w:type="dxa"/>
            <w:shd w:val="clear" w:color="auto" w:fill="BFBFBF" w:themeFill="background1" w:themeFillShade="BF"/>
          </w:tcPr>
          <w:p w14:paraId="141551E2" w14:textId="0A1F8EDE" w:rsidR="00216D38" w:rsidRPr="00216D38" w:rsidRDefault="00516405" w:rsidP="00516405">
            <w:pPr>
              <w:tabs>
                <w:tab w:val="num" w:pos="720"/>
                <w:tab w:val="left" w:pos="1440"/>
              </w:tabs>
              <w:spacing w:after="0" w:line="240" w:lineRule="auto"/>
              <w:jc w:val="both"/>
              <w:rPr>
                <w:rFonts w:cs="Arial"/>
                <w:b/>
                <w:lang w:val="en-GB"/>
              </w:rPr>
            </w:pPr>
            <w:r>
              <w:rPr>
                <w:rFonts w:cs="Arial"/>
                <w:b/>
                <w:lang w:val="en-GB"/>
              </w:rPr>
              <w:t>Classification</w:t>
            </w:r>
          </w:p>
        </w:tc>
        <w:tc>
          <w:tcPr>
            <w:tcW w:w="6001" w:type="dxa"/>
            <w:shd w:val="clear" w:color="auto" w:fill="BFBFBF" w:themeFill="background1" w:themeFillShade="BF"/>
          </w:tcPr>
          <w:p w14:paraId="10F30B18" w14:textId="1B083416" w:rsidR="00216D38" w:rsidRPr="00216D38" w:rsidRDefault="0079196F" w:rsidP="0079196F">
            <w:pPr>
              <w:tabs>
                <w:tab w:val="num" w:pos="720"/>
                <w:tab w:val="left" w:pos="1440"/>
              </w:tabs>
              <w:spacing w:after="0" w:line="240" w:lineRule="auto"/>
              <w:jc w:val="both"/>
              <w:rPr>
                <w:rFonts w:cs="Arial"/>
                <w:b/>
                <w:lang w:val="en-GB"/>
              </w:rPr>
            </w:pPr>
            <w:r>
              <w:rPr>
                <w:rFonts w:cs="Arial"/>
                <w:b/>
                <w:lang w:val="en-GB"/>
              </w:rPr>
              <w:t>Reading List e</w:t>
            </w:r>
            <w:r w:rsidR="00216D38" w:rsidRPr="00216D38">
              <w:rPr>
                <w:rFonts w:cs="Arial"/>
                <w:b/>
                <w:lang w:val="en-GB"/>
              </w:rPr>
              <w:t>ntry</w:t>
            </w:r>
          </w:p>
        </w:tc>
        <w:tc>
          <w:tcPr>
            <w:tcW w:w="1366" w:type="dxa"/>
            <w:shd w:val="clear" w:color="auto" w:fill="BFBFBF" w:themeFill="background1" w:themeFillShade="BF"/>
          </w:tcPr>
          <w:p w14:paraId="56FD4FD7" w14:textId="51A8A93E" w:rsidR="00216D38" w:rsidRPr="00216D38" w:rsidRDefault="00216D38" w:rsidP="00516405">
            <w:pPr>
              <w:tabs>
                <w:tab w:val="num" w:pos="720"/>
                <w:tab w:val="left" w:pos="1440"/>
              </w:tabs>
              <w:spacing w:after="0" w:line="240" w:lineRule="auto"/>
              <w:jc w:val="both"/>
              <w:rPr>
                <w:rFonts w:cs="Arial"/>
                <w:b/>
                <w:lang w:val="en-GB"/>
              </w:rPr>
            </w:pPr>
            <w:r w:rsidRPr="00216D38">
              <w:rPr>
                <w:rFonts w:cs="Arial"/>
                <w:b/>
                <w:lang w:val="en-GB"/>
              </w:rPr>
              <w:t>Electronic*</w:t>
            </w:r>
          </w:p>
        </w:tc>
      </w:tr>
      <w:tr w:rsidR="00216D38" w14:paraId="3FD93E3C" w14:textId="77777777" w:rsidTr="00AA1DBD">
        <w:tc>
          <w:tcPr>
            <w:tcW w:w="1693" w:type="dxa"/>
          </w:tcPr>
          <w:p w14:paraId="6C94265A" w14:textId="77B87FF6" w:rsidR="00216D38" w:rsidRDefault="00516405" w:rsidP="00516405">
            <w:pPr>
              <w:tabs>
                <w:tab w:val="num" w:pos="720"/>
                <w:tab w:val="left" w:pos="1440"/>
              </w:tabs>
              <w:spacing w:after="0" w:line="240" w:lineRule="auto"/>
              <w:jc w:val="both"/>
              <w:rPr>
                <w:rFonts w:cs="Arial"/>
                <w:lang w:val="en-GB"/>
              </w:rPr>
            </w:pPr>
            <w:r>
              <w:rPr>
                <w:rFonts w:cs="Arial"/>
                <w:lang w:val="en-GB"/>
              </w:rPr>
              <w:t>Essential</w:t>
            </w:r>
          </w:p>
        </w:tc>
        <w:tc>
          <w:tcPr>
            <w:tcW w:w="6001" w:type="dxa"/>
          </w:tcPr>
          <w:p w14:paraId="13D5077E"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 xml:space="preserve">Biggs, J. and </w:t>
            </w:r>
            <w:proofErr w:type="spellStart"/>
            <w:r>
              <w:rPr>
                <w:rFonts w:ascii="Verdana" w:hAnsi="Verdana"/>
                <w:color w:val="000000"/>
                <w:sz w:val="21"/>
                <w:szCs w:val="21"/>
              </w:rPr>
              <w:t>Tang,C</w:t>
            </w:r>
            <w:proofErr w:type="spellEnd"/>
            <w:r>
              <w:rPr>
                <w:rFonts w:ascii="Verdana" w:hAnsi="Verdana"/>
                <w:color w:val="000000"/>
                <w:sz w:val="21"/>
                <w:szCs w:val="21"/>
              </w:rPr>
              <w:t>. (2007) T</w:t>
            </w:r>
            <w:r>
              <w:rPr>
                <w:rStyle w:val="Emphasis"/>
                <w:rFonts w:ascii="Verdana" w:hAnsi="Verdana"/>
                <w:color w:val="000000"/>
                <w:sz w:val="21"/>
                <w:szCs w:val="21"/>
              </w:rPr>
              <w:t>eaching for quality learning at university,</w:t>
            </w:r>
            <w:r>
              <w:rPr>
                <w:rFonts w:ascii="Verdana" w:hAnsi="Verdana"/>
                <w:color w:val="000000"/>
                <w:sz w:val="21"/>
                <w:szCs w:val="21"/>
              </w:rPr>
              <w:t> (3rd edition) SHRE/Open University Press </w:t>
            </w:r>
          </w:p>
          <w:p w14:paraId="0A903027" w14:textId="77777777" w:rsidR="00216D38" w:rsidRDefault="00216D38"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2137248614"/>
              <w14:checkbox>
                <w14:checked w14:val="0"/>
                <w14:checkedState w14:val="2612" w14:font="MS Gothic"/>
                <w14:uncheckedState w14:val="2610" w14:font="MS Gothic"/>
              </w14:checkbox>
            </w:sdtPr>
            <w:sdtEndPr/>
            <w:sdtContent>
              <w:p w14:paraId="5893F98B" w14:textId="0D569591" w:rsidR="00216D38" w:rsidRDefault="00991EAF"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216D38" w14:paraId="0F1FC775" w14:textId="77777777" w:rsidTr="00AA1DBD">
        <w:tc>
          <w:tcPr>
            <w:tcW w:w="1693" w:type="dxa"/>
          </w:tcPr>
          <w:p w14:paraId="0C355D7D" w14:textId="59FFB319" w:rsidR="00216D38" w:rsidRDefault="00516405" w:rsidP="00516405">
            <w:pPr>
              <w:tabs>
                <w:tab w:val="num" w:pos="720"/>
                <w:tab w:val="left" w:pos="1440"/>
              </w:tabs>
              <w:spacing w:after="0" w:line="240" w:lineRule="auto"/>
              <w:jc w:val="both"/>
              <w:rPr>
                <w:rFonts w:cs="Arial"/>
                <w:lang w:val="en-GB"/>
              </w:rPr>
            </w:pPr>
            <w:r>
              <w:rPr>
                <w:rFonts w:cs="Arial"/>
                <w:lang w:val="en-GB"/>
              </w:rPr>
              <w:t>Essential</w:t>
            </w:r>
          </w:p>
        </w:tc>
        <w:tc>
          <w:tcPr>
            <w:tcW w:w="6001" w:type="dxa"/>
          </w:tcPr>
          <w:p w14:paraId="3A84E19C"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proofErr w:type="spellStart"/>
            <w:r>
              <w:rPr>
                <w:rFonts w:ascii="Verdana" w:hAnsi="Verdana"/>
                <w:color w:val="000000"/>
                <w:sz w:val="21"/>
                <w:szCs w:val="21"/>
              </w:rPr>
              <w:t>Cousin</w:t>
            </w:r>
            <w:proofErr w:type="gramStart"/>
            <w:r>
              <w:rPr>
                <w:rFonts w:ascii="Verdana" w:hAnsi="Verdana"/>
                <w:color w:val="000000"/>
                <w:sz w:val="21"/>
                <w:szCs w:val="21"/>
              </w:rPr>
              <w:t>,G</w:t>
            </w:r>
            <w:proofErr w:type="spellEnd"/>
            <w:proofErr w:type="gramEnd"/>
            <w:r>
              <w:rPr>
                <w:rFonts w:ascii="Verdana" w:hAnsi="Verdana"/>
                <w:color w:val="000000"/>
                <w:sz w:val="21"/>
                <w:szCs w:val="21"/>
              </w:rPr>
              <w:t>. (2008) Researching Learning in HE: An introduction to contemporary methods and approaches. London : Routledge </w:t>
            </w:r>
          </w:p>
          <w:p w14:paraId="76504824" w14:textId="77777777" w:rsidR="00216D38" w:rsidRDefault="00216D38"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415521081"/>
              <w14:checkbox>
                <w14:checked w14:val="0"/>
                <w14:checkedState w14:val="2612" w14:font="MS Gothic"/>
                <w14:uncheckedState w14:val="2610" w14:font="MS Gothic"/>
              </w14:checkbox>
            </w:sdtPr>
            <w:sdtEndPr/>
            <w:sdtContent>
              <w:p w14:paraId="00EC9514" w14:textId="26BD8722" w:rsidR="00216D38"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216D38" w14:paraId="0D97822D" w14:textId="77777777" w:rsidTr="00AA1DBD">
        <w:tc>
          <w:tcPr>
            <w:tcW w:w="1693" w:type="dxa"/>
          </w:tcPr>
          <w:p w14:paraId="0B857841" w14:textId="4186A6F7" w:rsidR="00216D38" w:rsidRDefault="00516405" w:rsidP="00516405">
            <w:pPr>
              <w:tabs>
                <w:tab w:val="num" w:pos="720"/>
                <w:tab w:val="left" w:pos="1440"/>
              </w:tabs>
              <w:spacing w:after="0" w:line="240" w:lineRule="auto"/>
              <w:jc w:val="both"/>
              <w:rPr>
                <w:rFonts w:cs="Arial"/>
                <w:lang w:val="en-GB"/>
              </w:rPr>
            </w:pPr>
            <w:r>
              <w:rPr>
                <w:rFonts w:cs="Arial"/>
                <w:lang w:val="en-GB"/>
              </w:rPr>
              <w:t>Essential</w:t>
            </w:r>
          </w:p>
        </w:tc>
        <w:tc>
          <w:tcPr>
            <w:tcW w:w="6001" w:type="dxa"/>
          </w:tcPr>
          <w:p w14:paraId="3F85DA3C" w14:textId="77777777" w:rsidR="00C923BC" w:rsidRDefault="00C923BC" w:rsidP="00C923BC">
            <w:pPr>
              <w:pStyle w:val="exlresulttitle"/>
              <w:shd w:val="clear" w:color="auto" w:fill="FFFFFF"/>
              <w:spacing w:before="0" w:beforeAutospacing="0" w:after="150" w:afterAutospacing="0"/>
              <w:rPr>
                <w:rFonts w:ascii="Verdana" w:hAnsi="Verdana"/>
                <w:color w:val="217A94"/>
                <w:sz w:val="21"/>
                <w:szCs w:val="21"/>
              </w:rPr>
            </w:pPr>
            <w:r>
              <w:rPr>
                <w:rStyle w:val="searchword"/>
                <w:rFonts w:ascii="Verdana" w:hAnsi="Verdana"/>
                <w:color w:val="000000"/>
                <w:sz w:val="21"/>
                <w:szCs w:val="21"/>
              </w:rPr>
              <w:t>Fry H.</w:t>
            </w:r>
            <w:r>
              <w:rPr>
                <w:rFonts w:ascii="Verdana" w:hAnsi="Verdana"/>
                <w:color w:val="000000"/>
                <w:sz w:val="21"/>
                <w:szCs w:val="21"/>
              </w:rPr>
              <w:t>,  </w:t>
            </w:r>
            <w:r>
              <w:rPr>
                <w:rStyle w:val="searchword"/>
                <w:rFonts w:ascii="Verdana" w:hAnsi="Verdana"/>
                <w:color w:val="000000"/>
                <w:sz w:val="21"/>
                <w:szCs w:val="21"/>
              </w:rPr>
              <w:t>Kettering S.</w:t>
            </w:r>
            <w:r>
              <w:rPr>
                <w:rFonts w:ascii="Verdana" w:hAnsi="Verdana"/>
                <w:color w:val="000000"/>
                <w:sz w:val="21"/>
                <w:szCs w:val="21"/>
              </w:rPr>
              <w:t>,  </w:t>
            </w:r>
            <w:r>
              <w:rPr>
                <w:rStyle w:val="searchword"/>
                <w:rFonts w:ascii="Verdana" w:hAnsi="Verdana"/>
                <w:color w:val="000000"/>
                <w:sz w:val="21"/>
                <w:szCs w:val="21"/>
              </w:rPr>
              <w:t>Marshall S., (2008) </w:t>
            </w:r>
            <w:r>
              <w:rPr>
                <w:rFonts w:ascii="Verdana" w:hAnsi="Verdana"/>
                <w:color w:val="000000"/>
                <w:sz w:val="21"/>
                <w:szCs w:val="21"/>
              </w:rPr>
              <w:t>A Handbook for Teaching and Learning in Higher Education: London : Routledge</w:t>
            </w:r>
          </w:p>
          <w:p w14:paraId="1A631335" w14:textId="77777777" w:rsidR="00216D38" w:rsidRDefault="00216D38"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412667155"/>
              <w14:checkbox>
                <w14:checked w14:val="0"/>
                <w14:checkedState w14:val="2612" w14:font="MS Gothic"/>
                <w14:uncheckedState w14:val="2610" w14:font="MS Gothic"/>
              </w14:checkbox>
            </w:sdtPr>
            <w:sdtEndPr/>
            <w:sdtContent>
              <w:p w14:paraId="65E49791" w14:textId="73568A1F" w:rsidR="00216D38"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216D38" w14:paraId="1B054117" w14:textId="77777777" w:rsidTr="00AA1DBD">
        <w:tc>
          <w:tcPr>
            <w:tcW w:w="1693" w:type="dxa"/>
          </w:tcPr>
          <w:p w14:paraId="2BC5F058" w14:textId="65C0263F" w:rsidR="00216D38" w:rsidRDefault="00516405" w:rsidP="00516405">
            <w:pPr>
              <w:tabs>
                <w:tab w:val="num" w:pos="720"/>
                <w:tab w:val="left" w:pos="1440"/>
              </w:tabs>
              <w:spacing w:after="0" w:line="240" w:lineRule="auto"/>
              <w:jc w:val="both"/>
              <w:rPr>
                <w:rFonts w:cs="Arial"/>
                <w:lang w:val="en-GB"/>
              </w:rPr>
            </w:pPr>
            <w:r>
              <w:rPr>
                <w:rFonts w:cs="Arial"/>
                <w:lang w:val="en-GB"/>
              </w:rPr>
              <w:t>Essential</w:t>
            </w:r>
          </w:p>
        </w:tc>
        <w:tc>
          <w:tcPr>
            <w:tcW w:w="6001" w:type="dxa"/>
          </w:tcPr>
          <w:p w14:paraId="0539E439" w14:textId="77777777" w:rsidR="00C923BC" w:rsidRDefault="00C923BC" w:rsidP="00C923BC">
            <w:pPr>
              <w:pStyle w:val="exlresulttitle"/>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Irons, A., (2007) Enhancing learning through formative assessment and feedback, London: Routledge</w:t>
            </w:r>
          </w:p>
          <w:p w14:paraId="63A235E9" w14:textId="77777777" w:rsidR="00216D38" w:rsidRDefault="00216D38"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906919387"/>
              <w14:checkbox>
                <w14:checked w14:val="0"/>
                <w14:checkedState w14:val="2612" w14:font="MS Gothic"/>
                <w14:uncheckedState w14:val="2610" w14:font="MS Gothic"/>
              </w14:checkbox>
            </w:sdtPr>
            <w:sdtEndPr/>
            <w:sdtContent>
              <w:p w14:paraId="60FB1298" w14:textId="6D1C1C60" w:rsidR="00216D38"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991EAF" w14:paraId="1505A38E" w14:textId="77777777" w:rsidTr="00AA1DBD">
        <w:tc>
          <w:tcPr>
            <w:tcW w:w="1693" w:type="dxa"/>
          </w:tcPr>
          <w:p w14:paraId="76504B4C" w14:textId="3CBD9664" w:rsidR="00991EAF" w:rsidRPr="00991EAF" w:rsidRDefault="00991EAF" w:rsidP="00516405">
            <w:pPr>
              <w:tabs>
                <w:tab w:val="num" w:pos="720"/>
                <w:tab w:val="left" w:pos="1440"/>
              </w:tabs>
              <w:spacing w:after="0" w:line="240" w:lineRule="auto"/>
              <w:jc w:val="both"/>
              <w:rPr>
                <w:rFonts w:cs="Arial"/>
                <w:lang w:val="en-GB"/>
              </w:rPr>
            </w:pPr>
            <w:r>
              <w:rPr>
                <w:rFonts w:cs="Arial"/>
                <w:lang w:val="en-GB"/>
              </w:rPr>
              <w:t>Essential</w:t>
            </w:r>
          </w:p>
        </w:tc>
        <w:tc>
          <w:tcPr>
            <w:tcW w:w="6001" w:type="dxa"/>
          </w:tcPr>
          <w:p w14:paraId="016596D4" w14:textId="55533D13" w:rsidR="00991EAF" w:rsidRPr="00991EAF" w:rsidRDefault="00991EAF" w:rsidP="00991EAF">
            <w:pPr>
              <w:rPr>
                <w:rFonts w:cs="Arial"/>
              </w:rPr>
            </w:pPr>
            <w:r w:rsidRPr="00991EAF">
              <w:rPr>
                <w:rFonts w:cs="Arial"/>
              </w:rPr>
              <w:t>Jarvis P., (2004) ‘Adult Education and lifel</w:t>
            </w:r>
            <w:r>
              <w:rPr>
                <w:rFonts w:cs="Arial"/>
              </w:rPr>
              <w:t>ong learning.’ Routledge Farmer</w:t>
            </w:r>
          </w:p>
        </w:tc>
        <w:tc>
          <w:tcPr>
            <w:tcW w:w="1366" w:type="dxa"/>
          </w:tcPr>
          <w:sdt>
            <w:sdtPr>
              <w:rPr>
                <w:rFonts w:cs="Arial"/>
                <w:lang w:val="en-GB"/>
              </w:rPr>
              <w:id w:val="136764630"/>
              <w14:checkbox>
                <w14:checked w14:val="1"/>
                <w14:checkedState w14:val="2612" w14:font="MS Gothic"/>
                <w14:uncheckedState w14:val="2610" w14:font="MS Gothic"/>
              </w14:checkbox>
            </w:sdtPr>
            <w:sdtContent>
              <w:p w14:paraId="306F93E7" w14:textId="19AC9BBD" w:rsidR="00991EAF" w:rsidRDefault="00991EAF" w:rsidP="00991EAF">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p w14:paraId="3157EC01" w14:textId="77777777" w:rsidR="00991EAF" w:rsidRDefault="00991EAF" w:rsidP="00516405">
            <w:pPr>
              <w:autoSpaceDE w:val="0"/>
              <w:autoSpaceDN w:val="0"/>
              <w:adjustRightInd w:val="0"/>
              <w:spacing w:after="0" w:line="240" w:lineRule="auto"/>
              <w:jc w:val="center"/>
              <w:rPr>
                <w:rFonts w:cs="Arial"/>
                <w:lang w:val="en-GB"/>
              </w:rPr>
            </w:pPr>
          </w:p>
        </w:tc>
      </w:tr>
      <w:tr w:rsidR="00216D38" w14:paraId="52BF8E6F" w14:textId="77777777" w:rsidTr="00AA1DBD">
        <w:tc>
          <w:tcPr>
            <w:tcW w:w="1693" w:type="dxa"/>
          </w:tcPr>
          <w:p w14:paraId="31F6D594" w14:textId="17883AE5" w:rsidR="00216D38" w:rsidRDefault="00516405" w:rsidP="00516405">
            <w:pPr>
              <w:tabs>
                <w:tab w:val="num" w:pos="720"/>
                <w:tab w:val="left" w:pos="1440"/>
              </w:tabs>
              <w:spacing w:after="0" w:line="240" w:lineRule="auto"/>
              <w:jc w:val="both"/>
              <w:rPr>
                <w:rFonts w:cs="Arial"/>
                <w:lang w:val="en-GB"/>
              </w:rPr>
            </w:pPr>
            <w:r>
              <w:rPr>
                <w:rFonts w:cs="Arial"/>
                <w:lang w:val="en-GB"/>
              </w:rPr>
              <w:t>Essential</w:t>
            </w:r>
          </w:p>
        </w:tc>
        <w:tc>
          <w:tcPr>
            <w:tcW w:w="6001" w:type="dxa"/>
          </w:tcPr>
          <w:p w14:paraId="0BE17118" w14:textId="77777777" w:rsidR="00C923BC" w:rsidRDefault="00C923BC" w:rsidP="00C923BC">
            <w:pPr>
              <w:pStyle w:val="exlresulttitle"/>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Race , P. (2006) The lecturer's toolkit, (3rd edition), London: Routledge</w:t>
            </w:r>
          </w:p>
          <w:p w14:paraId="656C6C20" w14:textId="77777777" w:rsidR="00216D38" w:rsidRDefault="00216D38"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844516503"/>
              <w14:checkbox>
                <w14:checked w14:val="0"/>
                <w14:checkedState w14:val="2612" w14:font="MS Gothic"/>
                <w14:uncheckedState w14:val="2610" w14:font="MS Gothic"/>
              </w14:checkbox>
            </w:sdtPr>
            <w:sdtEndPr/>
            <w:sdtContent>
              <w:p w14:paraId="0B7CEDE8" w14:textId="3D8D9F42" w:rsidR="00216D38"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AA1DBD" w14:paraId="1B8F5311" w14:textId="77777777" w:rsidTr="00AA1DBD">
        <w:tc>
          <w:tcPr>
            <w:tcW w:w="1693" w:type="dxa"/>
          </w:tcPr>
          <w:p w14:paraId="55E1FA53" w14:textId="60482E45" w:rsidR="00AA1DBD" w:rsidRDefault="00516405" w:rsidP="00516405">
            <w:pPr>
              <w:tabs>
                <w:tab w:val="num" w:pos="720"/>
                <w:tab w:val="left" w:pos="1440"/>
              </w:tabs>
              <w:spacing w:after="0" w:line="240" w:lineRule="auto"/>
              <w:jc w:val="both"/>
              <w:rPr>
                <w:rFonts w:cs="Arial"/>
                <w:lang w:val="en-GB"/>
              </w:rPr>
            </w:pPr>
            <w:r>
              <w:rPr>
                <w:rFonts w:cs="Arial"/>
                <w:lang w:val="en-GB"/>
              </w:rPr>
              <w:t>Essential</w:t>
            </w:r>
          </w:p>
        </w:tc>
        <w:tc>
          <w:tcPr>
            <w:tcW w:w="6001" w:type="dxa"/>
          </w:tcPr>
          <w:p w14:paraId="720F3E4B" w14:textId="77777777" w:rsidR="00C923BC" w:rsidRDefault="00C923BC" w:rsidP="00C923BC">
            <w:pPr>
              <w:pStyle w:val="exlresulttitle"/>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Ramadan, P., (2003) Learning to Teach in HE. London: Routledge</w:t>
            </w:r>
          </w:p>
          <w:p w14:paraId="594D2DF9" w14:textId="77777777" w:rsidR="00AA1DBD" w:rsidRDefault="00AA1DBD"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110673612"/>
              <w14:checkbox>
                <w14:checked w14:val="0"/>
                <w14:checkedState w14:val="2612" w14:font="MS Gothic"/>
                <w14:uncheckedState w14:val="2610" w14:font="MS Gothic"/>
              </w14:checkbox>
            </w:sdtPr>
            <w:sdtEndPr/>
            <w:sdtContent>
              <w:p w14:paraId="00E991E9" w14:textId="51AFA3D3" w:rsidR="00AA1DBD"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AA1DBD" w14:paraId="3F3F2D0F" w14:textId="77777777" w:rsidTr="00AA1DBD">
        <w:tc>
          <w:tcPr>
            <w:tcW w:w="1693" w:type="dxa"/>
          </w:tcPr>
          <w:p w14:paraId="551788C0" w14:textId="4C23E70E" w:rsidR="00AA1DBD" w:rsidRDefault="00516405" w:rsidP="00516405">
            <w:pPr>
              <w:tabs>
                <w:tab w:val="num" w:pos="720"/>
                <w:tab w:val="left" w:pos="1440"/>
              </w:tabs>
              <w:spacing w:after="0" w:line="240" w:lineRule="auto"/>
              <w:jc w:val="both"/>
              <w:rPr>
                <w:rFonts w:cs="Arial"/>
                <w:lang w:val="en-GB"/>
              </w:rPr>
            </w:pPr>
            <w:r>
              <w:rPr>
                <w:rFonts w:cs="Arial"/>
                <w:lang w:val="en-GB"/>
              </w:rPr>
              <w:t>Essential</w:t>
            </w:r>
          </w:p>
        </w:tc>
        <w:tc>
          <w:tcPr>
            <w:tcW w:w="6001" w:type="dxa"/>
          </w:tcPr>
          <w:p w14:paraId="1C956614"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Crawley, J (2010) In at the Deep End – a survival guide for teachers in post compulsory education, 2nd edition London: David Fulton</w:t>
            </w:r>
          </w:p>
          <w:p w14:paraId="02E621E5" w14:textId="77777777" w:rsidR="00AA1DBD" w:rsidRDefault="00AA1DBD"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1334607097"/>
              <w14:checkbox>
                <w14:checked w14:val="0"/>
                <w14:checkedState w14:val="2612" w14:font="MS Gothic"/>
                <w14:uncheckedState w14:val="2610" w14:font="MS Gothic"/>
              </w14:checkbox>
            </w:sdtPr>
            <w:sdtEndPr/>
            <w:sdtContent>
              <w:p w14:paraId="51AEF022" w14:textId="02C1FF01" w:rsidR="00AA1DBD"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991EAF" w14:paraId="04B3941A" w14:textId="77777777" w:rsidTr="00AA1DBD">
        <w:tc>
          <w:tcPr>
            <w:tcW w:w="1693" w:type="dxa"/>
          </w:tcPr>
          <w:p w14:paraId="09FA0E0B" w14:textId="54C39E4F" w:rsidR="00991EAF" w:rsidRDefault="00991EAF" w:rsidP="00516405">
            <w:pPr>
              <w:tabs>
                <w:tab w:val="num" w:pos="720"/>
                <w:tab w:val="left" w:pos="1440"/>
              </w:tabs>
              <w:spacing w:after="0" w:line="240" w:lineRule="auto"/>
              <w:jc w:val="both"/>
              <w:rPr>
                <w:rFonts w:cs="Arial"/>
                <w:lang w:val="en-GB"/>
              </w:rPr>
            </w:pPr>
            <w:r>
              <w:rPr>
                <w:rFonts w:cs="Arial"/>
                <w:lang w:val="en-GB"/>
              </w:rPr>
              <w:t>Essential</w:t>
            </w:r>
          </w:p>
        </w:tc>
        <w:tc>
          <w:tcPr>
            <w:tcW w:w="6001" w:type="dxa"/>
          </w:tcPr>
          <w:p w14:paraId="58F96F52" w14:textId="50AB70B3" w:rsidR="00991EAF" w:rsidRPr="00991EAF" w:rsidRDefault="00991EAF" w:rsidP="00991EAF">
            <w:pPr>
              <w:rPr>
                <w:rFonts w:cs="Arial"/>
              </w:rPr>
            </w:pPr>
            <w:r w:rsidRPr="00991EAF">
              <w:rPr>
                <w:rFonts w:cs="Arial"/>
              </w:rPr>
              <w:t>Campbell A., (2007</w:t>
            </w:r>
            <w:proofErr w:type="gramStart"/>
            <w:r w:rsidRPr="00991EAF">
              <w:rPr>
                <w:rFonts w:cs="Arial"/>
              </w:rPr>
              <w:t>)  ‘Learning</w:t>
            </w:r>
            <w:proofErr w:type="gramEnd"/>
            <w:r w:rsidRPr="00991EAF">
              <w:rPr>
                <w:rFonts w:cs="Arial"/>
              </w:rPr>
              <w:t xml:space="preserve"> Teaching and assessing in Higher Education : Developing Reflective Practice.’ Learning Matters </w:t>
            </w:r>
          </w:p>
        </w:tc>
        <w:tc>
          <w:tcPr>
            <w:tcW w:w="1366" w:type="dxa"/>
          </w:tcPr>
          <w:sdt>
            <w:sdtPr>
              <w:rPr>
                <w:rFonts w:cs="Arial"/>
                <w:lang w:val="en-GB"/>
              </w:rPr>
              <w:id w:val="-1039041070"/>
              <w14:checkbox>
                <w14:checked w14:val="1"/>
                <w14:checkedState w14:val="2612" w14:font="MS Gothic"/>
                <w14:uncheckedState w14:val="2610" w14:font="MS Gothic"/>
              </w14:checkbox>
            </w:sdtPr>
            <w:sdtContent>
              <w:p w14:paraId="15DE6AE1" w14:textId="77777777" w:rsidR="00991EAF" w:rsidRDefault="00991EAF" w:rsidP="00991EAF">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p w14:paraId="743086E2" w14:textId="77777777" w:rsidR="00991EAF" w:rsidRDefault="00991EAF" w:rsidP="00516405">
            <w:pPr>
              <w:autoSpaceDE w:val="0"/>
              <w:autoSpaceDN w:val="0"/>
              <w:adjustRightInd w:val="0"/>
              <w:spacing w:after="0" w:line="240" w:lineRule="auto"/>
              <w:jc w:val="center"/>
              <w:rPr>
                <w:rFonts w:cs="Arial"/>
                <w:lang w:val="en-GB"/>
              </w:rPr>
            </w:pPr>
          </w:p>
        </w:tc>
      </w:tr>
      <w:tr w:rsidR="00AA1DBD" w14:paraId="46F2B27C" w14:textId="77777777" w:rsidTr="00AA1DBD">
        <w:tc>
          <w:tcPr>
            <w:tcW w:w="1693" w:type="dxa"/>
          </w:tcPr>
          <w:p w14:paraId="559FCC58" w14:textId="1863E3B2" w:rsidR="00AA1DBD" w:rsidRDefault="00516405" w:rsidP="00516405">
            <w:pPr>
              <w:tabs>
                <w:tab w:val="num" w:pos="720"/>
                <w:tab w:val="left" w:pos="1440"/>
              </w:tabs>
              <w:spacing w:after="0" w:line="240" w:lineRule="auto"/>
              <w:jc w:val="both"/>
              <w:rPr>
                <w:rFonts w:cs="Arial"/>
                <w:lang w:val="en-GB"/>
              </w:rPr>
            </w:pPr>
            <w:r>
              <w:rPr>
                <w:rFonts w:cs="Arial"/>
                <w:lang w:val="en-GB"/>
              </w:rPr>
              <w:t>Essential</w:t>
            </w:r>
          </w:p>
        </w:tc>
        <w:tc>
          <w:tcPr>
            <w:tcW w:w="6001" w:type="dxa"/>
          </w:tcPr>
          <w:p w14:paraId="1E878C4E"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Jarvis, P (</w:t>
            </w:r>
            <w:proofErr w:type="spellStart"/>
            <w:r>
              <w:rPr>
                <w:rFonts w:ascii="Verdana" w:hAnsi="Verdana"/>
                <w:color w:val="000000"/>
                <w:sz w:val="21"/>
                <w:szCs w:val="21"/>
              </w:rPr>
              <w:t>ed</w:t>
            </w:r>
            <w:proofErr w:type="spellEnd"/>
            <w:r>
              <w:rPr>
                <w:rFonts w:ascii="Verdana" w:hAnsi="Verdana"/>
                <w:color w:val="000000"/>
                <w:sz w:val="21"/>
                <w:szCs w:val="21"/>
              </w:rPr>
              <w:t xml:space="preserve">) (2006) The Theory and Practice of Teaching, 2nd edition, London: </w:t>
            </w:r>
            <w:proofErr w:type="spellStart"/>
            <w:r>
              <w:rPr>
                <w:rFonts w:ascii="Verdana" w:hAnsi="Verdana"/>
                <w:color w:val="000000"/>
                <w:sz w:val="21"/>
                <w:szCs w:val="21"/>
              </w:rPr>
              <w:t>Kogan</w:t>
            </w:r>
            <w:proofErr w:type="spellEnd"/>
            <w:r>
              <w:rPr>
                <w:rFonts w:ascii="Verdana" w:hAnsi="Verdana"/>
                <w:color w:val="000000"/>
                <w:sz w:val="21"/>
                <w:szCs w:val="21"/>
              </w:rPr>
              <w:t xml:space="preserve"> Page </w:t>
            </w:r>
            <w:proofErr w:type="spellStart"/>
            <w:r>
              <w:rPr>
                <w:rFonts w:ascii="Verdana" w:hAnsi="Verdana"/>
                <w:color w:val="000000"/>
                <w:sz w:val="21"/>
                <w:szCs w:val="21"/>
              </w:rPr>
              <w:t>Kyriacou</w:t>
            </w:r>
            <w:proofErr w:type="spellEnd"/>
            <w:r>
              <w:rPr>
                <w:rFonts w:ascii="Verdana" w:hAnsi="Verdana"/>
                <w:color w:val="000000"/>
                <w:sz w:val="21"/>
                <w:szCs w:val="21"/>
              </w:rPr>
              <w:t>, C (2014) Essential Teaching Skills, 4th edition, Cheltenham: Stanley Thorne</w:t>
            </w:r>
          </w:p>
          <w:p w14:paraId="6E6F1E50" w14:textId="77777777" w:rsidR="00AA1DBD" w:rsidRDefault="00AA1DBD"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261650943"/>
              <w14:checkbox>
                <w14:checked w14:val="0"/>
                <w14:checkedState w14:val="2612" w14:font="MS Gothic"/>
                <w14:uncheckedState w14:val="2610" w14:font="MS Gothic"/>
              </w14:checkbox>
            </w:sdtPr>
            <w:sdtEndPr/>
            <w:sdtContent>
              <w:p w14:paraId="37EAD4CE" w14:textId="30FC8965" w:rsidR="00AA1DBD"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991EAF" w14:paraId="4DC4A8C0" w14:textId="77777777" w:rsidTr="00AA1DBD">
        <w:tc>
          <w:tcPr>
            <w:tcW w:w="1693" w:type="dxa"/>
          </w:tcPr>
          <w:p w14:paraId="390B542F" w14:textId="4610BF49" w:rsidR="00991EAF" w:rsidRDefault="00991EAF" w:rsidP="00516405">
            <w:pPr>
              <w:tabs>
                <w:tab w:val="num" w:pos="720"/>
                <w:tab w:val="left" w:pos="1440"/>
              </w:tabs>
              <w:spacing w:after="0" w:line="240" w:lineRule="auto"/>
              <w:jc w:val="both"/>
              <w:rPr>
                <w:rFonts w:cs="Arial"/>
                <w:lang w:val="en-GB"/>
              </w:rPr>
            </w:pPr>
            <w:r>
              <w:rPr>
                <w:rFonts w:cs="Arial"/>
                <w:lang w:val="en-GB"/>
              </w:rPr>
              <w:t>Essential</w:t>
            </w:r>
          </w:p>
        </w:tc>
        <w:tc>
          <w:tcPr>
            <w:tcW w:w="6001" w:type="dxa"/>
          </w:tcPr>
          <w:p w14:paraId="0C8A9C94" w14:textId="77777777" w:rsidR="00991EAF" w:rsidRPr="00991EAF" w:rsidRDefault="00991EAF" w:rsidP="00991EAF">
            <w:pPr>
              <w:rPr>
                <w:rFonts w:cs="Arial"/>
              </w:rPr>
            </w:pPr>
            <w:r w:rsidRPr="00991EAF">
              <w:rPr>
                <w:rFonts w:cs="Arial"/>
              </w:rPr>
              <w:t xml:space="preserve">Race P (2007) ‘The Lecturer's Toolkit: A Practical Guide to Assessment, Learning and Teaching.’ </w:t>
            </w:r>
            <w:proofErr w:type="spellStart"/>
            <w:r w:rsidRPr="00991EAF">
              <w:rPr>
                <w:rFonts w:cs="Arial"/>
              </w:rPr>
              <w:t>Kogan</w:t>
            </w:r>
            <w:proofErr w:type="spellEnd"/>
            <w:r w:rsidRPr="00991EAF">
              <w:rPr>
                <w:rFonts w:cs="Arial"/>
              </w:rPr>
              <w:t xml:space="preserve"> Page </w:t>
            </w:r>
          </w:p>
          <w:p w14:paraId="02A973C8" w14:textId="77777777" w:rsidR="00991EAF" w:rsidRDefault="00991EAF" w:rsidP="00C923BC">
            <w:pPr>
              <w:pStyle w:val="NormalWeb"/>
              <w:shd w:val="clear" w:color="auto" w:fill="FFFFFF"/>
              <w:spacing w:before="0" w:beforeAutospacing="0" w:after="150" w:afterAutospacing="0"/>
              <w:rPr>
                <w:rFonts w:ascii="Verdana" w:hAnsi="Verdana"/>
                <w:color w:val="000000"/>
                <w:sz w:val="21"/>
                <w:szCs w:val="21"/>
              </w:rPr>
            </w:pPr>
          </w:p>
        </w:tc>
        <w:tc>
          <w:tcPr>
            <w:tcW w:w="1366" w:type="dxa"/>
          </w:tcPr>
          <w:sdt>
            <w:sdtPr>
              <w:rPr>
                <w:rFonts w:cs="Arial"/>
                <w:lang w:val="en-GB"/>
              </w:rPr>
              <w:id w:val="-724751691"/>
              <w14:checkbox>
                <w14:checked w14:val="1"/>
                <w14:checkedState w14:val="2612" w14:font="MS Gothic"/>
                <w14:uncheckedState w14:val="2610" w14:font="MS Gothic"/>
              </w14:checkbox>
            </w:sdtPr>
            <w:sdtContent>
              <w:p w14:paraId="5A810E46" w14:textId="77777777" w:rsidR="00991EAF" w:rsidRDefault="00991EAF" w:rsidP="00991EAF">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p w14:paraId="39CB77EE" w14:textId="77777777" w:rsidR="00991EAF" w:rsidRDefault="00991EAF" w:rsidP="00516405">
            <w:pPr>
              <w:autoSpaceDE w:val="0"/>
              <w:autoSpaceDN w:val="0"/>
              <w:adjustRightInd w:val="0"/>
              <w:spacing w:after="0" w:line="240" w:lineRule="auto"/>
              <w:jc w:val="center"/>
              <w:rPr>
                <w:rFonts w:cs="Arial"/>
                <w:lang w:val="en-GB"/>
              </w:rPr>
            </w:pPr>
          </w:p>
        </w:tc>
      </w:tr>
      <w:tr w:rsidR="00AA1DBD" w14:paraId="4E4DCCE7" w14:textId="77777777" w:rsidTr="00AA1DBD">
        <w:tc>
          <w:tcPr>
            <w:tcW w:w="1693" w:type="dxa"/>
          </w:tcPr>
          <w:p w14:paraId="64F70636" w14:textId="4B22F4D0" w:rsidR="00AA1DBD" w:rsidRDefault="00516405" w:rsidP="00516405">
            <w:pPr>
              <w:tabs>
                <w:tab w:val="num" w:pos="720"/>
                <w:tab w:val="left" w:pos="1440"/>
              </w:tabs>
              <w:spacing w:after="0" w:line="240" w:lineRule="auto"/>
              <w:jc w:val="both"/>
              <w:rPr>
                <w:rFonts w:cs="Arial"/>
                <w:lang w:val="en-GB"/>
              </w:rPr>
            </w:pPr>
            <w:r>
              <w:rPr>
                <w:rFonts w:cs="Arial"/>
                <w:lang w:val="en-GB"/>
              </w:rPr>
              <w:t>Further</w:t>
            </w:r>
          </w:p>
        </w:tc>
        <w:tc>
          <w:tcPr>
            <w:tcW w:w="6001" w:type="dxa"/>
          </w:tcPr>
          <w:p w14:paraId="14CA0EF7"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Hillier, Y (2011) Reflective Teaching in Further and Adult Education, 3rd edition, London: Continuum International Publishing Group Ltd.</w:t>
            </w:r>
          </w:p>
          <w:p w14:paraId="73B62FCA" w14:textId="77777777" w:rsidR="00AA1DBD" w:rsidRDefault="00AA1DBD"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2006009536"/>
              <w14:checkbox>
                <w14:checked w14:val="0"/>
                <w14:checkedState w14:val="2612" w14:font="MS Gothic"/>
                <w14:uncheckedState w14:val="2610" w14:font="MS Gothic"/>
              </w14:checkbox>
            </w:sdtPr>
            <w:sdtEndPr/>
            <w:sdtContent>
              <w:p w14:paraId="2F5440FC" w14:textId="7CECA6E7" w:rsidR="00AA1DBD"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AA1DBD" w14:paraId="7EA72204" w14:textId="77777777" w:rsidTr="00AA1DBD">
        <w:tc>
          <w:tcPr>
            <w:tcW w:w="1693" w:type="dxa"/>
          </w:tcPr>
          <w:p w14:paraId="024CE4B4" w14:textId="22A79F9A" w:rsidR="00AA1DBD" w:rsidRDefault="00516405" w:rsidP="00516405">
            <w:pPr>
              <w:tabs>
                <w:tab w:val="num" w:pos="720"/>
                <w:tab w:val="left" w:pos="1440"/>
              </w:tabs>
              <w:spacing w:after="0" w:line="240" w:lineRule="auto"/>
              <w:jc w:val="both"/>
              <w:rPr>
                <w:rFonts w:cs="Arial"/>
                <w:lang w:val="en-GB"/>
              </w:rPr>
            </w:pPr>
            <w:r>
              <w:rPr>
                <w:rFonts w:cs="Arial"/>
                <w:lang w:val="en-GB"/>
              </w:rPr>
              <w:t>Further</w:t>
            </w:r>
          </w:p>
        </w:tc>
        <w:tc>
          <w:tcPr>
            <w:tcW w:w="6001" w:type="dxa"/>
          </w:tcPr>
          <w:p w14:paraId="4EA257EB"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Petty, G (2014) Teaching Today: A Practical Guide, 5th edition, Cheltenham: Nelson Thornes</w:t>
            </w:r>
          </w:p>
          <w:p w14:paraId="5AEE916D" w14:textId="77777777" w:rsidR="00AA1DBD" w:rsidRDefault="00AA1DBD"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1778786093"/>
              <w14:checkbox>
                <w14:checked w14:val="0"/>
                <w14:checkedState w14:val="2612" w14:font="MS Gothic"/>
                <w14:uncheckedState w14:val="2610" w14:font="MS Gothic"/>
              </w14:checkbox>
            </w:sdtPr>
            <w:sdtEndPr/>
            <w:sdtContent>
              <w:p w14:paraId="0D4DD9BF" w14:textId="3AB2E97C" w:rsidR="00AA1DBD"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AA1DBD" w14:paraId="3DD85762" w14:textId="77777777" w:rsidTr="00AA1DBD">
        <w:tc>
          <w:tcPr>
            <w:tcW w:w="1693" w:type="dxa"/>
          </w:tcPr>
          <w:p w14:paraId="5055761D" w14:textId="13A29537" w:rsidR="00AA1DBD" w:rsidRDefault="00516405" w:rsidP="00516405">
            <w:pPr>
              <w:tabs>
                <w:tab w:val="num" w:pos="720"/>
                <w:tab w:val="left" w:pos="1440"/>
              </w:tabs>
              <w:spacing w:after="0" w:line="240" w:lineRule="auto"/>
              <w:jc w:val="both"/>
              <w:rPr>
                <w:rFonts w:cs="Arial"/>
                <w:lang w:val="en-GB"/>
              </w:rPr>
            </w:pPr>
            <w:r>
              <w:rPr>
                <w:rFonts w:cs="Arial"/>
                <w:lang w:val="en-GB"/>
              </w:rPr>
              <w:t>Further</w:t>
            </w:r>
          </w:p>
        </w:tc>
        <w:tc>
          <w:tcPr>
            <w:tcW w:w="6001" w:type="dxa"/>
          </w:tcPr>
          <w:p w14:paraId="1CCB5BEC"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Reece, I and Walker, S (2007) Training and Learning: a practical guide, 6th edition Sunderland: Business Education Publishers</w:t>
            </w:r>
          </w:p>
          <w:p w14:paraId="79A12593" w14:textId="77777777" w:rsidR="00AA1DBD" w:rsidRDefault="00AA1DBD"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2078078200"/>
              <w14:checkbox>
                <w14:checked w14:val="0"/>
                <w14:checkedState w14:val="2612" w14:font="MS Gothic"/>
                <w14:uncheckedState w14:val="2610" w14:font="MS Gothic"/>
              </w14:checkbox>
            </w:sdtPr>
            <w:sdtEndPr/>
            <w:sdtContent>
              <w:p w14:paraId="362B7FF3" w14:textId="3487237E" w:rsidR="00AA1DBD"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AA1DBD" w14:paraId="48DC1D81" w14:textId="77777777" w:rsidTr="00AA1DBD">
        <w:tc>
          <w:tcPr>
            <w:tcW w:w="1693" w:type="dxa"/>
          </w:tcPr>
          <w:p w14:paraId="56AD0855" w14:textId="5F431048" w:rsidR="00AA1DBD" w:rsidRDefault="00516405" w:rsidP="00516405">
            <w:pPr>
              <w:tabs>
                <w:tab w:val="num" w:pos="720"/>
                <w:tab w:val="left" w:pos="1440"/>
              </w:tabs>
              <w:spacing w:after="0" w:line="240" w:lineRule="auto"/>
              <w:jc w:val="both"/>
              <w:rPr>
                <w:rFonts w:cs="Arial"/>
                <w:lang w:val="en-GB"/>
              </w:rPr>
            </w:pPr>
            <w:r>
              <w:rPr>
                <w:rFonts w:cs="Arial"/>
                <w:lang w:val="en-GB"/>
              </w:rPr>
              <w:t>Further</w:t>
            </w:r>
          </w:p>
        </w:tc>
        <w:tc>
          <w:tcPr>
            <w:tcW w:w="6001" w:type="dxa"/>
          </w:tcPr>
          <w:p w14:paraId="4570F52C"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Armitage, A et al (2012) Teaching and Training in Lifelong Learning, 4th edition, Milton Keynes: O U Press</w:t>
            </w:r>
          </w:p>
          <w:p w14:paraId="47258576" w14:textId="77777777" w:rsidR="00AA1DBD" w:rsidRDefault="00AA1DBD"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1080715400"/>
              <w14:checkbox>
                <w14:checked w14:val="0"/>
                <w14:checkedState w14:val="2612" w14:font="MS Gothic"/>
                <w14:uncheckedState w14:val="2610" w14:font="MS Gothic"/>
              </w14:checkbox>
            </w:sdtPr>
            <w:sdtEndPr/>
            <w:sdtContent>
              <w:p w14:paraId="057DDEE1" w14:textId="473A126E" w:rsidR="00AA1DBD"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AA1DBD" w14:paraId="56A9121D" w14:textId="77777777" w:rsidTr="00AA1DBD">
        <w:tc>
          <w:tcPr>
            <w:tcW w:w="1693" w:type="dxa"/>
          </w:tcPr>
          <w:p w14:paraId="37E60B52" w14:textId="2AD487EE" w:rsidR="00AA1DBD" w:rsidRDefault="00516405" w:rsidP="00516405">
            <w:pPr>
              <w:tabs>
                <w:tab w:val="num" w:pos="720"/>
                <w:tab w:val="left" w:pos="1440"/>
              </w:tabs>
              <w:spacing w:after="0" w:line="240" w:lineRule="auto"/>
              <w:jc w:val="both"/>
              <w:rPr>
                <w:rFonts w:cs="Arial"/>
                <w:lang w:val="en-GB"/>
              </w:rPr>
            </w:pPr>
            <w:r>
              <w:rPr>
                <w:rFonts w:cs="Arial"/>
                <w:lang w:val="en-GB"/>
              </w:rPr>
              <w:t>Further</w:t>
            </w:r>
          </w:p>
        </w:tc>
        <w:tc>
          <w:tcPr>
            <w:tcW w:w="6001" w:type="dxa"/>
          </w:tcPr>
          <w:p w14:paraId="07D64E60"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 xml:space="preserve">Buckley, R and Caple J (2009) The Theory and Practice of Training, 6th edition, London: </w:t>
            </w:r>
            <w:proofErr w:type="spellStart"/>
            <w:r>
              <w:rPr>
                <w:rFonts w:ascii="Verdana" w:hAnsi="Verdana"/>
                <w:color w:val="000000"/>
                <w:sz w:val="21"/>
                <w:szCs w:val="21"/>
              </w:rPr>
              <w:t>Kogan</w:t>
            </w:r>
            <w:proofErr w:type="spellEnd"/>
            <w:r>
              <w:rPr>
                <w:rFonts w:ascii="Verdana" w:hAnsi="Verdana"/>
                <w:color w:val="000000"/>
                <w:sz w:val="21"/>
                <w:szCs w:val="21"/>
              </w:rPr>
              <w:t xml:space="preserve"> Page</w:t>
            </w:r>
          </w:p>
          <w:p w14:paraId="0F4D299A" w14:textId="77777777" w:rsidR="00AA1DBD" w:rsidRDefault="00AA1DBD"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2006505093"/>
              <w14:checkbox>
                <w14:checked w14:val="0"/>
                <w14:checkedState w14:val="2612" w14:font="MS Gothic"/>
                <w14:uncheckedState w14:val="2610" w14:font="MS Gothic"/>
              </w14:checkbox>
            </w:sdtPr>
            <w:sdtEndPr/>
            <w:sdtContent>
              <w:p w14:paraId="1E41A023" w14:textId="487D8733" w:rsidR="00AA1DBD"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AA1DBD" w14:paraId="2E814551" w14:textId="77777777" w:rsidTr="00AA1DBD">
        <w:tc>
          <w:tcPr>
            <w:tcW w:w="1693" w:type="dxa"/>
          </w:tcPr>
          <w:p w14:paraId="2BCA03AC" w14:textId="366F6CE9" w:rsidR="00AA1DBD" w:rsidRDefault="00516405" w:rsidP="00516405">
            <w:pPr>
              <w:tabs>
                <w:tab w:val="num" w:pos="720"/>
                <w:tab w:val="left" w:pos="1440"/>
              </w:tabs>
              <w:spacing w:after="0" w:line="240" w:lineRule="auto"/>
              <w:jc w:val="both"/>
              <w:rPr>
                <w:rFonts w:cs="Arial"/>
                <w:lang w:val="en-GB"/>
              </w:rPr>
            </w:pPr>
            <w:r>
              <w:rPr>
                <w:rFonts w:cs="Arial"/>
                <w:lang w:val="en-GB"/>
              </w:rPr>
              <w:t>Further</w:t>
            </w:r>
          </w:p>
        </w:tc>
        <w:tc>
          <w:tcPr>
            <w:tcW w:w="6001" w:type="dxa"/>
          </w:tcPr>
          <w:p w14:paraId="07FAC24C"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Brookfield, S (1995) Becoming a Critically Reflective Teacher, San Francisco: John Wiley and Sons</w:t>
            </w:r>
          </w:p>
          <w:p w14:paraId="7FFBACE8" w14:textId="77777777" w:rsidR="00AA1DBD" w:rsidRDefault="00AA1DBD"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1807772561"/>
              <w14:checkbox>
                <w14:checked w14:val="0"/>
                <w14:checkedState w14:val="2612" w14:font="MS Gothic"/>
                <w14:uncheckedState w14:val="2610" w14:font="MS Gothic"/>
              </w14:checkbox>
            </w:sdtPr>
            <w:sdtEndPr/>
            <w:sdtContent>
              <w:p w14:paraId="75252ECC" w14:textId="072E85D9" w:rsidR="00AA1DBD" w:rsidRDefault="00AA1DBD"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r w:rsidR="00AA1DBD" w14:paraId="14DFCAE3" w14:textId="77777777" w:rsidTr="00AA1DBD">
        <w:tc>
          <w:tcPr>
            <w:tcW w:w="1693" w:type="dxa"/>
          </w:tcPr>
          <w:p w14:paraId="61E22DC3" w14:textId="6BB1EA01" w:rsidR="00AA1DBD" w:rsidRDefault="00516405" w:rsidP="00516405">
            <w:pPr>
              <w:tabs>
                <w:tab w:val="num" w:pos="720"/>
                <w:tab w:val="left" w:pos="1440"/>
              </w:tabs>
              <w:spacing w:after="0" w:line="240" w:lineRule="auto"/>
              <w:jc w:val="both"/>
              <w:rPr>
                <w:rFonts w:cs="Arial"/>
                <w:lang w:val="en-GB"/>
              </w:rPr>
            </w:pPr>
            <w:r>
              <w:rPr>
                <w:rFonts w:cs="Arial"/>
                <w:lang w:val="en-GB"/>
              </w:rPr>
              <w:t>Further</w:t>
            </w:r>
          </w:p>
        </w:tc>
        <w:tc>
          <w:tcPr>
            <w:tcW w:w="6001" w:type="dxa"/>
          </w:tcPr>
          <w:p w14:paraId="288AB3D9"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Coles, A (</w:t>
            </w:r>
            <w:proofErr w:type="spellStart"/>
            <w:r>
              <w:rPr>
                <w:rFonts w:ascii="Verdana" w:hAnsi="Verdana"/>
                <w:color w:val="000000"/>
                <w:sz w:val="21"/>
                <w:szCs w:val="21"/>
              </w:rPr>
              <w:t>ed</w:t>
            </w:r>
            <w:proofErr w:type="spellEnd"/>
            <w:r>
              <w:rPr>
                <w:rFonts w:ascii="Verdana" w:hAnsi="Verdana"/>
                <w:color w:val="000000"/>
                <w:sz w:val="21"/>
                <w:szCs w:val="21"/>
              </w:rPr>
              <w:t>) (2013) Teaching in Post Compulsory Education, 2nd edition, London: David Fulton</w:t>
            </w:r>
          </w:p>
          <w:p w14:paraId="3D028F0C" w14:textId="77777777" w:rsidR="00AA1DBD" w:rsidRDefault="00AA1DBD"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772477555"/>
              <w14:checkbox>
                <w14:checked w14:val="0"/>
                <w14:checkedState w14:val="2612" w14:font="MS Gothic"/>
                <w14:uncheckedState w14:val="2610" w14:font="MS Gothic"/>
              </w14:checkbox>
            </w:sdtPr>
            <w:sdtEndPr/>
            <w:sdtContent>
              <w:p w14:paraId="263686D8" w14:textId="687725B4" w:rsidR="00AA1DBD" w:rsidRDefault="00AA1DBD" w:rsidP="00516405">
                <w:pPr>
                  <w:autoSpaceDE w:val="0"/>
                  <w:autoSpaceDN w:val="0"/>
                  <w:adjustRightInd w:val="0"/>
                  <w:spacing w:after="0" w:line="240" w:lineRule="auto"/>
                  <w:jc w:val="center"/>
                  <w:rPr>
                    <w:rFonts w:ascii="MS Gothic" w:eastAsia="MS Gothic" w:hAnsi="MS Gothic" w:cs="Arial"/>
                    <w:lang w:val="en-GB"/>
                  </w:rPr>
                </w:pPr>
                <w:r>
                  <w:rPr>
                    <w:rFonts w:ascii="MS Gothic" w:eastAsia="MS Gothic" w:hAnsi="MS Gothic" w:cs="Arial" w:hint="eastAsia"/>
                    <w:lang w:val="en-GB"/>
                  </w:rPr>
                  <w:t>☐</w:t>
                </w:r>
              </w:p>
            </w:sdtContent>
          </w:sdt>
        </w:tc>
      </w:tr>
      <w:tr w:rsidR="00516405" w14:paraId="06DF52E2" w14:textId="77777777" w:rsidTr="00AA1DBD">
        <w:tc>
          <w:tcPr>
            <w:tcW w:w="1693" w:type="dxa"/>
          </w:tcPr>
          <w:p w14:paraId="2D6144E9" w14:textId="29D39429" w:rsidR="00516405" w:rsidRDefault="00516405" w:rsidP="00516405">
            <w:pPr>
              <w:tabs>
                <w:tab w:val="num" w:pos="720"/>
                <w:tab w:val="left" w:pos="1440"/>
              </w:tabs>
              <w:spacing w:after="0" w:line="240" w:lineRule="auto"/>
              <w:jc w:val="both"/>
              <w:rPr>
                <w:rFonts w:cs="Arial"/>
                <w:lang w:val="en-GB"/>
              </w:rPr>
            </w:pPr>
            <w:r>
              <w:rPr>
                <w:rFonts w:cs="Arial"/>
                <w:lang w:val="en-GB"/>
              </w:rPr>
              <w:t>Further</w:t>
            </w:r>
          </w:p>
        </w:tc>
        <w:tc>
          <w:tcPr>
            <w:tcW w:w="6001" w:type="dxa"/>
          </w:tcPr>
          <w:p w14:paraId="7C6D02A1" w14:textId="77777777" w:rsidR="00C923BC" w:rsidRDefault="00C923BC" w:rsidP="00C923BC">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Curzon, L B (2004) Teaching in Further Education, 6th edition, London: Holt, Reinhardt and Wilson</w:t>
            </w:r>
          </w:p>
          <w:p w14:paraId="079D64DB" w14:textId="77777777" w:rsidR="00516405" w:rsidRDefault="00516405" w:rsidP="00516405">
            <w:pPr>
              <w:tabs>
                <w:tab w:val="num" w:pos="720"/>
                <w:tab w:val="left" w:pos="1440"/>
              </w:tabs>
              <w:spacing w:after="0" w:line="240" w:lineRule="auto"/>
              <w:jc w:val="both"/>
              <w:rPr>
                <w:rFonts w:cs="Arial"/>
                <w:lang w:val="en-GB"/>
              </w:rPr>
            </w:pPr>
          </w:p>
        </w:tc>
        <w:tc>
          <w:tcPr>
            <w:tcW w:w="1366" w:type="dxa"/>
          </w:tcPr>
          <w:sdt>
            <w:sdtPr>
              <w:rPr>
                <w:rFonts w:cs="Arial"/>
                <w:lang w:val="en-GB"/>
              </w:rPr>
              <w:id w:val="453755404"/>
              <w14:checkbox>
                <w14:checked w14:val="0"/>
                <w14:checkedState w14:val="2612" w14:font="MS Gothic"/>
                <w14:uncheckedState w14:val="2610" w14:font="MS Gothic"/>
              </w14:checkbox>
            </w:sdtPr>
            <w:sdtEndPr/>
            <w:sdtContent>
              <w:p w14:paraId="3C32E09A" w14:textId="34E7B1A7" w:rsidR="00516405" w:rsidRDefault="00516405" w:rsidP="00516405">
                <w:pPr>
                  <w:autoSpaceDE w:val="0"/>
                  <w:autoSpaceDN w:val="0"/>
                  <w:adjustRightInd w:val="0"/>
                  <w:spacing w:after="0" w:line="240" w:lineRule="auto"/>
                  <w:jc w:val="center"/>
                  <w:rPr>
                    <w:rFonts w:cs="Arial"/>
                    <w:lang w:val="en-GB"/>
                  </w:rPr>
                </w:pPr>
                <w:r>
                  <w:rPr>
                    <w:rFonts w:ascii="MS Gothic" w:eastAsia="MS Gothic" w:hAnsi="MS Gothic" w:cs="Arial" w:hint="eastAsia"/>
                    <w:lang w:val="en-GB"/>
                  </w:rPr>
                  <w:t>☐</w:t>
                </w:r>
              </w:p>
            </w:sdtContent>
          </w:sdt>
        </w:tc>
      </w:tr>
    </w:tbl>
    <w:p w14:paraId="789F466D" w14:textId="463A8466" w:rsidR="00D45097" w:rsidRDefault="00216D38" w:rsidP="00D45097">
      <w:pPr>
        <w:tabs>
          <w:tab w:val="num" w:pos="720"/>
          <w:tab w:val="left" w:pos="1440"/>
        </w:tabs>
        <w:spacing w:before="240" w:after="240" w:line="240" w:lineRule="auto"/>
        <w:jc w:val="both"/>
        <w:rPr>
          <w:rFonts w:cs="Arial"/>
          <w:lang w:val="en-GB"/>
        </w:rPr>
      </w:pPr>
      <w:proofErr w:type="gramStart"/>
      <w:r>
        <w:rPr>
          <w:rFonts w:cs="Arial"/>
          <w:lang w:val="en-GB"/>
        </w:rPr>
        <w:t xml:space="preserve">*  </w:t>
      </w:r>
      <w:r w:rsidR="00AA1DBD">
        <w:rPr>
          <w:rFonts w:cs="Arial"/>
          <w:lang w:val="en-GB"/>
        </w:rPr>
        <w:t>Place</w:t>
      </w:r>
      <w:proofErr w:type="gramEnd"/>
      <w:r w:rsidR="00AA1DBD">
        <w:rPr>
          <w:rFonts w:cs="Arial"/>
          <w:lang w:val="en-GB"/>
        </w:rPr>
        <w:t xml:space="preserve"> a X in</w:t>
      </w:r>
      <w:r>
        <w:rPr>
          <w:rFonts w:cs="Arial"/>
          <w:lang w:val="en-GB"/>
        </w:rPr>
        <w:t xml:space="preserve"> the box if the entry is an electronic resource, such as an e-book or on-line journal</w:t>
      </w:r>
      <w:r w:rsidR="00AA1DBD">
        <w:rPr>
          <w:rFonts w:cs="Arial"/>
          <w:lang w:val="en-GB"/>
        </w:rPr>
        <w:t xml:space="preserve"> (one click will enter X).</w:t>
      </w:r>
    </w:p>
    <w:p w14:paraId="18C4D69D" w14:textId="46588C4C" w:rsidR="00991EAF" w:rsidRDefault="00991EAF" w:rsidP="00991EAF">
      <w:pPr>
        <w:pStyle w:val="NormalWeb"/>
        <w:shd w:val="clear" w:color="auto" w:fill="FFFFFF"/>
        <w:spacing w:before="0" w:beforeAutospacing="0" w:after="150" w:afterAutospacing="0"/>
        <w:rPr>
          <w:rFonts w:ascii="Verdana" w:hAnsi="Verdana"/>
          <w:color w:val="217A94"/>
          <w:sz w:val="21"/>
          <w:szCs w:val="21"/>
        </w:rPr>
      </w:pPr>
      <w:r>
        <w:rPr>
          <w:rFonts w:ascii="Verdana" w:hAnsi="Verdana"/>
          <w:color w:val="000000"/>
          <w:sz w:val="21"/>
          <w:szCs w:val="21"/>
        </w:rPr>
        <w:t>Journals</w:t>
      </w:r>
      <w:r>
        <w:rPr>
          <w:rFonts w:ascii="Verdana" w:hAnsi="Verdana"/>
          <w:color w:val="217A94"/>
          <w:sz w:val="21"/>
          <w:szCs w:val="21"/>
        </w:rPr>
        <w:t xml:space="preserve">: </w:t>
      </w:r>
      <w:bookmarkStart w:id="2" w:name="_GoBack"/>
      <w:bookmarkEnd w:id="2"/>
      <w:r>
        <w:rPr>
          <w:rFonts w:ascii="Verdana" w:hAnsi="Verdana"/>
          <w:color w:val="000000"/>
          <w:sz w:val="21"/>
          <w:szCs w:val="21"/>
        </w:rPr>
        <w:t>You will also find a range of relevant journal articles in databases such as Education Source. </w:t>
      </w:r>
    </w:p>
    <w:p w14:paraId="316AD74B" w14:textId="77777777" w:rsidR="00991EAF" w:rsidRPr="00D45097" w:rsidRDefault="00991EAF" w:rsidP="00D45097">
      <w:pPr>
        <w:tabs>
          <w:tab w:val="num" w:pos="720"/>
          <w:tab w:val="left" w:pos="1440"/>
        </w:tabs>
        <w:spacing w:before="240" w:after="240" w:line="240" w:lineRule="auto"/>
        <w:jc w:val="both"/>
        <w:rPr>
          <w:rFonts w:cs="Arial"/>
          <w:lang w:val="en-GB"/>
        </w:rPr>
      </w:pPr>
    </w:p>
    <w:p w14:paraId="69395E38" w14:textId="77777777" w:rsidR="00991EAF" w:rsidRPr="00B81B83" w:rsidRDefault="00991EAF" w:rsidP="00991EAF">
      <w:pPr>
        <w:rPr>
          <w:rFonts w:asciiTheme="majorHAnsi" w:hAnsiTheme="majorHAnsi"/>
        </w:rPr>
      </w:pPr>
    </w:p>
    <w:p w14:paraId="2AB2000F" w14:textId="77777777" w:rsidR="00991EAF" w:rsidRDefault="00991EAF" w:rsidP="00991EAF">
      <w:pPr>
        <w:rPr>
          <w:rFonts w:asciiTheme="majorHAnsi" w:hAnsiTheme="majorHAnsi"/>
        </w:rPr>
      </w:pPr>
    </w:p>
    <w:p w14:paraId="1B850F25" w14:textId="77777777" w:rsidR="00991EAF" w:rsidRPr="00B81B83" w:rsidRDefault="00991EAF" w:rsidP="00991EAF">
      <w:pPr>
        <w:rPr>
          <w:rFonts w:asciiTheme="majorHAnsi" w:hAnsiTheme="majorHAnsi"/>
        </w:rPr>
      </w:pPr>
    </w:p>
    <w:bookmarkEnd w:id="0"/>
    <w:p w14:paraId="5AA2C8D8" w14:textId="77777777" w:rsidR="00991EAF" w:rsidRPr="00B81B83" w:rsidRDefault="00991EAF" w:rsidP="00991EAF">
      <w:pPr>
        <w:rPr>
          <w:rFonts w:asciiTheme="majorHAnsi" w:hAnsiTheme="majorHAnsi"/>
        </w:rPr>
      </w:pPr>
    </w:p>
    <w:sectPr w:rsidR="00991EAF" w:rsidRPr="00B81B83" w:rsidSect="009423C4">
      <w:footerReference w:type="default" r:id="rId11"/>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69D471" w14:textId="77777777" w:rsidR="007E3459" w:rsidRDefault="007E3459" w:rsidP="00495872">
      <w:pPr>
        <w:spacing w:after="0" w:line="240" w:lineRule="auto"/>
      </w:pPr>
      <w:r>
        <w:separator/>
      </w:r>
    </w:p>
  </w:endnote>
  <w:endnote w:type="continuationSeparator" w:id="0">
    <w:p w14:paraId="66AD7D15" w14:textId="77777777" w:rsidR="007E3459" w:rsidRDefault="007E3459"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56B075" w14:textId="77777777" w:rsidR="009738F9" w:rsidRPr="00495872" w:rsidRDefault="00D00599" w:rsidP="00495872">
    <w:pPr>
      <w:pStyle w:val="Footer"/>
      <w:jc w:val="center"/>
      <w:rPr>
        <w:rFonts w:cs="Arial"/>
        <w:sz w:val="20"/>
        <w:szCs w:val="20"/>
      </w:rPr>
    </w:pPr>
    <w:r w:rsidRPr="00495872">
      <w:rPr>
        <w:rFonts w:cs="Arial"/>
        <w:sz w:val="20"/>
        <w:szCs w:val="20"/>
      </w:rPr>
      <w:fldChar w:fldCharType="begin"/>
    </w:r>
    <w:r w:rsidR="009738F9" w:rsidRPr="00495872">
      <w:rPr>
        <w:rFonts w:cs="Arial"/>
        <w:sz w:val="20"/>
        <w:szCs w:val="20"/>
      </w:rPr>
      <w:instrText xml:space="preserve"> PAGE   \* MERGEFORMAT </w:instrText>
    </w:r>
    <w:r w:rsidRPr="00495872">
      <w:rPr>
        <w:rFonts w:cs="Arial"/>
        <w:sz w:val="20"/>
        <w:szCs w:val="20"/>
      </w:rPr>
      <w:fldChar w:fldCharType="separate"/>
    </w:r>
    <w:r w:rsidR="00D75E62">
      <w:rPr>
        <w:rFonts w:cs="Arial"/>
        <w:noProof/>
        <w:sz w:val="20"/>
        <w:szCs w:val="20"/>
      </w:rPr>
      <w:t>5</w:t>
    </w:r>
    <w:r w:rsidRPr="00495872">
      <w:rPr>
        <w:rFonts w:cs="Arial"/>
        <w:noProof/>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3CD0D1" w14:textId="77777777" w:rsidR="009738F9" w:rsidRPr="00495872" w:rsidRDefault="00D00599" w:rsidP="00495872">
    <w:pPr>
      <w:pStyle w:val="Footer"/>
      <w:jc w:val="center"/>
      <w:rPr>
        <w:rFonts w:cs="Arial"/>
        <w:sz w:val="20"/>
        <w:szCs w:val="20"/>
      </w:rPr>
    </w:pPr>
    <w:r w:rsidRPr="00495872">
      <w:rPr>
        <w:rFonts w:cs="Arial"/>
        <w:sz w:val="20"/>
        <w:szCs w:val="20"/>
      </w:rPr>
      <w:fldChar w:fldCharType="begin"/>
    </w:r>
    <w:r w:rsidR="009738F9" w:rsidRPr="00495872">
      <w:rPr>
        <w:rFonts w:cs="Arial"/>
        <w:sz w:val="20"/>
        <w:szCs w:val="20"/>
      </w:rPr>
      <w:instrText xml:space="preserve"> PAGE   \* MERGEFORMAT </w:instrText>
    </w:r>
    <w:r w:rsidRPr="00495872">
      <w:rPr>
        <w:rFonts w:cs="Arial"/>
        <w:sz w:val="20"/>
        <w:szCs w:val="20"/>
      </w:rPr>
      <w:fldChar w:fldCharType="separate"/>
    </w:r>
    <w:r w:rsidR="00991EAF">
      <w:rPr>
        <w:rFonts w:cs="Arial"/>
        <w:noProof/>
        <w:sz w:val="20"/>
        <w:szCs w:val="20"/>
      </w:rPr>
      <w:t>3</w:t>
    </w:r>
    <w:r w:rsidRPr="00495872">
      <w:rPr>
        <w:rFonts w:cs="Arial"/>
        <w:noProof/>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8F3C5D" w14:textId="77777777" w:rsidR="007E3459" w:rsidRDefault="007E3459" w:rsidP="00495872">
      <w:pPr>
        <w:spacing w:after="0" w:line="240" w:lineRule="auto"/>
      </w:pPr>
      <w:r>
        <w:separator/>
      </w:r>
    </w:p>
  </w:footnote>
  <w:footnote w:type="continuationSeparator" w:id="0">
    <w:p w14:paraId="23FA4C0A" w14:textId="77777777" w:rsidR="007E3459" w:rsidRDefault="007E3459" w:rsidP="004958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78728B"/>
    <w:multiLevelType w:val="multilevel"/>
    <w:tmpl w:val="5E0ECB28"/>
    <w:styleLink w:val="Headings"/>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346E27D2"/>
    <w:multiLevelType w:val="multilevel"/>
    <w:tmpl w:val="5E0ECB28"/>
    <w:numStyleLink w:val="Headings"/>
  </w:abstractNum>
  <w:abstractNum w:abstractNumId="3"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num w:numId="1">
    <w:abstractNumId w:val="3"/>
  </w:num>
  <w:num w:numId="2">
    <w:abstractNumId w:val="5"/>
  </w:num>
  <w:num w:numId="3">
    <w:abstractNumId w:val="0"/>
  </w:num>
  <w:num w:numId="4">
    <w:abstractNumId w:val="1"/>
  </w:num>
  <w:num w:numId="5">
    <w:abstractNumId w:val="2"/>
    <w:lvlOverride w:ilvl="0">
      <w:lvl w:ilvl="0">
        <w:start w:val="1"/>
        <w:numFmt w:val="decimal"/>
        <w:pStyle w:val="Heading1"/>
        <w:lvlText w:val="%1)"/>
        <w:lvlJc w:val="left"/>
        <w:pPr>
          <w:ind w:left="2160" w:hanging="360"/>
        </w:pPr>
      </w:lvl>
    </w:lvlOverride>
    <w:lvlOverride w:ilvl="1">
      <w:lvl w:ilvl="1">
        <w:start w:val="1"/>
        <w:numFmt w:val="lowerLetter"/>
        <w:pStyle w:val="Heading2"/>
        <w:lvlText w:val="%2."/>
        <w:lvlJc w:val="left"/>
        <w:pPr>
          <w:ind w:left="2880" w:hanging="360"/>
        </w:pPr>
      </w:lvl>
    </w:lvlOverride>
    <w:lvlOverride w:ilvl="2">
      <w:lvl w:ilvl="2">
        <w:start w:val="1"/>
        <w:numFmt w:val="lowerRoman"/>
        <w:pStyle w:val="Heading3"/>
        <w:lvlText w:val="%3."/>
        <w:lvlJc w:val="right"/>
        <w:pPr>
          <w:ind w:left="3600" w:hanging="180"/>
        </w:pPr>
      </w:lvl>
    </w:lvlOverride>
    <w:lvlOverride w:ilvl="3">
      <w:lvl w:ilvl="3" w:tentative="1">
        <w:start w:val="1"/>
        <w:numFmt w:val="decimal"/>
        <w:lvlText w:val="%4."/>
        <w:lvlJc w:val="left"/>
        <w:pPr>
          <w:ind w:left="4320" w:hanging="360"/>
        </w:pPr>
      </w:lvl>
    </w:lvlOverride>
    <w:lvlOverride w:ilvl="4">
      <w:lvl w:ilvl="4" w:tentative="1">
        <w:start w:val="1"/>
        <w:numFmt w:val="lowerLetter"/>
        <w:lvlText w:val="%5."/>
        <w:lvlJc w:val="left"/>
        <w:pPr>
          <w:ind w:left="5040" w:hanging="360"/>
        </w:pPr>
      </w:lvl>
    </w:lvlOverride>
    <w:lvlOverride w:ilvl="5">
      <w:lvl w:ilvl="5" w:tentative="1">
        <w:start w:val="1"/>
        <w:numFmt w:val="lowerRoman"/>
        <w:lvlText w:val="%6."/>
        <w:lvlJc w:val="right"/>
        <w:pPr>
          <w:ind w:left="5760" w:hanging="180"/>
        </w:pPr>
      </w:lvl>
    </w:lvlOverride>
    <w:lvlOverride w:ilvl="6">
      <w:lvl w:ilvl="6" w:tentative="1">
        <w:start w:val="1"/>
        <w:numFmt w:val="decimal"/>
        <w:lvlText w:val="%7."/>
        <w:lvlJc w:val="left"/>
        <w:pPr>
          <w:ind w:left="6480" w:hanging="360"/>
        </w:pPr>
      </w:lvl>
    </w:lvlOverride>
    <w:lvlOverride w:ilvl="7">
      <w:lvl w:ilvl="7" w:tentative="1">
        <w:start w:val="1"/>
        <w:numFmt w:val="lowerLetter"/>
        <w:lvlText w:val="%8."/>
        <w:lvlJc w:val="left"/>
        <w:pPr>
          <w:ind w:left="7200" w:hanging="360"/>
        </w:pPr>
      </w:lvl>
    </w:lvlOverride>
    <w:lvlOverride w:ilvl="8">
      <w:lvl w:ilvl="8" w:tentative="1">
        <w:start w:val="1"/>
        <w:numFmt w:val="lowerRoman"/>
        <w:lvlText w:val="%9."/>
        <w:lvlJc w:val="right"/>
        <w:pPr>
          <w:ind w:left="7920" w:hanging="180"/>
        </w:pPr>
      </w:lvl>
    </w:lvlOverride>
  </w:num>
  <w:num w:numId="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5872"/>
    <w:rsid w:val="00004E83"/>
    <w:rsid w:val="00011284"/>
    <w:rsid w:val="00011D4A"/>
    <w:rsid w:val="00013E1F"/>
    <w:rsid w:val="00014C9A"/>
    <w:rsid w:val="000150DC"/>
    <w:rsid w:val="00015975"/>
    <w:rsid w:val="00021789"/>
    <w:rsid w:val="000262E9"/>
    <w:rsid w:val="00026D71"/>
    <w:rsid w:val="00032907"/>
    <w:rsid w:val="000354E9"/>
    <w:rsid w:val="0003735F"/>
    <w:rsid w:val="000415AB"/>
    <w:rsid w:val="00041F05"/>
    <w:rsid w:val="00044615"/>
    <w:rsid w:val="00047761"/>
    <w:rsid w:val="0005245A"/>
    <w:rsid w:val="00052971"/>
    <w:rsid w:val="00054576"/>
    <w:rsid w:val="000562BA"/>
    <w:rsid w:val="00056A68"/>
    <w:rsid w:val="000601F4"/>
    <w:rsid w:val="0006777E"/>
    <w:rsid w:val="00072107"/>
    <w:rsid w:val="0007445A"/>
    <w:rsid w:val="00091787"/>
    <w:rsid w:val="00093FCB"/>
    <w:rsid w:val="00096804"/>
    <w:rsid w:val="00097C1C"/>
    <w:rsid w:val="000A0F6B"/>
    <w:rsid w:val="000A1284"/>
    <w:rsid w:val="000A17DB"/>
    <w:rsid w:val="000A53D6"/>
    <w:rsid w:val="000A7C89"/>
    <w:rsid w:val="000B0003"/>
    <w:rsid w:val="000B10E7"/>
    <w:rsid w:val="000B2EC1"/>
    <w:rsid w:val="000B409C"/>
    <w:rsid w:val="000B7A14"/>
    <w:rsid w:val="000C5FAE"/>
    <w:rsid w:val="000D1D7F"/>
    <w:rsid w:val="000D3433"/>
    <w:rsid w:val="000D5D40"/>
    <w:rsid w:val="000E1F9F"/>
    <w:rsid w:val="000E4900"/>
    <w:rsid w:val="000F5660"/>
    <w:rsid w:val="000F6F14"/>
    <w:rsid w:val="000F7666"/>
    <w:rsid w:val="0010121D"/>
    <w:rsid w:val="00116B11"/>
    <w:rsid w:val="0012095B"/>
    <w:rsid w:val="0012621F"/>
    <w:rsid w:val="001263D2"/>
    <w:rsid w:val="0012778E"/>
    <w:rsid w:val="001315A6"/>
    <w:rsid w:val="001324A7"/>
    <w:rsid w:val="001361E2"/>
    <w:rsid w:val="00163026"/>
    <w:rsid w:val="001637D2"/>
    <w:rsid w:val="00171A46"/>
    <w:rsid w:val="00172488"/>
    <w:rsid w:val="0017329E"/>
    <w:rsid w:val="0017739D"/>
    <w:rsid w:val="001773FF"/>
    <w:rsid w:val="00185648"/>
    <w:rsid w:val="00191EA6"/>
    <w:rsid w:val="001A156E"/>
    <w:rsid w:val="001A37E2"/>
    <w:rsid w:val="001B4738"/>
    <w:rsid w:val="001C070B"/>
    <w:rsid w:val="001D0831"/>
    <w:rsid w:val="001D192F"/>
    <w:rsid w:val="001D3922"/>
    <w:rsid w:val="001E0F04"/>
    <w:rsid w:val="001E1773"/>
    <w:rsid w:val="001E6F7C"/>
    <w:rsid w:val="001F0375"/>
    <w:rsid w:val="001F58E3"/>
    <w:rsid w:val="001F6F6D"/>
    <w:rsid w:val="002008EE"/>
    <w:rsid w:val="00202B5B"/>
    <w:rsid w:val="00203D3C"/>
    <w:rsid w:val="00212E8A"/>
    <w:rsid w:val="00216D38"/>
    <w:rsid w:val="002254C7"/>
    <w:rsid w:val="00226585"/>
    <w:rsid w:val="002323E0"/>
    <w:rsid w:val="002400F5"/>
    <w:rsid w:val="00242CAC"/>
    <w:rsid w:val="00242D68"/>
    <w:rsid w:val="002457F0"/>
    <w:rsid w:val="00246F3A"/>
    <w:rsid w:val="002504B8"/>
    <w:rsid w:val="002572F7"/>
    <w:rsid w:val="002573D7"/>
    <w:rsid w:val="00260613"/>
    <w:rsid w:val="00266D8F"/>
    <w:rsid w:val="00270156"/>
    <w:rsid w:val="002727A4"/>
    <w:rsid w:val="002732D3"/>
    <w:rsid w:val="00274107"/>
    <w:rsid w:val="00275BB5"/>
    <w:rsid w:val="0028073B"/>
    <w:rsid w:val="0028202D"/>
    <w:rsid w:val="0028305C"/>
    <w:rsid w:val="002849C9"/>
    <w:rsid w:val="00287604"/>
    <w:rsid w:val="00292C6A"/>
    <w:rsid w:val="00295FA7"/>
    <w:rsid w:val="002A069A"/>
    <w:rsid w:val="002A1437"/>
    <w:rsid w:val="002A2ED0"/>
    <w:rsid w:val="002A3960"/>
    <w:rsid w:val="002A4B56"/>
    <w:rsid w:val="002B4A6E"/>
    <w:rsid w:val="002C1085"/>
    <w:rsid w:val="002D1A2A"/>
    <w:rsid w:val="002E29AC"/>
    <w:rsid w:val="002E4EFB"/>
    <w:rsid w:val="002F143B"/>
    <w:rsid w:val="003005C7"/>
    <w:rsid w:val="003039A9"/>
    <w:rsid w:val="00306A5B"/>
    <w:rsid w:val="003120C8"/>
    <w:rsid w:val="00312ACB"/>
    <w:rsid w:val="00316103"/>
    <w:rsid w:val="00316C6D"/>
    <w:rsid w:val="0032056B"/>
    <w:rsid w:val="0032245B"/>
    <w:rsid w:val="00326A72"/>
    <w:rsid w:val="003328EA"/>
    <w:rsid w:val="00332BE5"/>
    <w:rsid w:val="0033326F"/>
    <w:rsid w:val="00336746"/>
    <w:rsid w:val="00337375"/>
    <w:rsid w:val="0033746A"/>
    <w:rsid w:val="00341429"/>
    <w:rsid w:val="00342BA5"/>
    <w:rsid w:val="0034588A"/>
    <w:rsid w:val="0034598E"/>
    <w:rsid w:val="003604EA"/>
    <w:rsid w:val="003637F2"/>
    <w:rsid w:val="0037138A"/>
    <w:rsid w:val="003737AC"/>
    <w:rsid w:val="00373D65"/>
    <w:rsid w:val="00374B2A"/>
    <w:rsid w:val="00392123"/>
    <w:rsid w:val="003937B8"/>
    <w:rsid w:val="00393D48"/>
    <w:rsid w:val="003A68DD"/>
    <w:rsid w:val="003B1CE7"/>
    <w:rsid w:val="003B4CD5"/>
    <w:rsid w:val="003C1801"/>
    <w:rsid w:val="003C31B6"/>
    <w:rsid w:val="003C444D"/>
    <w:rsid w:val="003C4824"/>
    <w:rsid w:val="003D0CF5"/>
    <w:rsid w:val="003D0D45"/>
    <w:rsid w:val="003D30C7"/>
    <w:rsid w:val="003E04C1"/>
    <w:rsid w:val="003F2E7F"/>
    <w:rsid w:val="003F3ECF"/>
    <w:rsid w:val="003F401D"/>
    <w:rsid w:val="00402623"/>
    <w:rsid w:val="00406210"/>
    <w:rsid w:val="00412539"/>
    <w:rsid w:val="00412EC1"/>
    <w:rsid w:val="0041642F"/>
    <w:rsid w:val="00420B47"/>
    <w:rsid w:val="00422C02"/>
    <w:rsid w:val="00426B62"/>
    <w:rsid w:val="00433D56"/>
    <w:rsid w:val="00447135"/>
    <w:rsid w:val="004478BE"/>
    <w:rsid w:val="00452EC6"/>
    <w:rsid w:val="0046716E"/>
    <w:rsid w:val="00470CDB"/>
    <w:rsid w:val="00473C30"/>
    <w:rsid w:val="00475BFD"/>
    <w:rsid w:val="00476ACD"/>
    <w:rsid w:val="004770F8"/>
    <w:rsid w:val="00477263"/>
    <w:rsid w:val="00481FBC"/>
    <w:rsid w:val="00483626"/>
    <w:rsid w:val="00484AE3"/>
    <w:rsid w:val="00485E94"/>
    <w:rsid w:val="00493FF3"/>
    <w:rsid w:val="00495872"/>
    <w:rsid w:val="0049621C"/>
    <w:rsid w:val="004A46B0"/>
    <w:rsid w:val="004A6DDB"/>
    <w:rsid w:val="004B3BCB"/>
    <w:rsid w:val="004B73D1"/>
    <w:rsid w:val="004C0E10"/>
    <w:rsid w:val="004C3C33"/>
    <w:rsid w:val="004C5E7C"/>
    <w:rsid w:val="004D237C"/>
    <w:rsid w:val="004D38BF"/>
    <w:rsid w:val="004D5939"/>
    <w:rsid w:val="004E0964"/>
    <w:rsid w:val="004E5283"/>
    <w:rsid w:val="004E5FC0"/>
    <w:rsid w:val="004E6BA0"/>
    <w:rsid w:val="004F07FB"/>
    <w:rsid w:val="004F0802"/>
    <w:rsid w:val="00500CBF"/>
    <w:rsid w:val="005012CD"/>
    <w:rsid w:val="00501445"/>
    <w:rsid w:val="005025FA"/>
    <w:rsid w:val="00504609"/>
    <w:rsid w:val="00505025"/>
    <w:rsid w:val="00511221"/>
    <w:rsid w:val="005127E5"/>
    <w:rsid w:val="00513B98"/>
    <w:rsid w:val="00516405"/>
    <w:rsid w:val="0052535A"/>
    <w:rsid w:val="00527656"/>
    <w:rsid w:val="00535852"/>
    <w:rsid w:val="005433D6"/>
    <w:rsid w:val="00551EA2"/>
    <w:rsid w:val="005560A0"/>
    <w:rsid w:val="00556B71"/>
    <w:rsid w:val="00560F92"/>
    <w:rsid w:val="0056270E"/>
    <w:rsid w:val="00564A9F"/>
    <w:rsid w:val="00566E6B"/>
    <w:rsid w:val="00571143"/>
    <w:rsid w:val="00573AC9"/>
    <w:rsid w:val="00573F95"/>
    <w:rsid w:val="0057471C"/>
    <w:rsid w:val="00577133"/>
    <w:rsid w:val="00580B09"/>
    <w:rsid w:val="00581DE6"/>
    <w:rsid w:val="005900B2"/>
    <w:rsid w:val="005900C4"/>
    <w:rsid w:val="00590B5B"/>
    <w:rsid w:val="00592756"/>
    <w:rsid w:val="00592A4C"/>
    <w:rsid w:val="005A0216"/>
    <w:rsid w:val="005B3331"/>
    <w:rsid w:val="005B3C88"/>
    <w:rsid w:val="005C004C"/>
    <w:rsid w:val="005C00C4"/>
    <w:rsid w:val="005C1895"/>
    <w:rsid w:val="005C375F"/>
    <w:rsid w:val="005D0895"/>
    <w:rsid w:val="005D0D16"/>
    <w:rsid w:val="005D12EC"/>
    <w:rsid w:val="005D7DAE"/>
    <w:rsid w:val="005E1522"/>
    <w:rsid w:val="005E548C"/>
    <w:rsid w:val="005F30B4"/>
    <w:rsid w:val="005F67A9"/>
    <w:rsid w:val="00600C55"/>
    <w:rsid w:val="0060113B"/>
    <w:rsid w:val="006022AB"/>
    <w:rsid w:val="006038CA"/>
    <w:rsid w:val="00604B97"/>
    <w:rsid w:val="00605378"/>
    <w:rsid w:val="00613DAA"/>
    <w:rsid w:val="00616292"/>
    <w:rsid w:val="00631922"/>
    <w:rsid w:val="006325B2"/>
    <w:rsid w:val="00633AE7"/>
    <w:rsid w:val="00633EC8"/>
    <w:rsid w:val="0063779B"/>
    <w:rsid w:val="00644048"/>
    <w:rsid w:val="00647032"/>
    <w:rsid w:val="006514B4"/>
    <w:rsid w:val="00652EBF"/>
    <w:rsid w:val="0066013A"/>
    <w:rsid w:val="00662EAF"/>
    <w:rsid w:val="006635A3"/>
    <w:rsid w:val="00670D90"/>
    <w:rsid w:val="00676596"/>
    <w:rsid w:val="0067766B"/>
    <w:rsid w:val="00682FE3"/>
    <w:rsid w:val="00684BF5"/>
    <w:rsid w:val="00687408"/>
    <w:rsid w:val="006933EF"/>
    <w:rsid w:val="00696F59"/>
    <w:rsid w:val="006A04F4"/>
    <w:rsid w:val="006A5CC5"/>
    <w:rsid w:val="006A7B24"/>
    <w:rsid w:val="006B5E99"/>
    <w:rsid w:val="006B709C"/>
    <w:rsid w:val="006B79D7"/>
    <w:rsid w:val="006D7475"/>
    <w:rsid w:val="006E4EF0"/>
    <w:rsid w:val="006E6941"/>
    <w:rsid w:val="006E757B"/>
    <w:rsid w:val="006F0867"/>
    <w:rsid w:val="006F0C96"/>
    <w:rsid w:val="006F1136"/>
    <w:rsid w:val="006F17F8"/>
    <w:rsid w:val="006F30C8"/>
    <w:rsid w:val="006F3C4F"/>
    <w:rsid w:val="006F561C"/>
    <w:rsid w:val="006F6F6F"/>
    <w:rsid w:val="007009BE"/>
    <w:rsid w:val="00707951"/>
    <w:rsid w:val="007110D7"/>
    <w:rsid w:val="00711E60"/>
    <w:rsid w:val="00717D22"/>
    <w:rsid w:val="007210FB"/>
    <w:rsid w:val="0072226E"/>
    <w:rsid w:val="007222D8"/>
    <w:rsid w:val="00722707"/>
    <w:rsid w:val="00722C2E"/>
    <w:rsid w:val="0072383F"/>
    <w:rsid w:val="00724513"/>
    <w:rsid w:val="00726C72"/>
    <w:rsid w:val="00726E43"/>
    <w:rsid w:val="00731E5E"/>
    <w:rsid w:val="00732755"/>
    <w:rsid w:val="007375E1"/>
    <w:rsid w:val="0074018C"/>
    <w:rsid w:val="00741246"/>
    <w:rsid w:val="007428EA"/>
    <w:rsid w:val="00743AEF"/>
    <w:rsid w:val="0074577A"/>
    <w:rsid w:val="00746D1D"/>
    <w:rsid w:val="00750C2C"/>
    <w:rsid w:val="00752F19"/>
    <w:rsid w:val="00763305"/>
    <w:rsid w:val="00763609"/>
    <w:rsid w:val="00766090"/>
    <w:rsid w:val="00766E0D"/>
    <w:rsid w:val="00772CB5"/>
    <w:rsid w:val="00775FC9"/>
    <w:rsid w:val="00776D75"/>
    <w:rsid w:val="007805CA"/>
    <w:rsid w:val="00781F92"/>
    <w:rsid w:val="007825D6"/>
    <w:rsid w:val="007830FB"/>
    <w:rsid w:val="00784B63"/>
    <w:rsid w:val="00787252"/>
    <w:rsid w:val="00790B75"/>
    <w:rsid w:val="007915D6"/>
    <w:rsid w:val="0079196F"/>
    <w:rsid w:val="00793DC8"/>
    <w:rsid w:val="00793F93"/>
    <w:rsid w:val="007A086C"/>
    <w:rsid w:val="007A37ED"/>
    <w:rsid w:val="007A56F2"/>
    <w:rsid w:val="007A5C39"/>
    <w:rsid w:val="007A6824"/>
    <w:rsid w:val="007A7DC4"/>
    <w:rsid w:val="007B4907"/>
    <w:rsid w:val="007C03C5"/>
    <w:rsid w:val="007C3119"/>
    <w:rsid w:val="007C3D03"/>
    <w:rsid w:val="007D1358"/>
    <w:rsid w:val="007D28EF"/>
    <w:rsid w:val="007D78FE"/>
    <w:rsid w:val="007E1059"/>
    <w:rsid w:val="007E3459"/>
    <w:rsid w:val="007E4AD7"/>
    <w:rsid w:val="007F30F0"/>
    <w:rsid w:val="007F5A62"/>
    <w:rsid w:val="0081044D"/>
    <w:rsid w:val="00811262"/>
    <w:rsid w:val="008118EC"/>
    <w:rsid w:val="00823090"/>
    <w:rsid w:val="008260A4"/>
    <w:rsid w:val="008266AA"/>
    <w:rsid w:val="0082680A"/>
    <w:rsid w:val="00827612"/>
    <w:rsid w:val="00832B35"/>
    <w:rsid w:val="0083517A"/>
    <w:rsid w:val="00840065"/>
    <w:rsid w:val="00840885"/>
    <w:rsid w:val="00840F06"/>
    <w:rsid w:val="00841467"/>
    <w:rsid w:val="00853B2C"/>
    <w:rsid w:val="00854390"/>
    <w:rsid w:val="00856FAF"/>
    <w:rsid w:val="00866390"/>
    <w:rsid w:val="00872AA1"/>
    <w:rsid w:val="00873267"/>
    <w:rsid w:val="00883959"/>
    <w:rsid w:val="008918D2"/>
    <w:rsid w:val="0089547B"/>
    <w:rsid w:val="008965A3"/>
    <w:rsid w:val="00897DCD"/>
    <w:rsid w:val="00897F80"/>
    <w:rsid w:val="008A1759"/>
    <w:rsid w:val="008A66F9"/>
    <w:rsid w:val="008A6C25"/>
    <w:rsid w:val="008A6F05"/>
    <w:rsid w:val="008A71CF"/>
    <w:rsid w:val="008B04FA"/>
    <w:rsid w:val="008B1B3A"/>
    <w:rsid w:val="008B2519"/>
    <w:rsid w:val="008B29BE"/>
    <w:rsid w:val="008B3331"/>
    <w:rsid w:val="008B6E75"/>
    <w:rsid w:val="008B7C5E"/>
    <w:rsid w:val="008C2F50"/>
    <w:rsid w:val="008D0A5B"/>
    <w:rsid w:val="008E0479"/>
    <w:rsid w:val="008E3351"/>
    <w:rsid w:val="008E7333"/>
    <w:rsid w:val="008F318A"/>
    <w:rsid w:val="009005A1"/>
    <w:rsid w:val="00903C95"/>
    <w:rsid w:val="00905739"/>
    <w:rsid w:val="009058F2"/>
    <w:rsid w:val="00906726"/>
    <w:rsid w:val="00906B4E"/>
    <w:rsid w:val="00907366"/>
    <w:rsid w:val="0091027E"/>
    <w:rsid w:val="0091045F"/>
    <w:rsid w:val="00911BCD"/>
    <w:rsid w:val="009121BF"/>
    <w:rsid w:val="009138DC"/>
    <w:rsid w:val="0092303B"/>
    <w:rsid w:val="009244F3"/>
    <w:rsid w:val="0092582F"/>
    <w:rsid w:val="00925FC7"/>
    <w:rsid w:val="009278CA"/>
    <w:rsid w:val="00927B32"/>
    <w:rsid w:val="00931238"/>
    <w:rsid w:val="00932715"/>
    <w:rsid w:val="009423C4"/>
    <w:rsid w:val="009454BC"/>
    <w:rsid w:val="0095132A"/>
    <w:rsid w:val="00951A92"/>
    <w:rsid w:val="00953275"/>
    <w:rsid w:val="00955112"/>
    <w:rsid w:val="00957A81"/>
    <w:rsid w:val="00966BE8"/>
    <w:rsid w:val="009709B3"/>
    <w:rsid w:val="0097304D"/>
    <w:rsid w:val="009738F9"/>
    <w:rsid w:val="009835A8"/>
    <w:rsid w:val="00983655"/>
    <w:rsid w:val="00991EAF"/>
    <w:rsid w:val="0099541B"/>
    <w:rsid w:val="009A28F3"/>
    <w:rsid w:val="009A5591"/>
    <w:rsid w:val="009B6A9E"/>
    <w:rsid w:val="009C03A1"/>
    <w:rsid w:val="009C3109"/>
    <w:rsid w:val="009C7B49"/>
    <w:rsid w:val="009D2D42"/>
    <w:rsid w:val="009D536E"/>
    <w:rsid w:val="009D7C45"/>
    <w:rsid w:val="009E4030"/>
    <w:rsid w:val="009F14BB"/>
    <w:rsid w:val="009F6951"/>
    <w:rsid w:val="00A10608"/>
    <w:rsid w:val="00A12433"/>
    <w:rsid w:val="00A13B32"/>
    <w:rsid w:val="00A14724"/>
    <w:rsid w:val="00A175F0"/>
    <w:rsid w:val="00A232AD"/>
    <w:rsid w:val="00A27F23"/>
    <w:rsid w:val="00A30F9E"/>
    <w:rsid w:val="00A31C05"/>
    <w:rsid w:val="00A35880"/>
    <w:rsid w:val="00A36485"/>
    <w:rsid w:val="00A37D6F"/>
    <w:rsid w:val="00A41557"/>
    <w:rsid w:val="00A4297C"/>
    <w:rsid w:val="00A43F29"/>
    <w:rsid w:val="00A51E04"/>
    <w:rsid w:val="00A56139"/>
    <w:rsid w:val="00A56A0E"/>
    <w:rsid w:val="00A57813"/>
    <w:rsid w:val="00A60DA7"/>
    <w:rsid w:val="00A6258C"/>
    <w:rsid w:val="00A65856"/>
    <w:rsid w:val="00A72726"/>
    <w:rsid w:val="00A80BC3"/>
    <w:rsid w:val="00A93DD9"/>
    <w:rsid w:val="00A9537B"/>
    <w:rsid w:val="00A95825"/>
    <w:rsid w:val="00A96464"/>
    <w:rsid w:val="00A979F1"/>
    <w:rsid w:val="00AA1DBD"/>
    <w:rsid w:val="00AA2364"/>
    <w:rsid w:val="00AA4007"/>
    <w:rsid w:val="00AB2038"/>
    <w:rsid w:val="00AB66C8"/>
    <w:rsid w:val="00AC138D"/>
    <w:rsid w:val="00AC7F27"/>
    <w:rsid w:val="00AD0903"/>
    <w:rsid w:val="00AD1D73"/>
    <w:rsid w:val="00AD3054"/>
    <w:rsid w:val="00AD712C"/>
    <w:rsid w:val="00AE11B8"/>
    <w:rsid w:val="00AE6553"/>
    <w:rsid w:val="00AE789E"/>
    <w:rsid w:val="00AF3CC9"/>
    <w:rsid w:val="00AF470A"/>
    <w:rsid w:val="00AF4ABC"/>
    <w:rsid w:val="00AF52BC"/>
    <w:rsid w:val="00B00412"/>
    <w:rsid w:val="00B01479"/>
    <w:rsid w:val="00B0280D"/>
    <w:rsid w:val="00B0539B"/>
    <w:rsid w:val="00B10AD5"/>
    <w:rsid w:val="00B11CA5"/>
    <w:rsid w:val="00B1341C"/>
    <w:rsid w:val="00B13D3C"/>
    <w:rsid w:val="00B245B5"/>
    <w:rsid w:val="00B24962"/>
    <w:rsid w:val="00B249C6"/>
    <w:rsid w:val="00B25613"/>
    <w:rsid w:val="00B269F8"/>
    <w:rsid w:val="00B302B2"/>
    <w:rsid w:val="00B314DB"/>
    <w:rsid w:val="00B35B12"/>
    <w:rsid w:val="00B365C1"/>
    <w:rsid w:val="00B36E51"/>
    <w:rsid w:val="00B4334A"/>
    <w:rsid w:val="00B47D7B"/>
    <w:rsid w:val="00B51DD7"/>
    <w:rsid w:val="00B52716"/>
    <w:rsid w:val="00B5755E"/>
    <w:rsid w:val="00B65CBA"/>
    <w:rsid w:val="00B7261A"/>
    <w:rsid w:val="00B73994"/>
    <w:rsid w:val="00B779CF"/>
    <w:rsid w:val="00B81E77"/>
    <w:rsid w:val="00B8203E"/>
    <w:rsid w:val="00BA5591"/>
    <w:rsid w:val="00BA61A2"/>
    <w:rsid w:val="00BB09CE"/>
    <w:rsid w:val="00BB5255"/>
    <w:rsid w:val="00BB5AF1"/>
    <w:rsid w:val="00BB7C93"/>
    <w:rsid w:val="00BC1098"/>
    <w:rsid w:val="00BC5A82"/>
    <w:rsid w:val="00BD178B"/>
    <w:rsid w:val="00BD2BCD"/>
    <w:rsid w:val="00BD38EF"/>
    <w:rsid w:val="00BD49A8"/>
    <w:rsid w:val="00BF0193"/>
    <w:rsid w:val="00BF369C"/>
    <w:rsid w:val="00BF61CD"/>
    <w:rsid w:val="00BF72F2"/>
    <w:rsid w:val="00C00F6C"/>
    <w:rsid w:val="00C07920"/>
    <w:rsid w:val="00C11712"/>
    <w:rsid w:val="00C1629B"/>
    <w:rsid w:val="00C1748A"/>
    <w:rsid w:val="00C21240"/>
    <w:rsid w:val="00C217ED"/>
    <w:rsid w:val="00C26A57"/>
    <w:rsid w:val="00C2794F"/>
    <w:rsid w:val="00C366C7"/>
    <w:rsid w:val="00C4132E"/>
    <w:rsid w:val="00C42761"/>
    <w:rsid w:val="00C54D2A"/>
    <w:rsid w:val="00C65277"/>
    <w:rsid w:val="00C674A1"/>
    <w:rsid w:val="00C75261"/>
    <w:rsid w:val="00C816E0"/>
    <w:rsid w:val="00C84A99"/>
    <w:rsid w:val="00C857C2"/>
    <w:rsid w:val="00C923BC"/>
    <w:rsid w:val="00C95655"/>
    <w:rsid w:val="00CA05E9"/>
    <w:rsid w:val="00CA1659"/>
    <w:rsid w:val="00CA241C"/>
    <w:rsid w:val="00CA2C74"/>
    <w:rsid w:val="00CB23F8"/>
    <w:rsid w:val="00CB299F"/>
    <w:rsid w:val="00CB7ED1"/>
    <w:rsid w:val="00CC00E4"/>
    <w:rsid w:val="00CC0F10"/>
    <w:rsid w:val="00CC59BA"/>
    <w:rsid w:val="00CD7D58"/>
    <w:rsid w:val="00CE1506"/>
    <w:rsid w:val="00CE2AC3"/>
    <w:rsid w:val="00CE3F50"/>
    <w:rsid w:val="00CE418A"/>
    <w:rsid w:val="00CE4A6B"/>
    <w:rsid w:val="00D00599"/>
    <w:rsid w:val="00D03628"/>
    <w:rsid w:val="00D0779B"/>
    <w:rsid w:val="00D11958"/>
    <w:rsid w:val="00D119CF"/>
    <w:rsid w:val="00D179E8"/>
    <w:rsid w:val="00D212C9"/>
    <w:rsid w:val="00D27AA6"/>
    <w:rsid w:val="00D3028E"/>
    <w:rsid w:val="00D3370F"/>
    <w:rsid w:val="00D3567C"/>
    <w:rsid w:val="00D361F8"/>
    <w:rsid w:val="00D45097"/>
    <w:rsid w:val="00D57C33"/>
    <w:rsid w:val="00D57D29"/>
    <w:rsid w:val="00D57D5F"/>
    <w:rsid w:val="00D60011"/>
    <w:rsid w:val="00D6203D"/>
    <w:rsid w:val="00D63AD5"/>
    <w:rsid w:val="00D63B47"/>
    <w:rsid w:val="00D63C81"/>
    <w:rsid w:val="00D65930"/>
    <w:rsid w:val="00D71CC7"/>
    <w:rsid w:val="00D72CA1"/>
    <w:rsid w:val="00D731BB"/>
    <w:rsid w:val="00D75648"/>
    <w:rsid w:val="00D75E62"/>
    <w:rsid w:val="00D76526"/>
    <w:rsid w:val="00D76D17"/>
    <w:rsid w:val="00D8387C"/>
    <w:rsid w:val="00D86715"/>
    <w:rsid w:val="00D86EDF"/>
    <w:rsid w:val="00D87B00"/>
    <w:rsid w:val="00D9141E"/>
    <w:rsid w:val="00D92A4A"/>
    <w:rsid w:val="00D936C1"/>
    <w:rsid w:val="00D9671B"/>
    <w:rsid w:val="00DA0428"/>
    <w:rsid w:val="00DA228F"/>
    <w:rsid w:val="00DA23D2"/>
    <w:rsid w:val="00DA6BBB"/>
    <w:rsid w:val="00DB43BB"/>
    <w:rsid w:val="00DB793F"/>
    <w:rsid w:val="00DD545F"/>
    <w:rsid w:val="00DE0177"/>
    <w:rsid w:val="00DE5712"/>
    <w:rsid w:val="00DF6DE8"/>
    <w:rsid w:val="00E01747"/>
    <w:rsid w:val="00E0247F"/>
    <w:rsid w:val="00E049A0"/>
    <w:rsid w:val="00E06907"/>
    <w:rsid w:val="00E12E4A"/>
    <w:rsid w:val="00E23522"/>
    <w:rsid w:val="00E24E40"/>
    <w:rsid w:val="00E25732"/>
    <w:rsid w:val="00E30F69"/>
    <w:rsid w:val="00E32F6A"/>
    <w:rsid w:val="00E37902"/>
    <w:rsid w:val="00E510BE"/>
    <w:rsid w:val="00E545D9"/>
    <w:rsid w:val="00E57E10"/>
    <w:rsid w:val="00E63261"/>
    <w:rsid w:val="00E65D21"/>
    <w:rsid w:val="00E74504"/>
    <w:rsid w:val="00E77106"/>
    <w:rsid w:val="00E81778"/>
    <w:rsid w:val="00E824EE"/>
    <w:rsid w:val="00E83B1B"/>
    <w:rsid w:val="00E8456F"/>
    <w:rsid w:val="00E9101A"/>
    <w:rsid w:val="00E92648"/>
    <w:rsid w:val="00E963A0"/>
    <w:rsid w:val="00E979A6"/>
    <w:rsid w:val="00E97DB6"/>
    <w:rsid w:val="00EA0D63"/>
    <w:rsid w:val="00EA3434"/>
    <w:rsid w:val="00EA66B5"/>
    <w:rsid w:val="00EA70F8"/>
    <w:rsid w:val="00EA783C"/>
    <w:rsid w:val="00EB0E5C"/>
    <w:rsid w:val="00EB3398"/>
    <w:rsid w:val="00EB46F1"/>
    <w:rsid w:val="00EB4EC8"/>
    <w:rsid w:val="00EB6B9A"/>
    <w:rsid w:val="00EB6C61"/>
    <w:rsid w:val="00EC7B0A"/>
    <w:rsid w:val="00ED58C4"/>
    <w:rsid w:val="00ED69AC"/>
    <w:rsid w:val="00EE36A6"/>
    <w:rsid w:val="00EF2A66"/>
    <w:rsid w:val="00EF3BEA"/>
    <w:rsid w:val="00EF41D1"/>
    <w:rsid w:val="00F0065C"/>
    <w:rsid w:val="00F06142"/>
    <w:rsid w:val="00F11C64"/>
    <w:rsid w:val="00F11E48"/>
    <w:rsid w:val="00F13ED4"/>
    <w:rsid w:val="00F15F85"/>
    <w:rsid w:val="00F2326F"/>
    <w:rsid w:val="00F24B53"/>
    <w:rsid w:val="00F30EAC"/>
    <w:rsid w:val="00F32DA4"/>
    <w:rsid w:val="00F4063A"/>
    <w:rsid w:val="00F541A1"/>
    <w:rsid w:val="00F54A27"/>
    <w:rsid w:val="00F61C8F"/>
    <w:rsid w:val="00F65234"/>
    <w:rsid w:val="00F71D38"/>
    <w:rsid w:val="00F74D0E"/>
    <w:rsid w:val="00F753C8"/>
    <w:rsid w:val="00F77AB5"/>
    <w:rsid w:val="00F8471A"/>
    <w:rsid w:val="00F8764C"/>
    <w:rsid w:val="00F95469"/>
    <w:rsid w:val="00F9756A"/>
    <w:rsid w:val="00FA5B8C"/>
    <w:rsid w:val="00FA6468"/>
    <w:rsid w:val="00FA7147"/>
    <w:rsid w:val="00FB2670"/>
    <w:rsid w:val="00FB29B7"/>
    <w:rsid w:val="00FB7414"/>
    <w:rsid w:val="00FB76E9"/>
    <w:rsid w:val="00FC0D20"/>
    <w:rsid w:val="00FC151C"/>
    <w:rsid w:val="00FC515C"/>
    <w:rsid w:val="00FD1F79"/>
    <w:rsid w:val="00FD2679"/>
    <w:rsid w:val="00FD5CA0"/>
    <w:rsid w:val="00FE0669"/>
    <w:rsid w:val="00FE1DA2"/>
    <w:rsid w:val="00FE23D3"/>
    <w:rsid w:val="00FE5E43"/>
    <w:rsid w:val="00FE76C1"/>
    <w:rsid w:val="00FE77CD"/>
    <w:rsid w:val="00FF2981"/>
    <w:rsid w:val="00FF5191"/>
    <w:rsid w:val="00FF6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2A2128"/>
  <w15:docId w15:val="{6D0215AF-3815-4EE4-ADD2-DDD3145F3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7252"/>
    <w:pPr>
      <w:spacing w:after="200" w:line="276" w:lineRule="auto"/>
    </w:pPr>
    <w:rPr>
      <w:rFonts w:ascii="Arial" w:hAnsi="Arial"/>
      <w:sz w:val="22"/>
      <w:szCs w:val="22"/>
      <w:lang w:val="en-US"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8918D2"/>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eastAsia="Times New Roman"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8918D2"/>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style>
  <w:style w:type="paragraph" w:styleId="TOC1">
    <w:name w:val="toc 1"/>
    <w:basedOn w:val="Normal"/>
    <w:next w:val="Normal"/>
    <w:autoRedefine/>
    <w:uiPriority w:val="39"/>
    <w:unhideWhenUsed/>
    <w:rsid w:val="0012095B"/>
    <w:pPr>
      <w:tabs>
        <w:tab w:val="right" w:leader="dot" w:pos="9060"/>
      </w:tabs>
    </w:pPr>
    <w:rPr>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12095B"/>
    <w:pPr>
      <w:ind w:left="440"/>
    </w:pPr>
  </w:style>
  <w:style w:type="numbering" w:customStyle="1" w:styleId="Headings">
    <w:name w:val="Headings"/>
    <w:uiPriority w:val="99"/>
    <w:rsid w:val="00B11CA5"/>
    <w:pPr>
      <w:numPr>
        <w:numId w:val="4"/>
      </w:numPr>
    </w:pPr>
  </w:style>
  <w:style w:type="character" w:customStyle="1" w:styleId="CommentTextChar">
    <w:name w:val="Comment Text Char"/>
    <w:link w:val="CommentText"/>
    <w:semiHidden/>
    <w:rsid w:val="00B11CA5"/>
    <w:rPr>
      <w:lang w:val="en-US"/>
    </w:rPr>
  </w:style>
  <w:style w:type="paragraph" w:styleId="CommentText">
    <w:name w:val="annotation text"/>
    <w:basedOn w:val="Normal"/>
    <w:link w:val="CommentTextChar"/>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BlockText">
    <w:name w:val="Block Text"/>
    <w:basedOn w:val="Normal"/>
    <w:rsid w:val="009738F9"/>
    <w:pPr>
      <w:tabs>
        <w:tab w:val="left" w:pos="567"/>
      </w:tabs>
      <w:spacing w:after="0" w:line="240" w:lineRule="auto"/>
      <w:ind w:left="360" w:right="720" w:hanging="360"/>
      <w:jc w:val="both"/>
    </w:pPr>
    <w:rPr>
      <w:rFonts w:ascii="Times New Roman" w:eastAsia="Times New Roman" w:hAnsi="Times New Roman"/>
      <w:sz w:val="24"/>
      <w:szCs w:val="24"/>
      <w:lang w:val="en-GB"/>
    </w:rPr>
  </w:style>
  <w:style w:type="paragraph" w:styleId="TOCHeading">
    <w:name w:val="TOC Heading"/>
    <w:basedOn w:val="Heading1"/>
    <w:next w:val="Normal"/>
    <w:uiPriority w:val="39"/>
    <w:unhideWhenUsed/>
    <w:qFormat/>
    <w:rsid w:val="00BF61CD"/>
    <w:pPr>
      <w:keepLines/>
      <w:numPr>
        <w:numId w:val="0"/>
      </w:num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character" w:styleId="FollowedHyperlink">
    <w:name w:val="FollowedHyperlink"/>
    <w:basedOn w:val="DefaultParagraphFont"/>
    <w:uiPriority w:val="99"/>
    <w:semiHidden/>
    <w:unhideWhenUsed/>
    <w:rsid w:val="00AA1DBD"/>
    <w:rPr>
      <w:color w:val="800080" w:themeColor="followedHyperlink"/>
      <w:u w:val="single"/>
    </w:rPr>
  </w:style>
  <w:style w:type="paragraph" w:styleId="NormalWeb">
    <w:name w:val="Normal (Web)"/>
    <w:basedOn w:val="Normal"/>
    <w:uiPriority w:val="99"/>
    <w:semiHidden/>
    <w:unhideWhenUsed/>
    <w:rsid w:val="00C923BC"/>
    <w:pPr>
      <w:spacing w:before="100" w:beforeAutospacing="1" w:after="100" w:afterAutospacing="1" w:line="240" w:lineRule="auto"/>
    </w:pPr>
    <w:rPr>
      <w:rFonts w:ascii="Times New Roman" w:eastAsia="Times New Roman" w:hAnsi="Times New Roman"/>
      <w:sz w:val="24"/>
      <w:szCs w:val="24"/>
      <w:lang w:val="en-GB" w:eastAsia="en-GB"/>
    </w:rPr>
  </w:style>
  <w:style w:type="character" w:styleId="Emphasis">
    <w:name w:val="Emphasis"/>
    <w:basedOn w:val="DefaultParagraphFont"/>
    <w:uiPriority w:val="20"/>
    <w:qFormat/>
    <w:rsid w:val="00C923BC"/>
    <w:rPr>
      <w:i/>
      <w:iCs/>
    </w:rPr>
  </w:style>
  <w:style w:type="paragraph" w:customStyle="1" w:styleId="exlresulttitle">
    <w:name w:val="exlresulttitle"/>
    <w:basedOn w:val="Normal"/>
    <w:rsid w:val="00C923BC"/>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searchword">
    <w:name w:val="searchword"/>
    <w:basedOn w:val="DefaultParagraphFont"/>
    <w:rsid w:val="00C923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6381420">
      <w:bodyDiv w:val="1"/>
      <w:marLeft w:val="0"/>
      <w:marRight w:val="0"/>
      <w:marTop w:val="0"/>
      <w:marBottom w:val="0"/>
      <w:divBdr>
        <w:top w:val="none" w:sz="0" w:space="0" w:color="auto"/>
        <w:left w:val="none" w:sz="0" w:space="0" w:color="auto"/>
        <w:bottom w:val="none" w:sz="0" w:space="0" w:color="auto"/>
        <w:right w:val="none" w:sz="0" w:space="0" w:color="auto"/>
      </w:divBdr>
    </w:div>
    <w:div w:id="1179345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yperlink" Target="http://www.uwtsd.ac.uk/academic-office/other-forms-and-policies/"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F07BC6-8B4F-4165-A161-2087C69E05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5</Pages>
  <Words>744</Words>
  <Characters>4242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4977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Academic Office</dc:creator>
  <cp:lastModifiedBy>Mark Flagg</cp:lastModifiedBy>
  <cp:revision>5</cp:revision>
  <dcterms:created xsi:type="dcterms:W3CDTF">2016-12-14T16:51:00Z</dcterms:created>
  <dcterms:modified xsi:type="dcterms:W3CDTF">2017-09-14T14:54:00Z</dcterms:modified>
</cp:coreProperties>
</file>