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FCCAF" w14:textId="2C5FB111" w:rsidR="005B237A" w:rsidRDefault="005B237A" w:rsidP="005B237A">
      <w:r>
        <w:t>Essay one-Maintaining professional standards</w:t>
      </w:r>
    </w:p>
    <w:p w14:paraId="32515F70" w14:textId="77777777" w:rsidR="005B237A" w:rsidRDefault="005B237A" w:rsidP="005B237A"/>
    <w:p w14:paraId="7E94F375" w14:textId="32A05829" w:rsidR="005B237A" w:rsidRDefault="005B237A" w:rsidP="005B237A">
      <w:r w:rsidRPr="005B237A">
        <w:t xml:space="preserve">Maintaining high standards in policing is key to building trust, promoting ethical behaviour and reducing misconduct. Over the years, things like the police and criminal evidence act 1984 (PACE), the code of ethics, the national decision model (NDM) and body-worn video (BWV) have been introduced to help with accountability, transparency and fairness (College of Policing, 2021; Ellis, Jenkins &amp; Smith, 2020). These initiatives were put in place as a way of reducing misconduct and malpractice, but also as tools to help officers whilst doing their duty. In this essay I will be exploring the effectiveness and challenges that each of these </w:t>
      </w:r>
      <w:r w:rsidR="00BE38AB" w:rsidRPr="005B237A">
        <w:t>framework’s</w:t>
      </w:r>
      <w:r w:rsidRPr="005B237A">
        <w:t xml:space="preserve"> face.</w:t>
      </w:r>
      <w:r w:rsidRPr="005B237A">
        <w:br/>
      </w:r>
      <w:r w:rsidRPr="005B237A">
        <w:br/>
        <w:t>We will now discuss in detail the topics mentioned above and critically examine both their strengths and weaknesses. The Police and Criminal Evidence Act 1984 (PACE) was put in place to set clear rules for how the police should act, especially when it comes to things like stop and search, detention, and questioning suspects (Home Office, 2021). The main aim is to make sure police powers are used fairly and lawfully while protecting individual people's rights.</w:t>
      </w:r>
      <w:r w:rsidRPr="005B237A">
        <w:br/>
      </w:r>
      <w:r w:rsidRPr="005B237A">
        <w:br/>
        <w:t>One of the main advantages of PACE is the way it demands accountability. As an example, it requires police officers to record interactions from stop-and-search, which provides a way to keep things above board (Shiner, Carre &amp; Delsol, 2018). It helps prevent the abuse of police powers; it also makes police actions accountable. It also ensures detainees are made aware of their rights, and they are provided with legal representation and interpreters where necessary (Home Office, 2021). These safeguards are crucial for vulnerable people in the legal justice system and in forcing officers to be accountable for their actions.</w:t>
      </w:r>
      <w:r w:rsidRPr="005B237A">
        <w:br/>
      </w:r>
      <w:r w:rsidRPr="005B237A">
        <w:br/>
        <w:t>But while PACE works in theory, the practical aspect isn’t as straightforward. There are many problems, such as the disproportionate use of stop-and-search and on ethnic minorities, undermining its purpose (Shiner, Carre &amp; Delsol, 2018). This undermines confidence in the police and reveals that safeguards in PACE are sometimes ignored. These problems occur because it relies on officers to comply voluntarily, there’s plenty of scope for mistakes- as evidenced by high-profile cases of misconduct (Home Office, 2021).</w:t>
      </w:r>
      <w:r w:rsidRPr="005B237A">
        <w:br/>
      </w:r>
      <w:r w:rsidRPr="005B237A">
        <w:br/>
        <w:t xml:space="preserve">The code of ethics was introduced to help guide ethical decision-making in the police force. It focuses on principles like integrity, accountability and respect, with the goal of creating a culture where doing the right thing is the norm, not the exception (Brown, </w:t>
      </w:r>
      <w:proofErr w:type="spellStart"/>
      <w:r w:rsidRPr="005B237A">
        <w:t>Belur</w:t>
      </w:r>
      <w:proofErr w:type="spellEnd"/>
      <w:r w:rsidRPr="005B237A">
        <w:t xml:space="preserve"> &amp; Cockcroft, 2018).</w:t>
      </w:r>
      <w:r w:rsidRPr="005B237A">
        <w:br/>
        <w:t xml:space="preserve">The code gives officers a set of guidelines for dealing with tough ethical problems, helping them make better decisions when the right choice isn’t obvious. It encourages officers to challenge unethical behaviour, fostering internal accountability (college of Policing 2021). This shift is essential for building public trust, as people tend to have more confidence in the police when they feel that officers act ethically (Bradford, Murphy &amp; Jackson, 2015). However, putting the code into practice hasn’t been easy. Some officers see the code as more of an idealistic set of values rather than something which they can use on a daily basis (Brown, </w:t>
      </w:r>
      <w:proofErr w:type="spellStart"/>
      <w:r w:rsidRPr="005B237A">
        <w:t>Belur</w:t>
      </w:r>
      <w:proofErr w:type="spellEnd"/>
      <w:r w:rsidRPr="005B237A">
        <w:t xml:space="preserve"> &amp; Cockroft, 2018). The code also varies between forces, with some taking it more seriously than others. This inconsistency weakens its overall effect, showing that more training and a strong leadership are needed to make a real difference (Ellis, Jenkins &amp; Smith, 2020).</w:t>
      </w:r>
      <w:r w:rsidRPr="005B237A">
        <w:br/>
      </w:r>
      <w:r w:rsidRPr="005B237A">
        <w:br/>
        <w:t xml:space="preserve">The national decision model (NDM) is a structured approach to help officers make decisions </w:t>
      </w:r>
      <w:r w:rsidRPr="005B237A">
        <w:lastRenderedPageBreak/>
        <w:t>that are legal, ethical and proportio</w:t>
      </w:r>
      <w:r w:rsidR="00563B69">
        <w:t>nate</w:t>
      </w:r>
      <w:r w:rsidRPr="005B237A">
        <w:t>. It helps officers gather information, assess risks and review their choices (college of Policing, 2021)</w:t>
      </w:r>
      <w:r w:rsidRPr="005B237A">
        <w:br/>
        <w:t>One of the advantages of using the national decision model is that it helps reduce snap decisions, especially in high-pressure situations. It makes sure force isn’t used excessively, which is crucial for maintaining public trust (Bradford, Murphy &amp; Jackson, 2015). The model is flexible enough to apply to different situations, from crowd control to helping vulnerable people (Ellis, Jenkins &amp; Smith, 2020).</w:t>
      </w:r>
      <w:r w:rsidRPr="005B237A">
        <w:br/>
        <w:t xml:space="preserve">The NDM has its limitations. The quality of the decisions still depends heavily on the individual officer’s judgment. Biases, lack of training, or inexperience can all get in the way (Brown, </w:t>
      </w:r>
      <w:proofErr w:type="spellStart"/>
      <w:r w:rsidRPr="005B237A">
        <w:t>Belur</w:t>
      </w:r>
      <w:proofErr w:type="spellEnd"/>
      <w:r w:rsidRPr="005B237A">
        <w:t xml:space="preserve"> &amp; Cockroft, 2018). Plus, not many members of the public are aware of the NDM, which means it doesn’t do much to boost trust in policing (College of Policing, 2021)</w:t>
      </w:r>
      <w:r w:rsidRPr="005B237A">
        <w:br/>
      </w:r>
      <w:r w:rsidRPr="005B237A">
        <w:br/>
        <w:t>Body worn video was introduced to make police-public interactions more transparent and accountable. These cameras capture a record of interactions, which helps prevent misconduct and address complaints (Ariel, Farrar &amp; Sutherland, 2017).</w:t>
      </w:r>
      <w:r w:rsidRPr="005B237A">
        <w:br/>
        <w:t>One of the benefits of body worn video is that of improving accountability for the officer. The presence of a camera creates a verifiable record discouraging officer misconduct and that of false complaints, leading to fewer allegations. The public also feels more reassured knowing that officers are being held accountable (Bradford, Murphy &amp; Jackson, 2015). BWV is also good for evidence collection, especially in cases like public disorder or domestic violence (Ellis, Jenkins &amp; Smith, 2020).</w:t>
      </w:r>
      <w:r w:rsidRPr="005B237A">
        <w:br/>
        <w:t>Use of body worn video isn’t without its problems. Officers still have over all control of when their cameras are turned on, which raises concerns about selective recording and the possibility that important interactions could be missed (Lum et al., 2020). While body worn video may deter some misconduct, it is only effective if there’s proper oversight and measures of enforcement in place. (Ellis, Jenkins &amp; Smith, 2020)</w:t>
      </w:r>
      <w:r w:rsidRPr="005B237A">
        <w:br/>
      </w:r>
      <w:r w:rsidRPr="005B237A">
        <w:br/>
        <w:t>Together, these frameworks have had mixed results when it comes to public trust in policing. On the plus side, initiatives like BWV and PACE show a real commitment to transparency and fairness, which can improve how the public sees the police (Ariel, Farrar &amp; Sutherland, 2017; Home Office, 2021). For example, BWV cameras reassure the public that officers are being held accountable, while PACE ensures that detainees are treated fairly.</w:t>
      </w:r>
      <w:r w:rsidRPr="005B237A">
        <w:br/>
        <w:t>On the negative side there are still major barriers to building trust. Disproportionate use of powers, like stop-and-search, against ethnic minorities continues to hurt confidence (Shiner, Carre &amp; Delsol, 2018). High-profile cases of misconduct, such as the murder of Sarah Everard, highlight deeper problems and fuel public scepticism (Home Office, 2021). This type of incident shows that even though frameworks exist to promote accountability, there’s still resistance within the police force that gets in the way of fully implementing them.</w:t>
      </w:r>
      <w:r w:rsidRPr="005B237A">
        <w:br/>
      </w:r>
      <w:r w:rsidRPr="005B237A">
        <w:br/>
        <w:t>Frameworks like the police and criminal evidence act, the code of ethics, the national decision model and use of body worn video are crucial for cutting down on misconduct and building trust in the police. They have a lot of strengths when it comes to accountability, transparency, and ethical guidance, but their effectiveness can be hampered by inconsistent use and some resistance within the culture. To make them work better, we need ongoing effort, more training, better leadership and stronger community ties. To finalise, these frameworks are a solid base for professionalising policing, but their success really depends on balancing big goals with what can be done in practice.</w:t>
      </w:r>
    </w:p>
    <w:p w14:paraId="6C7E3D13" w14:textId="5673AD7C" w:rsidR="005B237A" w:rsidRDefault="005B237A" w:rsidP="005B237A">
      <w:r>
        <w:lastRenderedPageBreak/>
        <w:t>Word count-1143</w:t>
      </w:r>
    </w:p>
    <w:p w14:paraId="7D6ABF40" w14:textId="77777777" w:rsidR="005B237A" w:rsidRDefault="005B237A" w:rsidP="005B237A"/>
    <w:p w14:paraId="14AA103D" w14:textId="5486E5AC" w:rsidR="005B237A" w:rsidRDefault="005B237A" w:rsidP="005B237A">
      <w:r>
        <w:t>References</w:t>
      </w:r>
    </w:p>
    <w:p w14:paraId="12CCD438" w14:textId="77777777" w:rsidR="00162525" w:rsidRPr="00162525" w:rsidRDefault="00162525" w:rsidP="00162525">
      <w:r w:rsidRPr="00162525">
        <w:t>Ariel, B., Farrar, W., &amp; Sutherland, A. (2017). The Effect of Police Body-Worn Cameras on Use of Force and Citizens’ Complaints Against the Police: A Randomized Controlled Trial. Journal of Quantitative Criminology, 33(4), pp.729-752.</w:t>
      </w:r>
    </w:p>
    <w:p w14:paraId="56F631B3" w14:textId="77777777" w:rsidR="00162525" w:rsidRPr="00162525" w:rsidRDefault="00162525" w:rsidP="00162525">
      <w:r w:rsidRPr="00162525">
        <w:t>Bradford, B., Murphy, K., &amp; Jackson, J. (2015). Officers as Mirrors: Policing, Procedural Justice, and the (Re)production of Social Identity. British Journal of Criminology, 55(4), pp.527–550.</w:t>
      </w:r>
    </w:p>
    <w:p w14:paraId="3DDD7333" w14:textId="77777777" w:rsidR="00162525" w:rsidRPr="00162525" w:rsidRDefault="00162525" w:rsidP="00162525">
      <w:r w:rsidRPr="00162525">
        <w:t xml:space="preserve">Brown, J., </w:t>
      </w:r>
      <w:proofErr w:type="spellStart"/>
      <w:r w:rsidRPr="00162525">
        <w:t>Belur</w:t>
      </w:r>
      <w:proofErr w:type="spellEnd"/>
      <w:r w:rsidRPr="00162525">
        <w:t>, J., &amp; Cockcroft, T. (2018). Ethics in Policing: Towards a National Code. Routledge.</w:t>
      </w:r>
    </w:p>
    <w:p w14:paraId="739936D4" w14:textId="77777777" w:rsidR="00162525" w:rsidRPr="00162525" w:rsidRDefault="00162525" w:rsidP="00162525">
      <w:r w:rsidRPr="00162525">
        <w:t xml:space="preserve">College of Policing (2021). Code of Ethics. [Online] Available at: </w:t>
      </w:r>
      <w:hyperlink r:id="rId4" w:history="1">
        <w:r w:rsidRPr="00162525">
          <w:rPr>
            <w:rStyle w:val="Hyperlink"/>
            <w:color w:val="auto"/>
          </w:rPr>
          <w:t>https://www.college.police.uk/</w:t>
        </w:r>
      </w:hyperlink>
      <w:r w:rsidRPr="00162525">
        <w:t xml:space="preserve"> </w:t>
      </w:r>
    </w:p>
    <w:p w14:paraId="57D951E9" w14:textId="77777777" w:rsidR="00162525" w:rsidRPr="00162525" w:rsidRDefault="00162525" w:rsidP="00162525">
      <w:r w:rsidRPr="00162525">
        <w:t>Ellis, T., Jenkins, J., &amp; Smith, P. (2020). The Challenges of Implementing Body-Worn Video in Policing: A UK Perspective. Policing and Society, 30(5), pp.487-505.</w:t>
      </w:r>
    </w:p>
    <w:p w14:paraId="47282AE4" w14:textId="77777777" w:rsidR="00162525" w:rsidRPr="00162525" w:rsidRDefault="00162525" w:rsidP="00162525">
      <w:r w:rsidRPr="00162525">
        <w:t xml:space="preserve">Home Office (2021). Police Misconduct and Accountability. [Online] Available at: </w:t>
      </w:r>
      <w:hyperlink r:id="rId5" w:history="1">
        <w:r w:rsidRPr="00162525">
          <w:rPr>
            <w:rStyle w:val="Hyperlink"/>
            <w:color w:val="auto"/>
          </w:rPr>
          <w:t>https://www.gov.uk/</w:t>
        </w:r>
      </w:hyperlink>
      <w:r w:rsidRPr="00162525">
        <w:t xml:space="preserve"> </w:t>
      </w:r>
    </w:p>
    <w:p w14:paraId="6B023F19" w14:textId="77777777" w:rsidR="00162525" w:rsidRPr="00162525" w:rsidRDefault="00162525" w:rsidP="00162525">
      <w:r w:rsidRPr="00162525">
        <w:t xml:space="preserve">Lum, C., Stoltz, M., Koper, C. S., &amp; Scherer, A. (2020). Research on Body-Worn Cameras: What We Know, What We Need to Know, and Where We Are Going. Criminal Justice and </w:t>
      </w:r>
      <w:proofErr w:type="spellStart"/>
      <w:r w:rsidRPr="00162525">
        <w:t>Behavior</w:t>
      </w:r>
      <w:proofErr w:type="spellEnd"/>
      <w:r w:rsidRPr="00162525">
        <w:t>, 47(2), 219–235. https://doi.org/10.1177/0093854819891209</w:t>
      </w:r>
    </w:p>
    <w:p w14:paraId="4F0E3EE7" w14:textId="77777777" w:rsidR="005B237A" w:rsidRDefault="005B237A" w:rsidP="005B237A"/>
    <w:p w14:paraId="70901342" w14:textId="77777777" w:rsidR="005B237A" w:rsidRDefault="005B237A" w:rsidP="005B237A"/>
    <w:p w14:paraId="623FC808" w14:textId="77777777" w:rsidR="005B237A" w:rsidRDefault="005B237A" w:rsidP="005B237A"/>
    <w:p w14:paraId="43E9BAE4" w14:textId="77777777" w:rsidR="005B237A" w:rsidRDefault="005B237A" w:rsidP="005B237A"/>
    <w:p w14:paraId="46C0246E" w14:textId="11AE1CFC" w:rsidR="005B237A" w:rsidRPr="005B237A" w:rsidRDefault="005B237A" w:rsidP="005B237A"/>
    <w:p w14:paraId="27E219DC" w14:textId="77777777" w:rsidR="008A6F42" w:rsidRDefault="008A6F42"/>
    <w:sectPr w:rsidR="008A6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37A"/>
    <w:rsid w:val="00162525"/>
    <w:rsid w:val="00563B69"/>
    <w:rsid w:val="005B237A"/>
    <w:rsid w:val="00801D43"/>
    <w:rsid w:val="008A6F42"/>
    <w:rsid w:val="00AC073B"/>
    <w:rsid w:val="00BE38AB"/>
    <w:rsid w:val="00C05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81BC0"/>
  <w15:chartTrackingRefBased/>
  <w15:docId w15:val="{645CE6B2-A083-40C8-9C55-9694744CF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37A"/>
    <w:rPr>
      <w:rFonts w:eastAsiaTheme="majorEastAsia" w:cstheme="majorBidi"/>
      <w:color w:val="272727" w:themeColor="text1" w:themeTint="D8"/>
    </w:rPr>
  </w:style>
  <w:style w:type="paragraph" w:styleId="Title">
    <w:name w:val="Title"/>
    <w:basedOn w:val="Normal"/>
    <w:next w:val="Normal"/>
    <w:link w:val="TitleChar"/>
    <w:uiPriority w:val="10"/>
    <w:qFormat/>
    <w:rsid w:val="005B2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37A"/>
    <w:pPr>
      <w:spacing w:before="160"/>
      <w:jc w:val="center"/>
    </w:pPr>
    <w:rPr>
      <w:i/>
      <w:iCs/>
      <w:color w:val="404040" w:themeColor="text1" w:themeTint="BF"/>
    </w:rPr>
  </w:style>
  <w:style w:type="character" w:customStyle="1" w:styleId="QuoteChar">
    <w:name w:val="Quote Char"/>
    <w:basedOn w:val="DefaultParagraphFont"/>
    <w:link w:val="Quote"/>
    <w:uiPriority w:val="29"/>
    <w:rsid w:val="005B237A"/>
    <w:rPr>
      <w:i/>
      <w:iCs/>
      <w:color w:val="404040" w:themeColor="text1" w:themeTint="BF"/>
    </w:rPr>
  </w:style>
  <w:style w:type="paragraph" w:styleId="ListParagraph">
    <w:name w:val="List Paragraph"/>
    <w:basedOn w:val="Normal"/>
    <w:uiPriority w:val="34"/>
    <w:qFormat/>
    <w:rsid w:val="005B237A"/>
    <w:pPr>
      <w:ind w:left="720"/>
      <w:contextualSpacing/>
    </w:pPr>
  </w:style>
  <w:style w:type="character" w:styleId="IntenseEmphasis">
    <w:name w:val="Intense Emphasis"/>
    <w:basedOn w:val="DefaultParagraphFont"/>
    <w:uiPriority w:val="21"/>
    <w:qFormat/>
    <w:rsid w:val="005B237A"/>
    <w:rPr>
      <w:i/>
      <w:iCs/>
      <w:color w:val="0F4761" w:themeColor="accent1" w:themeShade="BF"/>
    </w:rPr>
  </w:style>
  <w:style w:type="paragraph" w:styleId="IntenseQuote">
    <w:name w:val="Intense Quote"/>
    <w:basedOn w:val="Normal"/>
    <w:next w:val="Normal"/>
    <w:link w:val="IntenseQuoteChar"/>
    <w:uiPriority w:val="30"/>
    <w:qFormat/>
    <w:rsid w:val="005B2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37A"/>
    <w:rPr>
      <w:i/>
      <w:iCs/>
      <w:color w:val="0F4761" w:themeColor="accent1" w:themeShade="BF"/>
    </w:rPr>
  </w:style>
  <w:style w:type="character" w:styleId="IntenseReference">
    <w:name w:val="Intense Reference"/>
    <w:basedOn w:val="DefaultParagraphFont"/>
    <w:uiPriority w:val="32"/>
    <w:qFormat/>
    <w:rsid w:val="005B237A"/>
    <w:rPr>
      <w:b/>
      <w:bCs/>
      <w:smallCaps/>
      <w:color w:val="0F4761" w:themeColor="accent1" w:themeShade="BF"/>
      <w:spacing w:val="5"/>
    </w:rPr>
  </w:style>
  <w:style w:type="character" w:styleId="Hyperlink">
    <w:name w:val="Hyperlink"/>
    <w:basedOn w:val="DefaultParagraphFont"/>
    <w:uiPriority w:val="99"/>
    <w:unhideWhenUsed/>
    <w:rsid w:val="005B237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446626">
      <w:bodyDiv w:val="1"/>
      <w:marLeft w:val="0"/>
      <w:marRight w:val="0"/>
      <w:marTop w:val="0"/>
      <w:marBottom w:val="0"/>
      <w:divBdr>
        <w:top w:val="none" w:sz="0" w:space="0" w:color="auto"/>
        <w:left w:val="none" w:sz="0" w:space="0" w:color="auto"/>
        <w:bottom w:val="none" w:sz="0" w:space="0" w:color="auto"/>
        <w:right w:val="none" w:sz="0" w:space="0" w:color="auto"/>
      </w:divBdr>
    </w:div>
    <w:div w:id="48447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 TargetMode="External"/><Relationship Id="rId4" Type="http://schemas.openxmlformats.org/officeDocument/2006/relationships/hyperlink" Target="https://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Watkins,Rhys swp8740</dc:creator>
  <cp:keywords/>
  <dc:description/>
  <cp:lastModifiedBy>Watkins,Rhys swp8740</cp:lastModifiedBy>
  <cp:revision>2</cp:revision>
  <dcterms:created xsi:type="dcterms:W3CDTF">2025-01-27T13:50:00Z</dcterms:created>
  <dcterms:modified xsi:type="dcterms:W3CDTF">2025-01-27T14:39:00Z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2025-01-27T14:38:25Z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74244c80-efcb-40d2-902c-fa24597c8232</vt:lpwstr>
  </property>
  <property fmtid="{D5CDD505-2E9C-101B-9397-08002B2CF9AE}" pid="8" name="MSIP_Label_66cf8fe5-b7b7-4df7-b38d-1c61ac2f6639_ContentBits">
    <vt:lpwstr>0</vt:lpwstr>
  </property>
</Properties>
</file>