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pPr>
    </w:p>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BE</w:t>
      </w:r>
      <w:r>
        <w:drawing xmlns:a="http://schemas.openxmlformats.org/drawingml/2006/main">
          <wp:anchor distT="0" distB="0" distL="0" distR="0" simplePos="0" relativeHeight="251659264"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 xml:space="preserve"> THE FIRST PAGE OF THE ASSIGNMENT YOU ARE SUBMITTING  (DO NOT SEND AS A SEPARATE FILE)</w:t>
      </w:r>
    </w:p>
    <w:p>
      <w:pPr>
        <w:pStyle w:val="Heading 3"/>
        <w:keepNext w:val="0"/>
        <w:jc w:val="left"/>
        <w:rPr>
          <w:rFonts w:ascii="Trebuchet MS" w:cs="Trebuchet MS" w:hAnsi="Trebuchet MS" w:eastAsia="Trebuchet MS"/>
          <w:b w:val="1"/>
          <w:bCs w:val="1"/>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72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shd w:val="nil" w:color="auto" w:fill="auto"/>
                <w:rtl w:val="0"/>
              </w:rPr>
              <w:t>HPCA701</w:t>
            </w:r>
            <w:r>
              <w:rPr>
                <w:rFonts w:ascii="Arial" w:hAnsi="Arial"/>
                <w:sz w:val="22"/>
                <w:szCs w:val="22"/>
                <w:shd w:val="nil" w:color="auto" w:fill="auto"/>
                <w:rtl w:val="0"/>
                <w:lang w:val="en-US"/>
              </w:rPr>
              <w:t>6</w:t>
            </w: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w:t>
            </w:r>
            <w:r>
              <w:rPr>
                <w:rFonts w:ascii="Arial" w:hAnsi="Arial"/>
                <w:sz w:val="22"/>
                <w:szCs w:val="22"/>
                <w:rtl w:val="0"/>
                <w:lang w:val="en-US"/>
              </w:rPr>
              <w:t>Researching Contemporary Cosmologies</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Assignment title:</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en-US"/>
              </w:rPr>
              <w:t>A Critical Comparison of two Secondary Sources</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Assignment due date:</w:t>
            </w:r>
            <w:r>
              <w:rPr>
                <w:rFonts w:ascii="Arial" w:hAnsi="Arial"/>
                <w:sz w:val="22"/>
                <w:szCs w:val="22"/>
                <w:shd w:val="nil" w:color="auto" w:fill="auto"/>
                <w:rtl w:val="0"/>
                <w:lang w:val="en-US"/>
              </w:rPr>
              <w:t xml:space="preserve">  31st March 2021</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This assignment is for the       1</w:t>
            </w:r>
            <w:r>
              <w:rPr>
                <w:rFonts w:ascii="Arial" w:hAnsi="Arial"/>
                <w:sz w:val="22"/>
                <w:szCs w:val="22"/>
                <w:u w:color="000000"/>
                <w:shd w:val="nil" w:color="auto" w:fill="auto"/>
                <w:vertAlign w:val="superscript"/>
                <w:rtl w:val="0"/>
              </w:rPr>
              <w:t xml:space="preserve">st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Georgia" w:cs="Georgia" w:hAnsi="Georgia" w:eastAsia="Georgia"/>
                <w:sz w:val="22"/>
                <w:szCs w:val="22"/>
                <w:shd w:val="nil" w:color="auto" w:fill="auto"/>
                <w:rtl w:val="0"/>
              </w:rPr>
            </w:pP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ind w:left="0" w:right="34" w:firstLine="0"/>
              <w:jc w:val="left"/>
              <w:rPr>
                <w:rFonts w:ascii="Arial" w:cs="Arial" w:hAnsi="Arial" w:eastAsia="Arial"/>
                <w:sz w:val="22"/>
                <w:szCs w:val="22"/>
                <w:shd w:val="nil" w:color="auto" w:fill="auto"/>
                <w:rtl w:val="0"/>
              </w:rPr>
            </w:pP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b w:val="1"/>
          <w:bCs w:val="1"/>
        </w:rPr>
      </w:pPr>
    </w:p>
    <w:p>
      <w:pPr>
        <w:pStyle w:val="Heading 3"/>
        <w:keepNext w:val="0"/>
        <w:widowControl w:val="0"/>
        <w:ind w:left="0" w:firstLine="0"/>
        <w:jc w:val="center"/>
        <w:rPr>
          <w:rFonts w:ascii="Trebuchet MS" w:cs="Trebuchet MS" w:hAnsi="Trebuchet MS" w:eastAsia="Trebuchet MS"/>
          <w:b w:val="1"/>
          <w:bCs w:val="1"/>
        </w:rPr>
      </w:pPr>
    </w:p>
    <w:p>
      <w:pPr>
        <w:pStyle w:val="Heading 3"/>
        <w:keepNext w:val="0"/>
        <w:widowControl w:val="0"/>
        <w:ind w:left="0" w:firstLine="0"/>
        <w:jc w:val="center"/>
        <w:rPr>
          <w:rFonts w:ascii="Trebuchet MS" w:cs="Trebuchet MS" w:hAnsi="Trebuchet MS" w:eastAsia="Trebuchet MS"/>
          <w:b w:val="1"/>
          <w:bCs w:val="1"/>
        </w:rPr>
      </w:pPr>
    </w:p>
    <w:p>
      <w:pPr>
        <w:pStyle w:val="Heading 3"/>
        <w:widowControl w:val="0"/>
        <w:ind w:left="0" w:firstLine="0"/>
        <w:jc w:val="center"/>
        <w:rPr>
          <w:rFonts w:ascii="Trebuchet MS" w:cs="Trebuchet MS" w:hAnsi="Trebuchet MS" w:eastAsia="Trebuchet MS"/>
          <w:b w:val="1"/>
          <w:bCs w:val="1"/>
        </w:rPr>
      </w:pPr>
    </w:p>
    <w:p>
      <w:pPr>
        <w:pStyle w:val="Heading 3"/>
        <w:widowControl w:val="0"/>
        <w:ind w:left="0" w:firstLine="0"/>
        <w:jc w:val="center"/>
        <w:sectPr>
          <w:headerReference w:type="default" r:id="rId5"/>
          <w:footerReference w:type="default" r:id="rId6"/>
          <w:pgSz w:w="12240" w:h="15840" w:orient="portrait"/>
          <w:pgMar w:top="1134" w:right="1134" w:bottom="1134" w:left="1134" w:header="567" w:footer="720"/>
          <w:pgNumType w:start="1"/>
          <w:bidi w:val="0"/>
        </w:sect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32"/>
          <w:szCs w:val="32"/>
        </w:rPr>
      </w:pPr>
      <w:r>
        <w:rPr>
          <w:rFonts w:ascii="Palatino" w:hAnsi="Palatino"/>
          <w:sz w:val="32"/>
          <w:szCs w:val="32"/>
          <w:rtl w:val="0"/>
          <w:lang w:val="en-US"/>
        </w:rPr>
        <w:t>A Critical Comparison of two Secondary Sources</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spacing w:before="0"/>
        <w:rPr>
          <w:rFonts w:ascii="Palatino" w:cs="Palatino" w:hAnsi="Palatino" w:eastAsia="Palatino"/>
          <w:sz w:val="22"/>
          <w:szCs w:val="22"/>
        </w:rPr>
      </w:pPr>
      <w:r>
        <w:rPr>
          <w:rFonts w:ascii="Palatino" w:hAnsi="Palatino"/>
          <w:sz w:val="22"/>
          <w:szCs w:val="22"/>
          <w:rtl w:val="0"/>
          <w:lang w:val="en-US"/>
        </w:rPr>
        <w:t>This essay critically compares and contrasts Gillian Bennet</w:t>
      </w:r>
      <w:r>
        <w:rPr>
          <w:rFonts w:ascii="Palatino" w:hAnsi="Palatino" w:hint="default"/>
          <w:sz w:val="22"/>
          <w:szCs w:val="22"/>
          <w:rtl w:val="0"/>
          <w:lang w:val="en-US"/>
        </w:rPr>
        <w:t>’</w:t>
      </w:r>
      <w:r>
        <w:rPr>
          <w:rFonts w:ascii="Palatino" w:hAnsi="Palatino"/>
          <w:sz w:val="22"/>
          <w:szCs w:val="22"/>
          <w:rtl w:val="0"/>
          <w:lang w:val="en-US"/>
        </w:rPr>
        <w:t xml:space="preserve">s paper </w:t>
      </w:r>
      <w:r>
        <w:rPr>
          <w:rFonts w:ascii="Palatino" w:hAnsi="Palatino" w:hint="default"/>
          <w:sz w:val="22"/>
          <w:szCs w:val="22"/>
          <w:rtl w:val="0"/>
          <w:lang w:val="en-US"/>
        </w:rPr>
        <w:t>‘“</w:t>
      </w:r>
      <w:r>
        <w:rPr>
          <w:rFonts w:ascii="Palatino" w:hAnsi="Palatino"/>
          <w:sz w:val="22"/>
          <w:szCs w:val="22"/>
          <w:rtl w:val="0"/>
          <w:lang w:val="en-US"/>
        </w:rPr>
        <w:t xml:space="preserve">If I Knew You </w:t>
      </w:r>
      <w:r>
        <w:rPr>
          <w:rFonts w:ascii="Palatino" w:hAnsi="Palatino"/>
          <w:sz w:val="22"/>
          <w:szCs w:val="22"/>
          <w:rtl w:val="0"/>
          <w:lang w:val="en-US"/>
        </w:rPr>
        <w:t>W</w:t>
      </w:r>
      <w:r>
        <w:rPr>
          <w:rFonts w:ascii="Palatino" w:hAnsi="Palatino"/>
          <w:sz w:val="22"/>
          <w:szCs w:val="22"/>
          <w:rtl w:val="0"/>
          <w:lang w:val="en-US"/>
        </w:rPr>
        <w:t>ere Coming I'd Have Baked a Cake</w:t>
      </w:r>
      <w:r>
        <w:rPr>
          <w:rFonts w:ascii="Palatino" w:hAnsi="Palatino" w:hint="default"/>
          <w:sz w:val="22"/>
          <w:szCs w:val="22"/>
          <w:rtl w:val="0"/>
          <w:lang w:val="en-US"/>
        </w:rPr>
        <w:t>”</w:t>
      </w:r>
      <w:r>
        <w:rPr>
          <w:rFonts w:ascii="Palatino" w:hAnsi="Palatino"/>
          <w:sz w:val="22"/>
          <w:szCs w:val="22"/>
          <w:rtl w:val="0"/>
          <w:lang w:val="en-US"/>
        </w:rPr>
        <w:t>: The Folklore of Foreknowledge in a Neighborhood Group</w:t>
      </w:r>
      <w:r>
        <w:rPr>
          <w:rFonts w:ascii="Palatino" w:hAnsi="Palatino" w:hint="default"/>
          <w:sz w:val="22"/>
          <w:szCs w:val="22"/>
          <w:rtl w:val="0"/>
          <w:lang w:val="en-US"/>
        </w:rPr>
        <w:t xml:space="preserve">’ </w:t>
      </w:r>
      <w:r>
        <w:rPr>
          <w:rFonts w:ascii="Palatino" w:hAnsi="Palatino"/>
          <w:sz w:val="22"/>
          <w:szCs w:val="22"/>
          <w:rtl w:val="0"/>
          <w:lang w:val="en-US"/>
        </w:rPr>
        <w:t xml:space="preserve">with Jenny </w:t>
      </w:r>
      <w:r>
        <w:rPr>
          <w:rFonts w:ascii="Palatino" w:hAnsi="Palatino"/>
          <w:sz w:val="22"/>
          <w:szCs w:val="22"/>
          <w:rtl w:val="0"/>
        </w:rPr>
        <w:t>Blain</w:t>
      </w:r>
      <w:r>
        <w:rPr>
          <w:rFonts w:ascii="Palatino" w:hAnsi="Palatino" w:hint="default"/>
          <w:sz w:val="22"/>
          <w:szCs w:val="22"/>
          <w:rtl w:val="0"/>
          <w:lang w:val="en-US"/>
        </w:rPr>
        <w:t>’</w:t>
      </w:r>
      <w:r>
        <w:rPr>
          <w:rFonts w:ascii="Palatino" w:hAnsi="Palatino"/>
          <w:sz w:val="22"/>
          <w:szCs w:val="22"/>
          <w:rtl w:val="0"/>
          <w:lang w:val="en-US"/>
        </w:rPr>
        <w:t xml:space="preserve">s paper </w:t>
      </w:r>
      <w:r>
        <w:rPr>
          <w:rFonts w:ascii="Palatino" w:hAnsi="Palatino" w:hint="default"/>
          <w:sz w:val="22"/>
          <w:szCs w:val="22"/>
          <w:rtl w:val="0"/>
          <w:lang w:val="en-US"/>
        </w:rPr>
        <w:t>‘</w:t>
      </w:r>
      <w:r>
        <w:rPr>
          <w:rFonts w:ascii="Palatino" w:hAnsi="Palatino"/>
          <w:sz w:val="22"/>
          <w:szCs w:val="22"/>
          <w:rtl w:val="0"/>
          <w:lang w:val="en-US"/>
        </w:rPr>
        <w:t>Speaking Shamanistically: Seidr, Academia and Rationality</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Both papers discussed aspects of a culture, folklore, through study and stories.  </w:t>
      </w:r>
      <w:r>
        <w:rPr>
          <w:rFonts w:ascii="Palatino" w:hAnsi="Palatino"/>
          <w:sz w:val="22"/>
          <w:szCs w:val="22"/>
          <w:rtl w:val="0"/>
          <w:lang w:val="en-US"/>
        </w:rPr>
        <w:t xml:space="preserve">The essay will discuss the similarities and differences within the two sources, with particular focus on methodology, the insider/outsider continuum and </w:t>
      </w:r>
      <w:r>
        <w:rPr>
          <w:rFonts w:ascii="Palatino" w:hAnsi="Palatino"/>
          <w:sz w:val="22"/>
          <w:szCs w:val="22"/>
          <w:rtl w:val="0"/>
          <w:lang w:val="da-DK"/>
        </w:rPr>
        <w:t xml:space="preserve">a </w:t>
      </w:r>
      <w:r>
        <w:rPr>
          <w:rFonts w:ascii="Palatino" w:hAnsi="Palatino"/>
          <w:sz w:val="22"/>
          <w:szCs w:val="22"/>
          <w:rtl w:val="0"/>
          <w:lang w:val="en-US"/>
        </w:rPr>
        <w:t xml:space="preserve">literature review </w:t>
      </w:r>
      <w:r>
        <w:rPr>
          <w:rFonts w:ascii="Palatino" w:hAnsi="Palatino"/>
          <w:sz w:val="22"/>
          <w:szCs w:val="22"/>
          <w:rtl w:val="0"/>
          <w:lang w:val="en-US"/>
        </w:rPr>
        <w:t xml:space="preserve">from the aspect of the authors intentions as described in the sources on qualitative research. </w:t>
      </w:r>
      <w:r>
        <w:rPr>
          <w:rFonts w:ascii="Palatino" w:cs="Palatino" w:hAnsi="Palatino" w:eastAsia="Palatino"/>
          <w:sz w:val="22"/>
          <w:szCs w:val="22"/>
          <w:vertAlign w:val="superscript"/>
        </w:rPr>
        <w:footnoteReference w:id="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Context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7"/>
          <w:footerReference w:type="default" r:id="rId8"/>
          <w:pgSz w:w="12240" w:h="15840" w:orient="portrait"/>
          <w:pgMar w:top="1134" w:right="1134" w:bottom="1134" w:left="1134" w:header="567" w:footer="720"/>
          <w:pgNumType w:start="1"/>
          <w:bidi w:val="0"/>
        </w:sectPr>
      </w:pPr>
      <w:r>
        <w:rPr>
          <w:rFonts w:ascii="Palatino" w:hAnsi="Palatino"/>
          <w:sz w:val="22"/>
          <w:szCs w:val="22"/>
          <w:rtl w:val="0"/>
          <w:lang w:val="en-US"/>
        </w:rPr>
        <w:t>Gillian Bennet</w:t>
      </w:r>
      <w:r>
        <w:rPr>
          <w:rFonts w:ascii="Palatino" w:hAnsi="Palatino" w:hint="default"/>
          <w:sz w:val="22"/>
          <w:szCs w:val="22"/>
          <w:rtl w:val="0"/>
          <w:lang w:val="en-US"/>
        </w:rPr>
        <w:t>’</w:t>
      </w:r>
      <w:r>
        <w:rPr>
          <w:rFonts w:ascii="Palatino" w:hAnsi="Palatino"/>
          <w:sz w:val="22"/>
          <w:szCs w:val="22"/>
          <w:rtl w:val="0"/>
          <w:lang w:val="en-US"/>
        </w:rPr>
        <w:t xml:space="preserve">s paper can be found in a book published in 1995, which is proceedings from the </w:t>
      </w:r>
      <w:r>
        <w:rPr>
          <w:rFonts w:ascii="Palatino" w:hAnsi="Palatino"/>
          <w:sz w:val="22"/>
          <w:szCs w:val="22"/>
          <w:rtl w:val="0"/>
          <w:lang w:val="en-US"/>
        </w:rPr>
        <w:t>Utah State University</w:t>
      </w:r>
      <w:r>
        <w:rPr>
          <w:rFonts w:ascii="Palatino" w:hAnsi="Palatino" w:hint="default"/>
          <w:sz w:val="22"/>
          <w:szCs w:val="22"/>
          <w:rtl w:val="0"/>
          <w:lang w:val="en-US"/>
        </w:rPr>
        <w:t>’</w:t>
      </w:r>
      <w:r>
        <w:rPr>
          <w:rFonts w:ascii="Palatino" w:hAnsi="Palatino"/>
          <w:sz w:val="22"/>
          <w:szCs w:val="22"/>
          <w:rtl w:val="0"/>
          <w:lang w:val="en-US"/>
        </w:rPr>
        <w:t>s</w:t>
      </w:r>
      <w:r>
        <w:rPr>
          <w:rFonts w:ascii="Palatino" w:hAnsi="Palatino"/>
          <w:sz w:val="22"/>
          <w:szCs w:val="22"/>
          <w:rtl w:val="0"/>
          <w:lang w:val="en-US"/>
        </w:rPr>
        <w:t xml:space="preserve"> 1991 Fife Conference on folklore and the supernatural.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The paper discussed the foreknowledge and folklore between a group of elderly women </w:t>
      </w:r>
      <w:r>
        <w:rPr>
          <w:rFonts w:ascii="Palatino" w:hAnsi="Palatino"/>
          <w:sz w:val="22"/>
          <w:szCs w:val="22"/>
          <w:rtl w:val="0"/>
          <w:lang w:val="en-US"/>
        </w:rPr>
        <w:t>in the author</w:t>
      </w:r>
      <w:r>
        <w:rPr>
          <w:rFonts w:ascii="Palatino" w:hAnsi="Palatino" w:hint="default"/>
          <w:sz w:val="22"/>
          <w:szCs w:val="22"/>
          <w:rtl w:val="0"/>
          <w:lang w:val="en-US"/>
        </w:rPr>
        <w:t>’</w:t>
      </w:r>
      <w:r>
        <w:rPr>
          <w:rFonts w:ascii="Palatino" w:hAnsi="Palatino"/>
          <w:sz w:val="22"/>
          <w:szCs w:val="22"/>
          <w:rtl w:val="0"/>
          <w:lang w:val="en-US"/>
        </w:rPr>
        <w:t>s hometown</w:t>
      </w:r>
      <w:r>
        <w:rPr>
          <w:rFonts w:ascii="Palatino" w:hAnsi="Palatino"/>
          <w:sz w:val="22"/>
          <w:szCs w:val="22"/>
          <w:rtl w:val="0"/>
          <w:lang w:val="en-US"/>
        </w:rPr>
        <w:t>.  The 120 participants were interviewed at the podiatrist clinic of the author</w:t>
      </w:r>
      <w:r>
        <w:rPr>
          <w:rFonts w:ascii="Palatino" w:hAnsi="Palatino" w:hint="default"/>
          <w:sz w:val="22"/>
          <w:szCs w:val="22"/>
          <w:rtl w:val="0"/>
          <w:lang w:val="en-US"/>
        </w:rPr>
        <w:t>’</w:t>
      </w:r>
      <w:r>
        <w:rPr>
          <w:rFonts w:ascii="Palatino" w:hAnsi="Palatino"/>
          <w:sz w:val="22"/>
          <w:szCs w:val="22"/>
          <w:rtl w:val="0"/>
          <w:lang w:val="en-US"/>
        </w:rPr>
        <w:t>s father, during treatment.  It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further discussed how the author expected the women</w:t>
      </w:r>
      <w:r>
        <w:rPr>
          <w:rFonts w:ascii="Palatino" w:hAnsi="Palatino" w:hint="default"/>
          <w:sz w:val="22"/>
          <w:szCs w:val="22"/>
          <w:rtl w:val="0"/>
          <w:lang w:val="en-US"/>
        </w:rPr>
        <w:t>’</w:t>
      </w:r>
      <w:r>
        <w:rPr>
          <w:rFonts w:ascii="Palatino" w:hAnsi="Palatino"/>
          <w:sz w:val="22"/>
          <w:szCs w:val="22"/>
          <w:rtl w:val="0"/>
          <w:lang w:val="en-US"/>
        </w:rPr>
        <w:t xml:space="preserve">s life to shape their shared folklore.  The author has published other works on folklore, storytelling and belief since the nineteen-eighties. </w:t>
      </w:r>
      <w:r>
        <w:rPr>
          <w:rFonts w:ascii="Palatino" w:cs="Palatino" w:hAnsi="Palatino" w:eastAsia="Palatino"/>
          <w:sz w:val="22"/>
          <w:szCs w:val="22"/>
          <w:vertAlign w:val="superscript"/>
        </w:rPr>
        <w:footnoteReference w:id="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Jenny Blain</w:t>
      </w:r>
      <w:r>
        <w:rPr>
          <w:rFonts w:ascii="Palatino" w:hAnsi="Palatino" w:hint="default"/>
          <w:sz w:val="22"/>
          <w:szCs w:val="22"/>
          <w:rtl w:val="0"/>
          <w:lang w:val="en-US"/>
        </w:rPr>
        <w:t>’</w:t>
      </w:r>
      <w:r>
        <w:rPr>
          <w:rFonts w:ascii="Palatino" w:hAnsi="Palatino"/>
          <w:sz w:val="22"/>
          <w:szCs w:val="22"/>
          <w:rtl w:val="0"/>
          <w:lang w:val="en-US"/>
        </w:rPr>
        <w:t xml:space="preserve">s paper was published in the journal </w:t>
      </w:r>
      <w:r>
        <w:rPr>
          <w:rFonts w:ascii="Palatino" w:hAnsi="Palatino"/>
          <w:i w:val="1"/>
          <w:iCs w:val="1"/>
          <w:sz w:val="22"/>
          <w:szCs w:val="22"/>
          <w:rtl w:val="0"/>
          <w:lang w:val="en-US"/>
        </w:rPr>
        <w:t>Diskus</w:t>
      </w:r>
      <w:r>
        <w:rPr>
          <w:rFonts w:ascii="Palatino" w:hAnsi="Palatino"/>
          <w:sz w:val="22"/>
          <w:szCs w:val="22"/>
          <w:rtl w:val="0"/>
          <w:lang w:val="en-US"/>
        </w:rPr>
        <w:t xml:space="preserve"> in 2000.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A previous version of the paper was</w:t>
      </w:r>
      <w:r>
        <w:rPr>
          <w:rFonts w:ascii="Palatino" w:hAnsi="Palatino"/>
          <w:sz w:val="22"/>
          <w:szCs w:val="22"/>
          <w:rtl w:val="0"/>
          <w:lang w:val="da-DK"/>
        </w:rPr>
        <w:t>,</w:t>
      </w:r>
      <w:r>
        <w:rPr>
          <w:rFonts w:ascii="Palatino" w:hAnsi="Palatino"/>
          <w:sz w:val="22"/>
          <w:szCs w:val="22"/>
          <w:rtl w:val="0"/>
          <w:lang w:val="en-US"/>
        </w:rPr>
        <w:t xml:space="preserve"> however</w:t>
      </w:r>
      <w:r>
        <w:rPr>
          <w:rFonts w:ascii="Palatino" w:hAnsi="Palatino"/>
          <w:sz w:val="22"/>
          <w:szCs w:val="22"/>
          <w:rtl w:val="0"/>
          <w:lang w:val="da-DK"/>
        </w:rPr>
        <w:t>,</w:t>
      </w:r>
      <w:r>
        <w:rPr>
          <w:rFonts w:ascii="Palatino" w:hAnsi="Palatino"/>
          <w:sz w:val="22"/>
          <w:szCs w:val="22"/>
          <w:rtl w:val="0"/>
          <w:lang w:val="en-US"/>
        </w:rPr>
        <w:t xml:space="preserve"> given at a folklore conference in 1999.  The paper discussed the practices of </w:t>
      </w:r>
      <w:r>
        <w:rPr>
          <w:rFonts w:ascii="Palatino" w:hAnsi="Palatino" w:hint="default"/>
          <w:sz w:val="22"/>
          <w:szCs w:val="22"/>
          <w:rtl w:val="0"/>
          <w:lang w:val="en-US"/>
        </w:rPr>
        <w:t>‘</w:t>
      </w:r>
      <w:r>
        <w:rPr>
          <w:rFonts w:ascii="Palatino" w:hAnsi="Palatino"/>
          <w:sz w:val="22"/>
          <w:szCs w:val="22"/>
          <w:rtl w:val="0"/>
          <w:lang w:val="en-US"/>
        </w:rPr>
        <w:t>Seidr</w:t>
      </w:r>
      <w:r>
        <w:rPr>
          <w:rFonts w:ascii="Palatino" w:hAnsi="Palatino" w:hint="default"/>
          <w:sz w:val="22"/>
          <w:szCs w:val="22"/>
          <w:rtl w:val="0"/>
          <w:lang w:val="en-US"/>
        </w:rPr>
        <w:t>’</w:t>
      </w:r>
      <w:r>
        <w:rPr>
          <w:rFonts w:ascii="Palatino" w:hAnsi="Palatino"/>
          <w:sz w:val="22"/>
          <w:szCs w:val="22"/>
          <w:rtl w:val="0"/>
          <w:lang w:val="en-US"/>
        </w:rPr>
        <w:t xml:space="preserve">, a nordic shamanic practice, being reconstituted in North America and Europe.  The author addressed the seance practice and theory as well as the methodology relating to ethnography/anthropology, and explored the insider and outsider position through personal experience.   The paper was written when the author was a senior lecturer in sociology at Sheffield Hallam University, followed by other papers published up to </w:t>
      </w:r>
      <w:r>
        <w:rPr>
          <w:rFonts w:ascii="Palatino" w:hAnsi="Palatino"/>
          <w:sz w:val="22"/>
          <w:szCs w:val="22"/>
          <w:rtl w:val="0"/>
          <w:lang w:val="da-DK"/>
        </w:rPr>
        <w:t xml:space="preserve">the </w:t>
      </w:r>
      <w:r>
        <w:rPr>
          <w:rFonts w:ascii="Palatino" w:hAnsi="Palatino"/>
          <w:sz w:val="22"/>
          <w:szCs w:val="22"/>
          <w:rtl w:val="0"/>
          <w:lang w:val="en-US"/>
        </w:rPr>
        <w:t xml:space="preserve">present day. </w:t>
      </w:r>
      <w:r>
        <w:rPr>
          <w:rFonts w:ascii="Palatino" w:cs="Palatino" w:hAnsi="Palatino" w:eastAsia="Palatino"/>
          <w:sz w:val="22"/>
          <w:szCs w:val="22"/>
          <w:vertAlign w:val="superscript"/>
        </w:rPr>
        <w:footnoteReference w:id="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Summary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paper by Bennet initially offered a historical perspective of British traditions through texts and other studies.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Having presented the methodology used in the study, the author discussed the findings and observations relating to foreknowledge among the 120 interviewed women.  Aspects such as beliefs, age, values, roles, interests and attitudes were examined through narratives from the interviews, which concluded that more studies were needed, and that: </w:t>
      </w:r>
      <w:r>
        <w:rPr>
          <w:rFonts w:ascii="Palatino" w:hAnsi="Palatino" w:hint="default"/>
          <w:sz w:val="22"/>
          <w:szCs w:val="22"/>
          <w:rtl w:val="0"/>
          <w:lang w:val="en-US"/>
        </w:rPr>
        <w:t>‘</w:t>
      </w:r>
      <w:r>
        <w:rPr>
          <w:rFonts w:ascii="Palatino" w:hAnsi="Palatino"/>
          <w:sz w:val="22"/>
          <w:szCs w:val="22"/>
          <w:rtl w:val="0"/>
          <w:lang w:val="en-US"/>
        </w:rPr>
        <w:t>I hope that my own work may at least show what a wealth of folklore there is to be explored in even the most prosaic of everyday surroundings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i w:val="1"/>
          <w:iCs w:val="1"/>
          <w:sz w:val="22"/>
          <w:szCs w:val="22"/>
          <w:rtl w:val="0"/>
          <w:lang w:val="en-US"/>
        </w:rPr>
        <w:t>Speaking Shamanistically</w:t>
      </w:r>
      <w:r>
        <w:rPr>
          <w:rFonts w:ascii="Palatino" w:hAnsi="Palatino"/>
          <w:sz w:val="22"/>
          <w:szCs w:val="22"/>
          <w:rtl w:val="0"/>
          <w:lang w:val="en-US"/>
        </w:rPr>
        <w:t xml:space="preserve"> described the theory and practice of shamanistic seances.  The author discussed the anthropologist</w:t>
      </w:r>
      <w:r>
        <w:rPr>
          <w:rFonts w:ascii="Palatino" w:hAnsi="Palatino" w:hint="default"/>
          <w:sz w:val="22"/>
          <w:szCs w:val="22"/>
          <w:rtl w:val="0"/>
          <w:lang w:val="en-US"/>
        </w:rPr>
        <w:t>’</w:t>
      </w:r>
      <w:r>
        <w:rPr>
          <w:rFonts w:ascii="Palatino" w:hAnsi="Palatino"/>
          <w:sz w:val="22"/>
          <w:szCs w:val="22"/>
          <w:rtl w:val="0"/>
          <w:lang w:val="en-US"/>
        </w:rPr>
        <w:t>s role and debated its relation to the study through</w:t>
      </w:r>
      <w:r>
        <w:rPr>
          <w:rFonts w:ascii="Palatino" w:hAnsi="Palatino"/>
          <w:sz w:val="22"/>
          <w:szCs w:val="22"/>
          <w:rtl w:val="0"/>
          <w:lang w:val="en-US"/>
        </w:rPr>
        <w:t xml:space="preserve"> the researcher</w:t>
      </w:r>
      <w:r>
        <w:rPr>
          <w:rFonts w:ascii="Palatino" w:hAnsi="Palatino" w:hint="default"/>
          <w:sz w:val="22"/>
          <w:szCs w:val="22"/>
          <w:rtl w:val="0"/>
          <w:lang w:val="en-US"/>
        </w:rPr>
        <w:t>’</w:t>
      </w:r>
      <w:r>
        <w:rPr>
          <w:rFonts w:ascii="Palatino" w:hAnsi="Palatino"/>
          <w:sz w:val="22"/>
          <w:szCs w:val="22"/>
          <w:rtl w:val="0"/>
          <w:lang w:val="en-US"/>
        </w:rPr>
        <w:t xml:space="preserve">s </w:t>
      </w:r>
      <w:r>
        <w:rPr>
          <w:rFonts w:ascii="Palatino" w:hAnsi="Palatino"/>
          <w:sz w:val="22"/>
          <w:szCs w:val="22"/>
          <w:rtl w:val="0"/>
          <w:lang w:val="en-US"/>
        </w:rPr>
        <w:t>experiences.  The paper presented narratives on seances, both those of others and the author</w:t>
      </w:r>
      <w:r>
        <w:rPr>
          <w:rFonts w:ascii="Palatino" w:hAnsi="Palatino" w:hint="default"/>
          <w:sz w:val="22"/>
          <w:szCs w:val="22"/>
          <w:rtl w:val="0"/>
          <w:lang w:val="en-US"/>
        </w:rPr>
        <w:t>’</w:t>
      </w:r>
      <w:r>
        <w:rPr>
          <w:rFonts w:ascii="Palatino" w:hAnsi="Palatino"/>
          <w:sz w:val="22"/>
          <w:szCs w:val="22"/>
          <w:rtl w:val="0"/>
          <w:lang w:val="en-US"/>
        </w:rPr>
        <w:t>s own.  The complexity of the insider</w:t>
      </w:r>
      <w:r>
        <w:rPr>
          <w:rFonts w:ascii="Palatino" w:hAnsi="Palatino" w:hint="default"/>
          <w:sz w:val="22"/>
          <w:szCs w:val="22"/>
          <w:rtl w:val="0"/>
          <w:lang w:val="en-US"/>
        </w:rPr>
        <w:t>’</w:t>
      </w:r>
      <w:r>
        <w:rPr>
          <w:rFonts w:ascii="Palatino" w:hAnsi="Palatino"/>
          <w:sz w:val="22"/>
          <w:szCs w:val="22"/>
          <w:rtl w:val="0"/>
          <w:lang w:val="en-US"/>
        </w:rPr>
        <w:t>s and outsider</w:t>
      </w:r>
      <w:r>
        <w:rPr>
          <w:rFonts w:ascii="Palatino" w:hAnsi="Palatino" w:hint="default"/>
          <w:sz w:val="22"/>
          <w:szCs w:val="22"/>
          <w:rtl w:val="0"/>
          <w:lang w:val="en-US"/>
        </w:rPr>
        <w:t>’</w:t>
      </w:r>
      <w:r>
        <w:rPr>
          <w:rFonts w:ascii="Palatino" w:hAnsi="Palatino"/>
          <w:sz w:val="22"/>
          <w:szCs w:val="22"/>
          <w:rtl w:val="0"/>
          <w:lang w:val="en-US"/>
        </w:rPr>
        <w:t>s views of the shamanistic communities were discussed through Blain</w:t>
      </w:r>
      <w:r>
        <w:rPr>
          <w:rFonts w:ascii="Palatino" w:hAnsi="Palatino" w:hint="default"/>
          <w:sz w:val="22"/>
          <w:szCs w:val="22"/>
          <w:rtl w:val="0"/>
          <w:lang w:val="en-US"/>
        </w:rPr>
        <w:t>’</w:t>
      </w:r>
      <w:r>
        <w:rPr>
          <w:rFonts w:ascii="Palatino" w:hAnsi="Palatino"/>
          <w:sz w:val="22"/>
          <w:szCs w:val="22"/>
          <w:rtl w:val="0"/>
          <w:lang w:val="en-US"/>
        </w:rPr>
        <w:t>s own role as a part of the community versus the role as a researcher in the community.  The conclusion argued that the knowledge of the insider shaped the knowledge of the outsider, and vice versa.</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Analysis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Discussion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9"/>
          <w:footerReference w:type="default" r:id="rId10"/>
          <w:pgSz w:w="12240" w:h="15840" w:orient="portrait"/>
          <w:pgMar w:top="1134" w:right="1134" w:bottom="1134" w:left="1134" w:header="567" w:footer="720"/>
          <w:bidi w:val="0"/>
        </w:sectPr>
      </w:pPr>
      <w:r>
        <w:rPr>
          <w:rFonts w:ascii="Palatino" w:hAnsi="Palatino"/>
          <w:b w:val="0"/>
          <w:bCs w:val="0"/>
          <w:sz w:val="22"/>
          <w:szCs w:val="22"/>
          <w:rtl w:val="0"/>
          <w:lang w:val="en-US"/>
        </w:rPr>
        <w:t xml:space="preserve">Both authors approached their subjects from a personal interest; however Blain had a deeper insider role, being both the researcher and narrated seances within the research.  Etherington explored the insider role as a reflexive approach. </w:t>
      </w:r>
      <w:r>
        <w:rPr>
          <w:rFonts w:ascii="Palatino" w:cs="Palatino" w:hAnsi="Palatino" w:eastAsia="Palatino"/>
          <w:b w:val="0"/>
          <w:bCs w:val="0"/>
          <w:sz w:val="22"/>
          <w:szCs w:val="22"/>
          <w:vertAlign w:val="superscript"/>
        </w:rPr>
        <w:footnoteReference w:id="9"/>
      </w:r>
      <w:r>
        <w:rPr>
          <w:rFonts w:ascii="Palatino" w:hAnsi="Palatino"/>
          <w:b w:val="0"/>
          <w:bCs w:val="0"/>
          <w:sz w:val="22"/>
          <w:szCs w:val="22"/>
          <w:rtl w:val="0"/>
          <w:lang w:val="en-US"/>
        </w:rPr>
        <w:t xml:space="preserve">  The book argued that by using ourselves in research we may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 xml:space="preserve">learn more about our subject.  Corbin Dwyer and Buckle argued that the insider/outsider aspect related to the researcher and participant roles in a study. </w:t>
      </w:r>
      <w:r>
        <w:rPr>
          <w:rFonts w:ascii="Palatino" w:cs="Palatino" w:hAnsi="Palatino" w:eastAsia="Palatino"/>
          <w:b w:val="0"/>
          <w:bCs w:val="0"/>
          <w:sz w:val="22"/>
          <w:szCs w:val="22"/>
          <w:vertAlign w:val="superscript"/>
        </w:rPr>
        <w:footnoteReference w:id="10"/>
      </w:r>
      <w:r>
        <w:rPr>
          <w:rFonts w:ascii="Palatino" w:hAnsi="Palatino"/>
          <w:b w:val="0"/>
          <w:bCs w:val="0"/>
          <w:sz w:val="22"/>
          <w:szCs w:val="22"/>
          <w:rtl w:val="0"/>
          <w:lang w:val="en-US"/>
        </w:rPr>
        <w:t xml:space="preserve">  Blain</w:t>
      </w:r>
      <w:r>
        <w:rPr>
          <w:rFonts w:ascii="Palatino" w:hAnsi="Palatino" w:hint="default"/>
          <w:b w:val="0"/>
          <w:bCs w:val="0"/>
          <w:sz w:val="22"/>
          <w:szCs w:val="22"/>
          <w:rtl w:val="0"/>
          <w:lang w:val="en-US"/>
        </w:rPr>
        <w:t>’</w:t>
      </w:r>
      <w:r>
        <w:rPr>
          <w:rFonts w:ascii="Palatino" w:hAnsi="Palatino"/>
          <w:b w:val="0"/>
          <w:bCs w:val="0"/>
          <w:sz w:val="22"/>
          <w:szCs w:val="22"/>
          <w:rtl w:val="0"/>
          <w:lang w:val="en-US"/>
        </w:rPr>
        <w:t>s and Bennett</w:t>
      </w:r>
      <w:r>
        <w:rPr>
          <w:rFonts w:ascii="Palatino" w:hAnsi="Palatino" w:hint="default"/>
          <w:b w:val="0"/>
          <w:bCs w:val="0"/>
          <w:sz w:val="22"/>
          <w:szCs w:val="22"/>
          <w:rtl w:val="0"/>
          <w:lang w:val="en-US"/>
        </w:rPr>
        <w:t>’</w:t>
      </w:r>
      <w:r>
        <w:rPr>
          <w:rFonts w:ascii="Palatino" w:hAnsi="Palatino"/>
          <w:b w:val="0"/>
          <w:bCs w:val="0"/>
          <w:sz w:val="22"/>
          <w:szCs w:val="22"/>
          <w:rtl w:val="0"/>
          <w:lang w:val="en-US"/>
        </w:rPr>
        <w:t>s approach to their roles in research will be discussed later in this essay.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cs="Palatino" w:hAnsi="Palatino" w:eastAsia="Palatino"/>
          <w:b w:val="0"/>
          <w:bCs w:val="0"/>
          <w:sz w:val="22"/>
          <w:szCs w:val="22"/>
          <w:rtl w:val="0"/>
        </w:rPr>
        <w:tab/>
        <w:t xml:space="preserve">The Bennett paper had a clear structure, started with a historical introduction which lead into methodology, followed by analysis and conclusion.  </w:t>
      </w:r>
      <w:r>
        <w:rPr>
          <w:rFonts w:ascii="Palatino" w:hAnsi="Palatino"/>
          <w:b w:val="0"/>
          <w:bCs w:val="0"/>
          <w:sz w:val="22"/>
          <w:szCs w:val="22"/>
          <w:rtl w:val="0"/>
          <w:lang w:val="da-DK"/>
        </w:rPr>
        <w:t>By contrast</w:t>
      </w:r>
      <w:r>
        <w:rPr>
          <w:rFonts w:ascii="Palatino" w:hAnsi="Palatino"/>
          <w:b w:val="0"/>
          <w:bCs w:val="0"/>
          <w:sz w:val="22"/>
          <w:szCs w:val="22"/>
          <w:rtl w:val="0"/>
          <w:lang w:val="en-US"/>
        </w:rPr>
        <w:t>, Blain</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paper had less clear structure; it </w:t>
      </w:r>
      <w:r>
        <w:rPr>
          <w:rFonts w:ascii="Palatino" w:hAnsi="Palatino"/>
          <w:b w:val="0"/>
          <w:bCs w:val="0"/>
          <w:sz w:val="22"/>
          <w:szCs w:val="22"/>
          <w:rtl w:val="0"/>
          <w:lang w:val="da-DK"/>
        </w:rPr>
        <w:t xml:space="preserve">started </w:t>
      </w:r>
      <w:r>
        <w:rPr>
          <w:rFonts w:ascii="Palatino" w:hAnsi="Palatino"/>
          <w:b w:val="0"/>
          <w:bCs w:val="0"/>
          <w:sz w:val="22"/>
          <w:szCs w:val="22"/>
          <w:rtl w:val="0"/>
          <w:lang w:val="en-US"/>
        </w:rPr>
        <w:t>with a partial narrative, which then lead into the author</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personal history and researcher perspective of the subject.  Bell described the importance of structure when writing a research report. </w:t>
      </w:r>
      <w:r>
        <w:rPr>
          <w:rFonts w:ascii="Palatino" w:cs="Palatino" w:hAnsi="Palatino" w:eastAsia="Palatino"/>
          <w:b w:val="0"/>
          <w:bCs w:val="0"/>
          <w:sz w:val="22"/>
          <w:szCs w:val="22"/>
          <w:vertAlign w:val="superscript"/>
        </w:rPr>
        <w:footnoteReference w:id="11"/>
      </w:r>
      <w:r>
        <w:rPr>
          <w:rFonts w:ascii="Palatino" w:hAnsi="Palatino"/>
          <w:b w:val="0"/>
          <w:bCs w:val="0"/>
          <w:sz w:val="22"/>
          <w:szCs w:val="22"/>
          <w:rtl w:val="0"/>
          <w:lang w:val="en-US"/>
        </w:rPr>
        <w:t xml:space="preserve">  Key components such as titles and sections were discussed.  The paper </w:t>
      </w:r>
      <w:r>
        <w:rPr>
          <w:rFonts w:ascii="Palatino" w:hAnsi="Palatino" w:hint="default"/>
          <w:b w:val="0"/>
          <w:bCs w:val="0"/>
          <w:sz w:val="22"/>
          <w:szCs w:val="22"/>
          <w:rtl w:val="0"/>
          <w:lang w:val="en-US"/>
        </w:rPr>
        <w:t>‘</w:t>
      </w:r>
      <w:r>
        <w:rPr>
          <w:rFonts w:ascii="Palatino" w:hAnsi="Palatino"/>
          <w:b w:val="0"/>
          <w:bCs w:val="0"/>
          <w:sz w:val="22"/>
          <w:szCs w:val="22"/>
          <w:rtl w:val="0"/>
          <w:lang w:val="en-US"/>
        </w:rPr>
        <w:t>Healing in the Sami North</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demonstrated such clear structure; introduced the subject and reasons for the study</w:t>
      </w:r>
      <w:r>
        <w:rPr>
          <w:rFonts w:ascii="Palatino" w:hAnsi="Palatino"/>
          <w:b w:val="0"/>
          <w:bCs w:val="0"/>
          <w:sz w:val="22"/>
          <w:szCs w:val="22"/>
          <w:rtl w:val="0"/>
          <w:lang w:val="da-DK"/>
        </w:rPr>
        <w:t>,</w:t>
      </w:r>
      <w:r>
        <w:rPr>
          <w:rFonts w:ascii="Palatino" w:hAnsi="Palatino"/>
          <w:b w:val="0"/>
          <w:bCs w:val="0"/>
          <w:sz w:val="22"/>
          <w:szCs w:val="22"/>
          <w:rtl w:val="0"/>
          <w:lang w:val="en-US"/>
        </w:rPr>
        <w:t xml:space="preserve"> whereafter a historical introduction, framework and background followed, all of which made the paper clear and informative. </w:t>
      </w:r>
      <w:r>
        <w:rPr>
          <w:rFonts w:ascii="Palatino" w:cs="Palatino" w:hAnsi="Palatino" w:eastAsia="Palatino"/>
          <w:b w:val="0"/>
          <w:bCs w:val="0"/>
          <w:sz w:val="22"/>
          <w:szCs w:val="22"/>
          <w:vertAlign w:val="superscript"/>
        </w:rPr>
        <w:footnoteReference w:id="1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Both papers concluded that more studies were needed.  Whilst Blain</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paper contained some </w:t>
      </w:r>
      <w:r>
        <w:rPr>
          <w:rFonts w:ascii="Palatino" w:hAnsi="Palatino"/>
          <w:b w:val="0"/>
          <w:bCs w:val="0"/>
          <w:sz w:val="22"/>
          <w:szCs w:val="22"/>
          <w:rtl w:val="0"/>
          <w:lang w:val="da-DK"/>
        </w:rPr>
        <w:t>jargonic</w:t>
      </w:r>
      <w:r>
        <w:rPr>
          <w:rFonts w:ascii="Palatino" w:hAnsi="Palatino"/>
          <w:b w:val="0"/>
          <w:bCs w:val="0"/>
          <w:sz w:val="22"/>
          <w:szCs w:val="22"/>
          <w:rtl w:val="0"/>
          <w:lang w:val="en-US"/>
        </w:rPr>
        <w:t xml:space="preserve"> language, the clearer language and style of writing in the Bennett paper were possibly due to accommodating a broader audience.  Furthermore, Bennett gave wide consideration to evidence in the conclusion which is not discussed or analysed in the paper.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cs="Palatino" w:hAnsi="Palatino" w:eastAsia="Palatino"/>
          <w:b w:val="0"/>
          <w:bCs w:val="0"/>
          <w:sz w:val="22"/>
          <w:szCs w:val="22"/>
          <w:rtl w:val="0"/>
        </w:rPr>
        <w:tab/>
        <w:t>Both authors approached their studies from a qualitative methodology.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i w:val="1"/>
          <w:iCs w:val="1"/>
          <w:sz w:val="22"/>
          <w:szCs w:val="22"/>
        </w:rPr>
      </w:pPr>
      <w:r>
        <w:rPr>
          <w:rFonts w:ascii="Palatino" w:hAnsi="Palatino"/>
          <w:b w:val="0"/>
          <w:bCs w:val="0"/>
          <w:i w:val="1"/>
          <w:iCs w:val="1"/>
          <w:sz w:val="22"/>
          <w:szCs w:val="22"/>
          <w:rtl w:val="0"/>
          <w:lang w:val="en-US"/>
        </w:rPr>
        <w:t>Methodology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The chosen qualitative approach through interviews by Bennett was opposed to that of Blain</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chosen mainly reflexive approach, where she used herself in the research. </w:t>
      </w:r>
      <w:r>
        <w:rPr>
          <w:rFonts w:ascii="Palatino" w:cs="Palatino" w:hAnsi="Palatino" w:eastAsia="Palatino"/>
          <w:b w:val="0"/>
          <w:bCs w:val="0"/>
          <w:sz w:val="22"/>
          <w:szCs w:val="22"/>
          <w:vertAlign w:val="superscript"/>
        </w:rPr>
        <w:footnoteReference w:id="13"/>
      </w:r>
      <w:r>
        <w:rPr>
          <w:rFonts w:ascii="Palatino" w:hAnsi="Palatino"/>
          <w:b w:val="0"/>
          <w:bCs w:val="0"/>
          <w:sz w:val="22"/>
          <w:szCs w:val="22"/>
          <w:rtl w:val="0"/>
          <w:lang w:val="en-US"/>
        </w:rPr>
        <w:t xml:space="preserve">  As described by Hennick and Etherington, both methods can present challenges with how the researchers own beliefs, values and experiences can effect a study.  Bennett did not express concerns with the chosen method, whereas Blain argued her own experiences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effect.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1"/>
          <w:footerReference w:type="default" r:id="rId12"/>
          <w:pgSz w:w="12240" w:h="15840" w:orient="portrait"/>
          <w:pgMar w:top="1134" w:right="1134" w:bottom="1134" w:left="1134" w:header="567" w:footer="720"/>
          <w:bidi w:val="0"/>
        </w:sectPr>
      </w:pPr>
      <w:r>
        <w:rPr>
          <w:rFonts w:ascii="Palatino" w:hAnsi="Palatino"/>
          <w:b w:val="0"/>
          <w:bCs w:val="0"/>
          <w:sz w:val="22"/>
          <w:szCs w:val="22"/>
          <w:rtl w:val="0"/>
          <w:lang w:val="en-US"/>
        </w:rPr>
        <w:t>Blain</w:t>
      </w:r>
      <w:r>
        <w:rPr>
          <w:rFonts w:ascii="Palatino" w:hAnsi="Palatino" w:hint="default"/>
          <w:b w:val="0"/>
          <w:bCs w:val="0"/>
          <w:sz w:val="22"/>
          <w:szCs w:val="22"/>
          <w:rtl w:val="0"/>
          <w:lang w:val="en-US"/>
        </w:rPr>
        <w:t>’</w:t>
      </w:r>
      <w:r>
        <w:rPr>
          <w:rFonts w:ascii="Palatino" w:hAnsi="Palatino"/>
          <w:b w:val="0"/>
          <w:bCs w:val="0"/>
          <w:sz w:val="22"/>
          <w:szCs w:val="22"/>
          <w:rtl w:val="0"/>
          <w:lang w:val="en-US"/>
        </w:rPr>
        <w:t>s mainly reflexive approach, as compared to Bennett</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qualitative interview approach, gave the Blain paper, in contrast, a deeper insight into the researched subjects.  This was described by Etherington: </w:t>
      </w:r>
      <w:r>
        <w:rPr>
          <w:rFonts w:ascii="Palatino" w:hAnsi="Palatino" w:hint="default"/>
          <w:b w:val="0"/>
          <w:bCs w:val="0"/>
          <w:sz w:val="22"/>
          <w:szCs w:val="22"/>
          <w:rtl w:val="0"/>
          <w:lang w:val="en-US"/>
        </w:rPr>
        <w:t>‘</w:t>
      </w:r>
      <w:r>
        <w:rPr>
          <w:rFonts w:ascii="Palatino" w:hAnsi="Palatino"/>
          <w:b w:val="0"/>
          <w:bCs w:val="0"/>
          <w:sz w:val="22"/>
          <w:szCs w:val="22"/>
          <w:rtl w:val="0"/>
          <w:lang w:val="en-US"/>
        </w:rPr>
        <w:t>By using reflexivity in research we close the illusory gap between researcher and researched and between the knower and what is known.</w:t>
      </w:r>
      <w:r>
        <w:rPr>
          <w:rFonts w:ascii="Palatino" w:hAnsi="Palatino" w:hint="default"/>
          <w:b w:val="0"/>
          <w:bCs w:val="0"/>
          <w:sz w:val="22"/>
          <w:szCs w:val="22"/>
          <w:rtl w:val="0"/>
          <w:lang w:val="en-US"/>
        </w:rPr>
        <w:t xml:space="preserve">’ </w:t>
      </w:r>
      <w:r>
        <w:rPr>
          <w:rFonts w:ascii="Palatino" w:cs="Palatino" w:hAnsi="Palatino" w:eastAsia="Palatino"/>
          <w:b w:val="0"/>
          <w:bCs w:val="0"/>
          <w:sz w:val="22"/>
          <w:szCs w:val="22"/>
          <w:vertAlign w:val="superscript"/>
        </w:rPr>
        <w:footnoteReference w:id="14"/>
      </w:r>
      <w:r>
        <w:rPr>
          <w:rFonts w:ascii="Palatino" w:hAnsi="Palatino"/>
          <w:b w:val="0"/>
          <w:bCs w:val="0"/>
          <w:sz w:val="22"/>
          <w:szCs w:val="22"/>
          <w:rtl w:val="0"/>
          <w:lang w:val="en-US"/>
        </w:rPr>
        <w:t xml:space="preserve">  Blain did, however, also add a similar qualitative approach as Bennett through narratives from other users of </w:t>
      </w:r>
      <w:r>
        <w:rPr>
          <w:rFonts w:ascii="Palatino" w:hAnsi="Palatino" w:hint="default"/>
          <w:b w:val="0"/>
          <w:bCs w:val="0"/>
          <w:sz w:val="22"/>
          <w:szCs w:val="22"/>
          <w:rtl w:val="0"/>
          <w:lang w:val="en-US"/>
        </w:rPr>
        <w:t>‘</w:t>
      </w:r>
      <w:r>
        <w:rPr>
          <w:rFonts w:ascii="Palatino" w:hAnsi="Palatino"/>
          <w:b w:val="0"/>
          <w:bCs w:val="0"/>
          <w:sz w:val="22"/>
          <w:szCs w:val="22"/>
          <w:rtl w:val="0"/>
          <w:lang w:val="en-US"/>
        </w:rPr>
        <w:t>Seidr</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  As argued by </w:t>
      </w:r>
      <w:r>
        <w:rPr>
          <w:rFonts w:ascii="Palatino" w:hAnsi="Palatino"/>
          <w:b w:val="0"/>
          <w:bCs w:val="0"/>
          <w:sz w:val="22"/>
          <w:szCs w:val="22"/>
          <w:rtl w:val="0"/>
          <w:lang w:val="de-DE"/>
        </w:rPr>
        <w:t>Wall</w:t>
      </w:r>
      <w:r>
        <w:rPr>
          <w:rFonts w:ascii="Palatino" w:hAnsi="Palatino"/>
          <w:b w:val="0"/>
          <w:bCs w:val="0"/>
          <w:sz w:val="22"/>
          <w:szCs w:val="22"/>
          <w:rtl w:val="0"/>
          <w:lang w:val="en-US"/>
        </w:rPr>
        <w:t xml:space="preserve">, the Blain paper could be seen as an </w:t>
      </w:r>
      <w:r>
        <w:rPr>
          <w:rFonts w:ascii="Palatino" w:hAnsi="Palatino"/>
          <w:b w:val="0"/>
          <w:bCs w:val="0"/>
          <w:sz w:val="22"/>
          <w:szCs w:val="22"/>
          <w:rtl w:val="0"/>
          <w:lang w:val="nl-NL"/>
        </w:rPr>
        <w:t>autoethnography</w:t>
      </w:r>
      <w:r>
        <w:rPr>
          <w:rFonts w:ascii="Palatino" w:hAnsi="Palatino"/>
          <w:b w:val="0"/>
          <w:bCs w:val="0"/>
          <w:sz w:val="22"/>
          <w:szCs w:val="22"/>
          <w:rtl w:val="0"/>
          <w:lang w:val="en-US"/>
        </w:rPr>
        <w:t xml:space="preserve"> paper as: 1) it started with a personal story, 2) described the author</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w:t>
      </w:r>
      <w:r>
        <w:rPr>
          <w:rFonts w:ascii="Palatino" w:hAnsi="Palatino"/>
          <w:b w:val="0"/>
          <w:bCs w:val="0"/>
          <w:sz w:val="22"/>
          <w:szCs w:val="22"/>
          <w:rtl w:val="0"/>
          <w:lang w:val="en-US"/>
        </w:rPr>
        <w:t xml:space="preserve">personal connection </w:t>
      </w:r>
      <w:r>
        <w:rPr>
          <w:rFonts w:ascii="Palatino" w:hAnsi="Palatino"/>
          <w:b w:val="0"/>
          <w:bCs w:val="0"/>
          <w:sz w:val="22"/>
          <w:szCs w:val="22"/>
          <w:rtl w:val="0"/>
          <w:lang w:val="en-US"/>
        </w:rPr>
        <w:t xml:space="preserve">with limited </w:t>
      </w:r>
      <w:r>
        <w:rPr>
          <w:rFonts w:ascii="Palatino" w:hAnsi="Palatino"/>
          <w:b w:val="0"/>
          <w:bCs w:val="0"/>
          <w:sz w:val="22"/>
          <w:szCs w:val="22"/>
          <w:rtl w:val="0"/>
        </w:rPr>
        <w:t>analys</w:t>
      </w:r>
      <w:r>
        <w:rPr>
          <w:rFonts w:ascii="Palatino" w:hAnsi="Palatino"/>
          <w:b w:val="0"/>
          <w:bCs w:val="0"/>
          <w:sz w:val="22"/>
          <w:szCs w:val="22"/>
          <w:rtl w:val="0"/>
          <w:lang w:val="en-US"/>
        </w:rPr>
        <w:t>ed aspects and, 3) examined</w:t>
      </w:r>
      <w:r>
        <w:rPr>
          <w:rFonts w:ascii="Palatino" w:hAnsi="Palatino"/>
          <w:b w:val="0"/>
          <w:bCs w:val="0"/>
          <w:sz w:val="22"/>
          <w:szCs w:val="22"/>
          <w:rtl w:val="0"/>
        </w:rPr>
        <w:t xml:space="preserve"> </w:t>
      </w:r>
      <w:r>
        <w:rPr>
          <w:rFonts w:ascii="Palatino" w:hAnsi="Palatino"/>
          <w:b w:val="0"/>
          <w:bCs w:val="0"/>
          <w:sz w:val="22"/>
          <w:szCs w:val="22"/>
          <w:rtl w:val="0"/>
          <w:lang w:val="en-US"/>
        </w:rPr>
        <w:t>aspects</w:t>
      </w:r>
      <w:r>
        <w:rPr>
          <w:rFonts w:ascii="Palatino" w:hAnsi="Palatino"/>
          <w:b w:val="0"/>
          <w:bCs w:val="0"/>
          <w:sz w:val="22"/>
          <w:szCs w:val="22"/>
          <w:rtl w:val="0"/>
          <w:lang w:val="en-US"/>
        </w:rPr>
        <w:t xml:space="preserve"> of personal importance</w:t>
      </w:r>
      <w:r>
        <w:rPr>
          <w:rFonts w:ascii="Palatino" w:hAnsi="Palatino"/>
          <w:b w:val="0"/>
          <w:bCs w:val="0"/>
          <w:sz w:val="22"/>
          <w:szCs w:val="22"/>
          <w:rtl w:val="0"/>
          <w:lang w:val="en-US"/>
        </w:rPr>
        <w:t xml:space="preserve"> to the author</w:t>
      </w:r>
      <w:r>
        <w:rPr>
          <w:rFonts w:ascii="Palatino" w:hAnsi="Palatino"/>
          <w:b w:val="0"/>
          <w:bCs w:val="0"/>
          <w:sz w:val="22"/>
          <w:szCs w:val="22"/>
          <w:rtl w:val="0"/>
        </w:rPr>
        <w:t xml:space="preserve"> </w:t>
      </w:r>
      <w:r>
        <w:rPr>
          <w:rFonts w:ascii="Palatino" w:hAnsi="Palatino"/>
          <w:b w:val="0"/>
          <w:bCs w:val="0"/>
          <w:sz w:val="22"/>
          <w:szCs w:val="22"/>
          <w:rtl w:val="0"/>
          <w:lang w:val="en-US"/>
        </w:rPr>
        <w:t>set</w:t>
      </w:r>
      <w:r>
        <w:rPr>
          <w:rFonts w:ascii="Palatino" w:hAnsi="Palatino"/>
          <w:b w:val="0"/>
          <w:bCs w:val="0"/>
          <w:sz w:val="22"/>
          <w:szCs w:val="22"/>
          <w:rtl w:val="0"/>
        </w:rPr>
        <w:t xml:space="preserve"> </w:t>
      </w:r>
      <w:r>
        <w:rPr>
          <w:rFonts w:ascii="Palatino" w:hAnsi="Palatino"/>
          <w:b w:val="0"/>
          <w:bCs w:val="0"/>
          <w:sz w:val="22"/>
          <w:szCs w:val="22"/>
          <w:rtl w:val="0"/>
          <w:lang w:val="en-US"/>
        </w:rPr>
        <w:t>in her</w:t>
      </w:r>
      <w:r>
        <w:rPr>
          <w:rFonts w:ascii="Palatino" w:hAnsi="Palatino"/>
          <w:b w:val="0"/>
          <w:bCs w:val="0"/>
          <w:sz w:val="22"/>
          <w:szCs w:val="22"/>
          <w:rtl w:val="0"/>
        </w:rPr>
        <w:t xml:space="preserve"> </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worlds'. </w:t>
      </w:r>
      <w:r>
        <w:rPr>
          <w:rFonts w:ascii="Palatino" w:cs="Palatino" w:hAnsi="Palatino" w:eastAsia="Palatino"/>
          <w:b w:val="0"/>
          <w:bCs w:val="0"/>
          <w:sz w:val="22"/>
          <w:szCs w:val="22"/>
          <w:vertAlign w:val="superscript"/>
        </w:rPr>
        <w:footnoteReference w:id="1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 xml:space="preserve">Blain expressed the complexity in attending both </w:t>
      </w:r>
      <w:r>
        <w:rPr>
          <w:rFonts w:ascii="Palatino" w:hAnsi="Palatino" w:hint="default"/>
          <w:b w:val="0"/>
          <w:bCs w:val="0"/>
          <w:sz w:val="22"/>
          <w:szCs w:val="22"/>
          <w:rtl w:val="0"/>
          <w:lang w:val="en-US"/>
        </w:rPr>
        <w:t>‘</w:t>
      </w:r>
      <w:r>
        <w:rPr>
          <w:rFonts w:ascii="Palatino" w:hAnsi="Palatino"/>
          <w:b w:val="0"/>
          <w:bCs w:val="0"/>
          <w:sz w:val="22"/>
          <w:szCs w:val="22"/>
          <w:rtl w:val="0"/>
          <w:lang w:val="en-US"/>
        </w:rPr>
        <w:t>worlds</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 which the Sexton and Stabbursvik paper approached in an interesting manner. </w:t>
      </w:r>
      <w:r>
        <w:rPr>
          <w:rFonts w:ascii="Palatino" w:cs="Palatino" w:hAnsi="Palatino" w:eastAsia="Palatino"/>
          <w:b w:val="0"/>
          <w:bCs w:val="0"/>
          <w:sz w:val="22"/>
          <w:szCs w:val="22"/>
          <w:vertAlign w:val="superscript"/>
        </w:rPr>
        <w:footnoteReference w:id="16"/>
      </w:r>
      <w:r>
        <w:rPr>
          <w:rFonts w:ascii="Palatino" w:hAnsi="Palatino"/>
          <w:b w:val="0"/>
          <w:bCs w:val="0"/>
          <w:sz w:val="22"/>
          <w:szCs w:val="22"/>
          <w:rtl w:val="0"/>
          <w:lang w:val="en-US"/>
        </w:rPr>
        <w:t xml:space="preserve">  Sexton and Stabbursvik approached the reflexive and qualitative mix through two authors, one from each </w:t>
      </w:r>
      <w:r>
        <w:rPr>
          <w:rFonts w:ascii="Palatino" w:hAnsi="Palatino" w:hint="default"/>
          <w:b w:val="0"/>
          <w:bCs w:val="0"/>
          <w:sz w:val="22"/>
          <w:szCs w:val="22"/>
          <w:rtl w:val="0"/>
          <w:lang w:val="en-US"/>
        </w:rPr>
        <w:t>‘</w:t>
      </w:r>
      <w:r>
        <w:rPr>
          <w:rFonts w:ascii="Palatino" w:hAnsi="Palatino"/>
          <w:b w:val="0"/>
          <w:bCs w:val="0"/>
          <w:sz w:val="22"/>
          <w:szCs w:val="22"/>
          <w:rtl w:val="0"/>
          <w:lang w:val="en-US"/>
        </w:rPr>
        <w:t>world</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 a Norwegian psychiatric researcher and a Saami health worker.  It could be discussed whether the reflexive method, which Blain chose, obstructed the study, whereas the approach of Sexton and Stabbursvik could have offered a variation.  Joy conducted a similar study, however using the method of a case study instead of a reflexive study. </w:t>
      </w:r>
      <w:r>
        <w:rPr>
          <w:rFonts w:ascii="Palatino" w:cs="Palatino" w:hAnsi="Palatino" w:eastAsia="Palatino"/>
          <w:b w:val="0"/>
          <w:bCs w:val="0"/>
          <w:sz w:val="22"/>
          <w:szCs w:val="22"/>
          <w:vertAlign w:val="superscript"/>
        </w:rPr>
        <w:footnoteReference w:id="17"/>
      </w:r>
      <w:r>
        <w:rPr>
          <w:rFonts w:ascii="Palatino" w:hAnsi="Palatino"/>
          <w:b w:val="0"/>
          <w:bCs w:val="0"/>
          <w:sz w:val="22"/>
          <w:szCs w:val="22"/>
          <w:rtl w:val="0"/>
          <w:lang w:val="en-US"/>
        </w:rPr>
        <w:t xml:space="preserve">  Joy described the work of a Saami shaman though interviewing and the paper presented in-depth narratives of cosmologies, traditions and practices.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cs="Palatino" w:hAnsi="Palatino" w:eastAsia="Palatino"/>
          <w:b w:val="0"/>
          <w:bCs w:val="0"/>
          <w:sz w:val="22"/>
          <w:szCs w:val="22"/>
          <w:rtl w:val="0"/>
        </w:rPr>
        <w:tab/>
        <w:t xml:space="preserve">Where Blain accessed participants from members of the </w:t>
      </w:r>
      <w:r>
        <w:rPr>
          <w:rFonts w:ascii="Palatino" w:hAnsi="Palatino" w:hint="default"/>
          <w:b w:val="0"/>
          <w:bCs w:val="0"/>
          <w:sz w:val="22"/>
          <w:szCs w:val="22"/>
          <w:rtl w:val="0"/>
          <w:lang w:val="en-US"/>
        </w:rPr>
        <w:t>‘</w:t>
      </w:r>
      <w:r>
        <w:rPr>
          <w:rFonts w:ascii="Palatino" w:hAnsi="Palatino"/>
          <w:b w:val="0"/>
          <w:bCs w:val="0"/>
          <w:sz w:val="22"/>
          <w:szCs w:val="22"/>
          <w:rtl w:val="0"/>
          <w:lang w:val="en-US"/>
        </w:rPr>
        <w:t>Seidr</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 xml:space="preserve">community, Bennett conveyed a struggle to find participants due to what was argued to be a </w:t>
      </w:r>
      <w:r>
        <w:rPr>
          <w:rFonts w:ascii="Palatino" w:hAnsi="Palatino" w:hint="default"/>
          <w:b w:val="0"/>
          <w:bCs w:val="0"/>
          <w:sz w:val="22"/>
          <w:szCs w:val="22"/>
          <w:rtl w:val="0"/>
          <w:lang w:val="en-US"/>
        </w:rPr>
        <w:t>‘</w:t>
      </w:r>
      <w:r>
        <w:rPr>
          <w:rFonts w:ascii="Palatino" w:hAnsi="Palatino"/>
          <w:b w:val="0"/>
          <w:bCs w:val="0"/>
          <w:sz w:val="22"/>
          <w:szCs w:val="22"/>
          <w:rtl w:val="0"/>
          <w:lang w:val="en-US"/>
        </w:rPr>
        <w:t>delicate</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 xml:space="preserve">subject. </w:t>
      </w:r>
      <w:r>
        <w:rPr>
          <w:rFonts w:ascii="Palatino" w:cs="Palatino" w:hAnsi="Palatino" w:eastAsia="Palatino"/>
          <w:b w:val="0"/>
          <w:bCs w:val="0"/>
          <w:sz w:val="22"/>
          <w:szCs w:val="22"/>
          <w:vertAlign w:val="superscript"/>
        </w:rPr>
        <w:footnoteReference w:id="18"/>
      </w:r>
      <w:r>
        <w:rPr>
          <w:rFonts w:ascii="Palatino" w:hAnsi="Palatino"/>
          <w:b w:val="0"/>
          <w:bCs w:val="0"/>
          <w:sz w:val="22"/>
          <w:szCs w:val="22"/>
          <w:rtl w:val="0"/>
          <w:lang w:val="en-US"/>
        </w:rPr>
        <w:t xml:space="preserve">  Despite this </w:t>
      </w:r>
      <w:r>
        <w:rPr>
          <w:rFonts w:ascii="Palatino" w:hAnsi="Palatino" w:hint="default"/>
          <w:b w:val="0"/>
          <w:bCs w:val="0"/>
          <w:sz w:val="22"/>
          <w:szCs w:val="22"/>
          <w:rtl w:val="0"/>
          <w:lang w:val="en-US"/>
        </w:rPr>
        <w:t>‘</w:t>
      </w:r>
      <w:r>
        <w:rPr>
          <w:rFonts w:ascii="Palatino" w:hAnsi="Palatino"/>
          <w:b w:val="0"/>
          <w:bCs w:val="0"/>
          <w:sz w:val="22"/>
          <w:szCs w:val="22"/>
          <w:rtl w:val="0"/>
          <w:lang w:val="en-US"/>
        </w:rPr>
        <w:t>delicacy</w:t>
      </w:r>
      <w:r>
        <w:rPr>
          <w:rFonts w:ascii="Palatino" w:hAnsi="Palatino" w:hint="default"/>
          <w:b w:val="0"/>
          <w:bCs w:val="0"/>
          <w:sz w:val="22"/>
          <w:szCs w:val="22"/>
          <w:rtl w:val="0"/>
          <w:lang w:val="en-US"/>
        </w:rPr>
        <w:t>’</w:t>
      </w:r>
      <w:r>
        <w:rPr>
          <w:rFonts w:ascii="Palatino" w:hAnsi="Palatino"/>
          <w:b w:val="0"/>
          <w:bCs w:val="0"/>
          <w:sz w:val="22"/>
          <w:szCs w:val="22"/>
          <w:rtl w:val="0"/>
          <w:lang w:val="en-US"/>
        </w:rPr>
        <w:t>, the chosen participants were clients of the author</w:t>
      </w:r>
      <w:r>
        <w:rPr>
          <w:rFonts w:ascii="Palatino" w:hAnsi="Palatino" w:hint="default"/>
          <w:b w:val="0"/>
          <w:bCs w:val="0"/>
          <w:sz w:val="22"/>
          <w:szCs w:val="22"/>
          <w:rtl w:val="0"/>
          <w:lang w:val="en-US"/>
        </w:rPr>
        <w:t>’</w:t>
      </w:r>
      <w:r>
        <w:rPr>
          <w:rFonts w:ascii="Palatino" w:hAnsi="Palatino"/>
          <w:b w:val="0"/>
          <w:bCs w:val="0"/>
          <w:sz w:val="22"/>
          <w:szCs w:val="22"/>
          <w:rtl w:val="0"/>
          <w:lang w:val="en-US"/>
        </w:rPr>
        <w:t>s father; however, the methodological challenges of participants were not addressed and neither were ethical considerations given.  Melb</w:t>
      </w:r>
      <w:r>
        <w:rPr>
          <w:rFonts w:ascii="Palatino" w:hAnsi="Palatino" w:hint="default"/>
          <w:b w:val="0"/>
          <w:bCs w:val="0"/>
          <w:sz w:val="22"/>
          <w:szCs w:val="22"/>
          <w:rtl w:val="0"/>
          <w:lang w:val="da-DK"/>
        </w:rPr>
        <w:t>ø</w:t>
      </w:r>
      <w:r>
        <w:rPr>
          <w:rFonts w:ascii="Palatino" w:hAnsi="Palatino"/>
          <w:b w:val="0"/>
          <w:bCs w:val="0"/>
          <w:sz w:val="22"/>
          <w:szCs w:val="22"/>
          <w:rtl w:val="0"/>
          <w:lang w:val="da-DK"/>
        </w:rPr>
        <w:t>e</w:t>
      </w:r>
      <w:r>
        <w:rPr>
          <w:rFonts w:ascii="Palatino" w:hAnsi="Palatino"/>
          <w:b w:val="0"/>
          <w:bCs w:val="0"/>
          <w:sz w:val="22"/>
          <w:szCs w:val="22"/>
          <w:rtl w:val="0"/>
          <w:lang w:val="en-US"/>
        </w:rPr>
        <w:t xml:space="preserve"> et.al. conducted a similarly delicate study. </w:t>
      </w:r>
      <w:r>
        <w:rPr>
          <w:rFonts w:ascii="Palatino" w:cs="Palatino" w:hAnsi="Palatino" w:eastAsia="Palatino"/>
          <w:b w:val="0"/>
          <w:bCs w:val="0"/>
          <w:sz w:val="22"/>
          <w:szCs w:val="22"/>
          <w:vertAlign w:val="superscript"/>
        </w:rPr>
        <w:footnoteReference w:id="19"/>
      </w:r>
      <w:r>
        <w:rPr>
          <w:rFonts w:ascii="Palatino" w:hAnsi="Palatino"/>
          <w:b w:val="0"/>
          <w:bCs w:val="0"/>
          <w:sz w:val="22"/>
          <w:szCs w:val="22"/>
          <w:rtl w:val="0"/>
          <w:lang w:val="en-US"/>
        </w:rPr>
        <w:t xml:space="preserve">  As discussed in their paper, a variation of ethical and methodological challenges arose, and great care had to be taken to ensure protection of the participants.  This was achieved by careful selection and collaboration with the participants.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 xml:space="preserve">Both authors chose a narrow research group, which is addressed by Blain and the limited amount of </w:t>
      </w:r>
      <w:r>
        <w:rPr>
          <w:rFonts w:ascii="Palatino" w:hAnsi="Palatino" w:hint="default"/>
          <w:b w:val="0"/>
          <w:bCs w:val="0"/>
          <w:sz w:val="22"/>
          <w:szCs w:val="22"/>
          <w:rtl w:val="0"/>
          <w:lang w:val="en-US"/>
        </w:rPr>
        <w:t>‘</w:t>
      </w:r>
      <w:r>
        <w:rPr>
          <w:rFonts w:ascii="Palatino" w:hAnsi="Palatino"/>
          <w:b w:val="0"/>
          <w:bCs w:val="0"/>
          <w:sz w:val="22"/>
          <w:szCs w:val="22"/>
          <w:rtl w:val="0"/>
          <w:lang w:val="en-US"/>
        </w:rPr>
        <w:t>Seidr</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practitioners.  Meanwhile, Bennett</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defined </w:t>
      </w:r>
      <w:r>
        <w:rPr>
          <w:rFonts w:ascii="Palatino" w:hAnsi="Palatino" w:hint="default"/>
          <w:b w:val="0"/>
          <w:bCs w:val="0"/>
          <w:sz w:val="22"/>
          <w:szCs w:val="22"/>
          <w:rtl w:val="0"/>
          <w:lang w:val="en-US"/>
        </w:rPr>
        <w:t>‘</w:t>
      </w:r>
      <w:r>
        <w:rPr>
          <w:rFonts w:ascii="Palatino" w:hAnsi="Palatino"/>
          <w:b w:val="0"/>
          <w:bCs w:val="0"/>
          <w:sz w:val="22"/>
          <w:szCs w:val="22"/>
          <w:rtl w:val="0"/>
          <w:lang w:val="en-US"/>
        </w:rPr>
        <w:t>fairly homogeneous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 xml:space="preserve">research group was not clarified in relation to the purpose of this choice, nor the challenges it may present in a study and its results. </w:t>
      </w:r>
      <w:r>
        <w:rPr>
          <w:rFonts w:ascii="Palatino" w:cs="Palatino" w:hAnsi="Palatino" w:eastAsia="Palatino"/>
          <w:b w:val="0"/>
          <w:bCs w:val="0"/>
          <w:sz w:val="22"/>
          <w:szCs w:val="22"/>
          <w:vertAlign w:val="superscript"/>
        </w:rPr>
        <w:footnoteReference w:id="2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cs="Palatino" w:hAnsi="Palatino" w:eastAsia="Palatino"/>
          <w:b w:val="0"/>
          <w:bCs w:val="0"/>
          <w:sz w:val="22"/>
          <w:szCs w:val="22"/>
          <w:rtl w:val="0"/>
        </w:rPr>
        <w:tab/>
        <w:t>The qualitative and the reflexive approaches were chosen for the studies.  Specific explorations of the authors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 xml:space="preserve">choice and the challenges </w:t>
      </w:r>
      <w:r>
        <w:rPr>
          <w:rFonts w:ascii="Palatino" w:hAnsi="Palatino"/>
          <w:b w:val="0"/>
          <w:bCs w:val="0"/>
          <w:sz w:val="22"/>
          <w:szCs w:val="22"/>
          <w:rtl w:val="0"/>
          <w:lang w:val="da-DK"/>
        </w:rPr>
        <w:t xml:space="preserve">the authors found in the chosen methodology </w:t>
      </w:r>
      <w:r>
        <w:rPr>
          <w:rFonts w:ascii="Palatino" w:hAnsi="Palatino"/>
          <w:b w:val="0"/>
          <w:bCs w:val="0"/>
          <w:sz w:val="22"/>
          <w:szCs w:val="22"/>
          <w:rtl w:val="0"/>
          <w:lang w:val="en-US"/>
        </w:rPr>
        <w:t>were partially explored, mainly by Blain.  This essay f</w:t>
      </w:r>
      <w:r>
        <w:rPr>
          <w:rFonts w:ascii="Palatino" w:hAnsi="Palatino"/>
          <w:b w:val="0"/>
          <w:bCs w:val="0"/>
          <w:sz w:val="22"/>
          <w:szCs w:val="22"/>
          <w:rtl w:val="0"/>
          <w:lang w:val="da-DK"/>
        </w:rPr>
        <w:t xml:space="preserve">urther </w:t>
      </w:r>
      <w:r>
        <w:rPr>
          <w:rFonts w:ascii="Palatino" w:hAnsi="Palatino"/>
          <w:b w:val="0"/>
          <w:bCs w:val="0"/>
          <w:sz w:val="22"/>
          <w:szCs w:val="22"/>
          <w:rtl w:val="0"/>
          <w:lang w:val="en-US"/>
        </w:rPr>
        <w:t>examined the awareness of the insider/outsider aspect.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i w:val="1"/>
          <w:iCs w:val="1"/>
          <w:sz w:val="22"/>
          <w:szCs w:val="22"/>
        </w:rPr>
      </w:pPr>
      <w:r>
        <w:rPr>
          <w:rFonts w:ascii="Palatino" w:hAnsi="Palatino"/>
          <w:b w:val="0"/>
          <w:bCs w:val="0"/>
          <w:i w:val="1"/>
          <w:iCs w:val="1"/>
          <w:sz w:val="22"/>
          <w:szCs w:val="22"/>
          <w:rtl w:val="0"/>
          <w:lang w:val="en-US"/>
        </w:rPr>
        <w:t>Insider/outsider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3"/>
          <w:footerReference w:type="default" r:id="rId14"/>
          <w:pgSz w:w="12240" w:h="15840" w:orient="portrait"/>
          <w:pgMar w:top="1134" w:right="1134" w:bottom="1134" w:left="1134" w:header="567" w:footer="720"/>
          <w:bidi w:val="0"/>
        </w:sectPr>
      </w:pPr>
      <w:r>
        <w:rPr>
          <w:rFonts w:ascii="Palatino" w:hAnsi="Palatino"/>
          <w:b w:val="0"/>
          <w:bCs w:val="0"/>
          <w:sz w:val="22"/>
          <w:szCs w:val="22"/>
          <w:rtl w:val="0"/>
          <w:lang w:val="en-US"/>
        </w:rPr>
        <w:t xml:space="preserve">Woods discussed the insider/outsider positioning and asked: </w:t>
      </w:r>
      <w:r>
        <w:rPr>
          <w:rFonts w:ascii="Palatino" w:hAnsi="Palatino" w:hint="default"/>
          <w:b w:val="0"/>
          <w:bCs w:val="0"/>
          <w:sz w:val="22"/>
          <w:szCs w:val="22"/>
          <w:rtl w:val="0"/>
          <w:lang w:val="en-US"/>
        </w:rPr>
        <w:t>‘</w:t>
      </w:r>
      <w:r>
        <w:rPr>
          <w:rFonts w:ascii="Palatino" w:hAnsi="Palatino"/>
          <w:b w:val="0"/>
          <w:bCs w:val="0"/>
          <w:sz w:val="22"/>
          <w:szCs w:val="22"/>
          <w:rtl w:val="0"/>
          <w:lang w:val="en-US"/>
        </w:rPr>
        <w:t>Are you one of us or one of them?</w:t>
      </w:r>
      <w:r>
        <w:rPr>
          <w:rFonts w:ascii="Palatino" w:hAnsi="Palatino" w:hint="default"/>
          <w:b w:val="0"/>
          <w:bCs w:val="0"/>
          <w:sz w:val="22"/>
          <w:szCs w:val="22"/>
          <w:rtl w:val="0"/>
          <w:lang w:val="en-US"/>
        </w:rPr>
        <w:t xml:space="preserve">’ </w:t>
      </w:r>
      <w:r>
        <w:rPr>
          <w:rFonts w:ascii="Palatino" w:cs="Palatino" w:hAnsi="Palatino" w:eastAsia="Palatino"/>
          <w:b w:val="0"/>
          <w:bCs w:val="0"/>
          <w:sz w:val="22"/>
          <w:szCs w:val="22"/>
          <w:vertAlign w:val="superscript"/>
        </w:rPr>
        <w:footnoteReference w:id="21"/>
      </w:r>
      <w:r>
        <w:rPr>
          <w:rFonts w:ascii="Palatino" w:hAnsi="Palatino"/>
          <w:b w:val="0"/>
          <w:bCs w:val="0"/>
          <w:sz w:val="22"/>
          <w:szCs w:val="22"/>
          <w:rtl w:val="0"/>
          <w:lang w:val="en-US"/>
        </w:rPr>
        <w:t xml:space="preserve">  Woods argued the importance of addressing researcher position within a research as it added thoroughness to studies.  </w:t>
      </w:r>
      <w:r>
        <w:rPr>
          <w:rFonts w:ascii="Palatino" w:hAnsi="Palatino"/>
          <w:b w:val="0"/>
          <w:bCs w:val="0"/>
          <w:sz w:val="22"/>
          <w:szCs w:val="22"/>
          <w:rtl w:val="0"/>
          <w:lang w:val="da-DK"/>
        </w:rPr>
        <w:t>While Bennett</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only consideration in relation to the insider/outsider positioning was the </w:t>
      </w:r>
      <w:r>
        <w:rPr>
          <w:rFonts w:ascii="Palatino" w:hAnsi="Palatino" w:hint="default"/>
          <w:b w:val="0"/>
          <w:bCs w:val="0"/>
          <w:sz w:val="22"/>
          <w:szCs w:val="22"/>
          <w:rtl w:val="0"/>
          <w:lang w:val="en-US"/>
        </w:rPr>
        <w:t>‘</w:t>
      </w:r>
      <w:r>
        <w:rPr>
          <w:rFonts w:ascii="Palatino" w:hAnsi="Palatino"/>
          <w:b w:val="0"/>
          <w:bCs w:val="0"/>
          <w:sz w:val="22"/>
          <w:szCs w:val="22"/>
          <w:rtl w:val="0"/>
          <w:lang w:val="en-US"/>
        </w:rPr>
        <w:t>fairly homogenous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 xml:space="preserve">group in the study, Blain expressed issues of the aspect as </w:t>
      </w:r>
      <w:r>
        <w:rPr>
          <w:rFonts w:ascii="Palatino" w:hAnsi="Palatino" w:hint="default"/>
          <w:b w:val="0"/>
          <w:bCs w:val="0"/>
          <w:sz w:val="22"/>
          <w:szCs w:val="22"/>
          <w:rtl w:val="0"/>
          <w:lang w:val="en-US"/>
        </w:rPr>
        <w:t>‘</w:t>
      </w:r>
      <w:r>
        <w:rPr>
          <w:rFonts w:ascii="Palatino" w:hAnsi="Palatino"/>
          <w:b w:val="0"/>
          <w:bCs w:val="0"/>
          <w:sz w:val="22"/>
          <w:szCs w:val="22"/>
          <w:rtl w:val="0"/>
          <w:lang w:val="en-US"/>
        </w:rPr>
        <w:t>two worlds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 xml:space="preserve">and further discussed the credibility of a researcher </w:t>
      </w:r>
      <w:r>
        <w:rPr>
          <w:rFonts w:ascii="Palatino" w:hAnsi="Palatino" w:hint="default"/>
          <w:b w:val="0"/>
          <w:bCs w:val="0"/>
          <w:sz w:val="22"/>
          <w:szCs w:val="22"/>
          <w:rtl w:val="0"/>
          <w:lang w:val="en-US"/>
        </w:rPr>
        <w:t>‘</w:t>
      </w:r>
      <w:r>
        <w:rPr>
          <w:rFonts w:ascii="Palatino" w:hAnsi="Palatino"/>
          <w:b w:val="0"/>
          <w:bCs w:val="0"/>
          <w:sz w:val="22"/>
          <w:szCs w:val="22"/>
          <w:rtl w:val="0"/>
          <w:lang w:val="en-US"/>
        </w:rPr>
        <w:t>going native</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 </w:t>
      </w:r>
      <w:r>
        <w:rPr>
          <w:rFonts w:ascii="Palatino" w:cs="Palatino" w:hAnsi="Palatino" w:eastAsia="Palatino"/>
          <w:b w:val="0"/>
          <w:bCs w:val="0"/>
          <w:sz w:val="22"/>
          <w:szCs w:val="22"/>
          <w:vertAlign w:val="superscript"/>
        </w:rPr>
        <w:footnoteReference w:id="22"/>
      </w:r>
      <w:r>
        <w:rPr>
          <w:rFonts w:ascii="Palatino" w:hAnsi="Palatino"/>
          <w:b w:val="0"/>
          <w:bCs w:val="0"/>
          <w:sz w:val="22"/>
          <w:szCs w:val="22"/>
          <w:rtl w:val="0"/>
          <w:lang w:val="en-US"/>
        </w:rPr>
        <w:t xml:space="preserve">  Blain</w:t>
      </w:r>
      <w:r>
        <w:rPr>
          <w:rFonts w:ascii="Palatino" w:hAnsi="Palatino" w:hint="default"/>
          <w:b w:val="0"/>
          <w:bCs w:val="0"/>
          <w:sz w:val="22"/>
          <w:szCs w:val="22"/>
          <w:rtl w:val="0"/>
          <w:lang w:val="en-US"/>
        </w:rPr>
        <w:t>’</w:t>
      </w:r>
      <w:r>
        <w:rPr>
          <w:rFonts w:ascii="Palatino" w:hAnsi="Palatino"/>
          <w:b w:val="0"/>
          <w:bCs w:val="0"/>
          <w:sz w:val="22"/>
          <w:szCs w:val="22"/>
          <w:rtl w:val="0"/>
          <w:lang w:val="en-US"/>
        </w:rPr>
        <w:t>s final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 xml:space="preserve">comment in the paper defined another insider/outsider view.  Blain argued: </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The reality of the customs officer is to me more alien than that of the dancers </w:t>
      </w:r>
      <w:r>
        <w:rPr>
          <w:rFonts w:ascii="Palatino" w:hAnsi="Palatino" w:hint="default"/>
          <w:b w:val="0"/>
          <w:bCs w:val="0"/>
          <w:sz w:val="22"/>
          <w:szCs w:val="22"/>
          <w:rtl w:val="0"/>
          <w:lang w:val="en-US"/>
        </w:rPr>
        <w:t>…’</w:t>
      </w:r>
      <w:r>
        <w:rPr>
          <w:rFonts w:ascii="Palatino" w:hAnsi="Palatino"/>
          <w:b w:val="0"/>
          <w:bCs w:val="0"/>
          <w:sz w:val="22"/>
          <w:szCs w:val="22"/>
          <w:rtl w:val="0"/>
          <w:lang w:val="en-US"/>
        </w:rPr>
        <w:t>.  The author examined her own words and thoughts in relation to this experience, however it could be argued whether she preconceived the customs officer</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attitudes towards </w:t>
      </w:r>
      <w:r>
        <w:rPr>
          <w:rFonts w:ascii="Palatino" w:hAnsi="Palatino" w:hint="default"/>
          <w:b w:val="0"/>
          <w:bCs w:val="0"/>
          <w:sz w:val="22"/>
          <w:szCs w:val="22"/>
          <w:rtl w:val="0"/>
          <w:lang w:val="en-US"/>
        </w:rPr>
        <w:t>‘</w:t>
      </w:r>
      <w:r>
        <w:rPr>
          <w:rFonts w:ascii="Palatino" w:hAnsi="Palatino"/>
          <w:b w:val="0"/>
          <w:bCs w:val="0"/>
          <w:sz w:val="22"/>
          <w:szCs w:val="22"/>
          <w:rtl w:val="0"/>
          <w:lang w:val="en-US"/>
        </w:rPr>
        <w:t>Seidr</w:t>
      </w:r>
      <w:r>
        <w:rPr>
          <w:rFonts w:ascii="Palatino" w:hAnsi="Palatino" w:hint="default"/>
          <w:b w:val="0"/>
          <w:bCs w:val="0"/>
          <w:sz w:val="22"/>
          <w:szCs w:val="22"/>
          <w:rtl w:val="0"/>
          <w:lang w:val="en-US"/>
        </w:rPr>
        <w:t>’</w:t>
      </w:r>
      <w:r>
        <w:rPr>
          <w:rFonts w:ascii="Palatino" w:hAnsi="Palatino"/>
          <w:b w:val="0"/>
          <w:bCs w:val="0"/>
          <w:sz w:val="22"/>
          <w:szCs w:val="22"/>
          <w:rtl w:val="0"/>
          <w:lang w:val="en-US"/>
        </w:rPr>
        <w:t>.  Despite Blain</w:t>
      </w:r>
      <w:r>
        <w:rPr>
          <w:rFonts w:ascii="Palatino" w:hAnsi="Palatino" w:hint="default"/>
          <w:b w:val="0"/>
          <w:bCs w:val="0"/>
          <w:sz w:val="22"/>
          <w:szCs w:val="22"/>
          <w:rtl w:val="0"/>
          <w:lang w:val="en-US"/>
        </w:rPr>
        <w:t>’</w:t>
      </w:r>
      <w:r>
        <w:rPr>
          <w:rFonts w:ascii="Palatino" w:hAnsi="Palatino"/>
          <w:b w:val="0"/>
          <w:bCs w:val="0"/>
          <w:sz w:val="22"/>
          <w:szCs w:val="22"/>
          <w:rtl w:val="0"/>
          <w:lang w:val="en-US"/>
        </w:rPr>
        <w:t>s complexity in addressing the insider/outsider aspect, it was however discussed, whereas the Bennett paper did not address the insider/outsider positioning.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cs="Palatino" w:hAnsi="Palatino" w:eastAsia="Palatino"/>
          <w:b w:val="0"/>
          <w:bCs w:val="0"/>
          <w:sz w:val="22"/>
          <w:szCs w:val="22"/>
          <w:rtl w:val="0"/>
        </w:rPr>
        <w:tab/>
        <w:t>Bennett potentially had an insider/outsider challenge by choosing to interview her father</w:t>
      </w:r>
      <w:r>
        <w:rPr>
          <w:rFonts w:ascii="Palatino" w:hAnsi="Palatino" w:hint="default"/>
          <w:b w:val="0"/>
          <w:bCs w:val="0"/>
          <w:sz w:val="22"/>
          <w:szCs w:val="22"/>
          <w:rtl w:val="0"/>
          <w:lang w:val="en-US"/>
        </w:rPr>
        <w:t>’</w:t>
      </w:r>
      <w:r>
        <w:rPr>
          <w:rFonts w:ascii="Palatino" w:hAnsi="Palatino"/>
          <w:b w:val="0"/>
          <w:bCs w:val="0"/>
          <w:sz w:val="22"/>
          <w:szCs w:val="22"/>
          <w:rtl w:val="0"/>
          <w:lang w:val="en-US"/>
        </w:rPr>
        <w:t>s clients during treatment.  The paper did not clarify how the author placed herself other than: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ind w:left="567" w:right="850" w:firstLine="0"/>
        <w:rPr>
          <w:rFonts w:ascii="Palatino" w:cs="Palatino" w:hAnsi="Palatino" w:eastAsia="Palatino"/>
          <w:b w:val="0"/>
          <w:bCs w:val="0"/>
          <w:sz w:val="22"/>
          <w:szCs w:val="22"/>
        </w:rPr>
      </w:pPr>
      <w:r>
        <w:rPr>
          <w:rFonts w:ascii="Palatino" w:hAnsi="Palatino"/>
          <w:b w:val="0"/>
          <w:bCs w:val="0"/>
          <w:sz w:val="22"/>
          <w:szCs w:val="22"/>
          <w:rtl w:val="0"/>
          <w:lang w:val="en-US"/>
        </w:rPr>
        <w:t xml:space="preserve">With their permission, I simply sat in on their treatment, told them what I was researching and how I was planning to use the material, and recorded everything that was said. </w:t>
      </w:r>
      <w:r>
        <w:rPr>
          <w:rFonts w:ascii="Palatino" w:cs="Palatino" w:hAnsi="Palatino" w:eastAsia="Palatino"/>
          <w:b w:val="0"/>
          <w:bCs w:val="0"/>
          <w:sz w:val="22"/>
          <w:szCs w:val="22"/>
          <w:vertAlign w:val="superscript"/>
        </w:rPr>
        <w:footnoteReference w:id="2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The author did not clarify whether the participants knew she was the daughter of the podiatrist or whether this may have effected the study and results; neither are the aspects of the possible issues of choice of participants addressed.  Bennett did not discuss or consider her own bias, as well as the participants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relationship with the podiatrist.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 xml:space="preserve">Simonsen mentioned the importance of people having a need to talk about folklore. </w:t>
      </w:r>
      <w:r>
        <w:rPr>
          <w:rFonts w:ascii="Palatino" w:cs="Palatino" w:hAnsi="Palatino" w:eastAsia="Palatino"/>
          <w:b w:val="0"/>
          <w:bCs w:val="0"/>
          <w:sz w:val="22"/>
          <w:szCs w:val="22"/>
          <w:vertAlign w:val="superscript"/>
        </w:rPr>
        <w:footnoteReference w:id="24"/>
      </w:r>
      <w:r>
        <w:rPr>
          <w:rFonts w:ascii="Palatino" w:hAnsi="Palatino"/>
          <w:b w:val="0"/>
          <w:bCs w:val="0"/>
          <w:sz w:val="22"/>
          <w:szCs w:val="22"/>
          <w:rtl w:val="0"/>
          <w:lang w:val="en-US"/>
        </w:rPr>
        <w:t xml:space="preserve">  Bennett expressed the elderly womens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 xml:space="preserve">willingness to share narratives </w:t>
      </w:r>
      <w:r>
        <w:rPr>
          <w:rFonts w:ascii="Palatino" w:cs="Palatino" w:hAnsi="Palatino" w:eastAsia="Palatino"/>
          <w:b w:val="0"/>
          <w:bCs w:val="0"/>
          <w:sz w:val="22"/>
          <w:szCs w:val="22"/>
          <w:vertAlign w:val="superscript"/>
        </w:rPr>
        <w:footnoteReference w:id="25"/>
      </w:r>
      <w:r>
        <w:rPr>
          <w:rFonts w:ascii="Palatino" w:hAnsi="Palatino"/>
          <w:b w:val="0"/>
          <w:bCs w:val="0"/>
          <w:sz w:val="22"/>
          <w:szCs w:val="22"/>
          <w:rtl w:val="0"/>
          <w:lang w:val="en-US"/>
        </w:rPr>
        <w:t xml:space="preserve">, but did not explore whether these narratives were affected by the circumstances of the interviews occurring during treatment.  Hennick et.al. described the importance of awareness of personal and interpersonal influences in research.  One case study expressed how even despite preparation into the insider/outsider aspect, a participant relationship was unintentionally compromised, which potentially could have occurred, for instance between the participants and their podiatrist. </w:t>
      </w:r>
      <w:r>
        <w:rPr>
          <w:rFonts w:ascii="Palatino" w:cs="Palatino" w:hAnsi="Palatino" w:eastAsia="Palatino"/>
          <w:b w:val="0"/>
          <w:bCs w:val="0"/>
          <w:sz w:val="22"/>
          <w:szCs w:val="22"/>
          <w:vertAlign w:val="superscript"/>
        </w:rPr>
        <w:footnoteReference w:id="2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i w:val="1"/>
          <w:iCs w:val="1"/>
          <w:sz w:val="22"/>
          <w:szCs w:val="22"/>
        </w:rPr>
      </w:pPr>
      <w:r>
        <w:rPr>
          <w:rFonts w:ascii="Palatino" w:hAnsi="Palatino"/>
          <w:b w:val="0"/>
          <w:bCs w:val="0"/>
          <w:i w:val="1"/>
          <w:iCs w:val="1"/>
          <w:sz w:val="22"/>
          <w:szCs w:val="22"/>
          <w:rtl w:val="0"/>
          <w:lang w:val="en-US"/>
        </w:rPr>
        <w:t>Ethical considerations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Hennick et. al. and Melb</w:t>
      </w:r>
      <w:r>
        <w:rPr>
          <w:rFonts w:ascii="Palatino" w:hAnsi="Palatino" w:hint="default"/>
          <w:b w:val="0"/>
          <w:bCs w:val="0"/>
          <w:sz w:val="22"/>
          <w:szCs w:val="22"/>
          <w:rtl w:val="0"/>
          <w:lang w:val="da-DK"/>
        </w:rPr>
        <w:t>ø</w:t>
      </w:r>
      <w:r>
        <w:rPr>
          <w:rFonts w:ascii="Palatino" w:hAnsi="Palatino"/>
          <w:b w:val="0"/>
          <w:bCs w:val="0"/>
          <w:sz w:val="22"/>
          <w:szCs w:val="22"/>
          <w:rtl w:val="0"/>
          <w:lang w:val="da-DK"/>
        </w:rPr>
        <w:t xml:space="preserve">e </w:t>
      </w:r>
      <w:r>
        <w:rPr>
          <w:rFonts w:ascii="Palatino" w:hAnsi="Palatino"/>
          <w:b w:val="0"/>
          <w:bCs w:val="0"/>
          <w:sz w:val="22"/>
          <w:szCs w:val="22"/>
          <w:rtl w:val="0"/>
          <w:lang w:val="en-US"/>
        </w:rPr>
        <w:t>et.al. both described the challenges of ethics in research.  Hennick described the wider challenge in qualitative research related to the proposed research outcome.  Qualitative research investigate participants knowledge, attitudes and emotions, all of which must be kept secure and anonymous.  Melb</w:t>
      </w:r>
      <w:r>
        <w:rPr>
          <w:rFonts w:ascii="Palatino" w:hAnsi="Palatino" w:hint="default"/>
          <w:b w:val="0"/>
          <w:bCs w:val="0"/>
          <w:sz w:val="22"/>
          <w:szCs w:val="22"/>
          <w:rtl w:val="0"/>
          <w:lang w:val="da-DK"/>
        </w:rPr>
        <w:t>ø</w:t>
      </w:r>
      <w:r>
        <w:rPr>
          <w:rFonts w:ascii="Palatino" w:hAnsi="Palatino"/>
          <w:b w:val="0"/>
          <w:bCs w:val="0"/>
          <w:sz w:val="22"/>
          <w:szCs w:val="22"/>
          <w:rtl w:val="0"/>
          <w:lang w:val="da-DK"/>
        </w:rPr>
        <w:t xml:space="preserve">e </w:t>
      </w:r>
      <w:r>
        <w:rPr>
          <w:rFonts w:ascii="Palatino" w:hAnsi="Palatino"/>
          <w:b w:val="0"/>
          <w:bCs w:val="0"/>
          <w:sz w:val="22"/>
          <w:szCs w:val="22"/>
          <w:rtl w:val="0"/>
          <w:lang w:val="en-US"/>
        </w:rPr>
        <w:t xml:space="preserve">also discussed safeguarding aspects towards the participants and the Saami people as a whole. </w:t>
      </w:r>
      <w:r>
        <w:rPr>
          <w:rFonts w:ascii="Palatino" w:cs="Palatino" w:hAnsi="Palatino" w:eastAsia="Palatino"/>
          <w:b w:val="0"/>
          <w:bCs w:val="0"/>
          <w:sz w:val="22"/>
          <w:szCs w:val="22"/>
          <w:vertAlign w:val="superscript"/>
        </w:rPr>
        <w:footnoteReference w:id="2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5"/>
          <w:footerReference w:type="default" r:id="rId16"/>
          <w:pgSz w:w="12240" w:h="15840" w:orient="portrait"/>
          <w:pgMar w:top="1134" w:right="1134" w:bottom="1134" w:left="1134" w:header="567" w:footer="720"/>
          <w:bidi w:val="0"/>
        </w:sectPr>
      </w:pPr>
      <w:r>
        <w:rPr>
          <w:rFonts w:ascii="Palatino" w:cs="Palatino" w:hAnsi="Palatino" w:eastAsia="Palatino"/>
          <w:b w:val="0"/>
          <w:bCs w:val="0"/>
          <w:sz w:val="22"/>
          <w:szCs w:val="22"/>
          <w:rtl w:val="0"/>
        </w:rPr>
        <w:tab/>
        <w:t>Neither of the compared papers in this essay discussed the aspects of ethics.  Blain</w:t>
      </w:r>
      <w:r>
        <w:rPr>
          <w:rFonts w:ascii="Palatino" w:hAnsi="Palatino" w:hint="default"/>
          <w:b w:val="0"/>
          <w:bCs w:val="0"/>
          <w:sz w:val="22"/>
          <w:szCs w:val="22"/>
          <w:rtl w:val="0"/>
          <w:lang w:val="en-US"/>
        </w:rPr>
        <w:t>’</w:t>
      </w:r>
      <w:r>
        <w:rPr>
          <w:rFonts w:ascii="Palatino" w:hAnsi="Palatino"/>
          <w:b w:val="0"/>
          <w:bCs w:val="0"/>
          <w:sz w:val="22"/>
          <w:szCs w:val="22"/>
          <w:rtl w:val="0"/>
          <w:lang w:val="en-US"/>
        </w:rPr>
        <w:t xml:space="preserve">s paper referred to the </w:t>
      </w:r>
      <w:r>
        <w:rPr>
          <w:rFonts w:ascii="Palatino" w:hAnsi="Palatino" w:hint="default"/>
          <w:b w:val="0"/>
          <w:bCs w:val="0"/>
          <w:sz w:val="22"/>
          <w:szCs w:val="22"/>
          <w:rtl w:val="0"/>
          <w:lang w:val="en-US"/>
        </w:rPr>
        <w:t>‘</w:t>
      </w:r>
      <w:r>
        <w:rPr>
          <w:rFonts w:ascii="Palatino" w:hAnsi="Palatino"/>
          <w:b w:val="0"/>
          <w:bCs w:val="0"/>
          <w:sz w:val="22"/>
          <w:szCs w:val="22"/>
          <w:rtl w:val="0"/>
          <w:lang w:val="en-US"/>
        </w:rPr>
        <w:t>Seidr</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community, naming two participants, who could possibly be identified.  Bennett</w:t>
      </w:r>
      <w:r>
        <w:rPr>
          <w:rFonts w:ascii="Palatino" w:hAnsi="Palatino" w:hint="default"/>
          <w:b w:val="0"/>
          <w:bCs w:val="0"/>
          <w:sz w:val="22"/>
          <w:szCs w:val="22"/>
          <w:rtl w:val="0"/>
          <w:lang w:val="en-US"/>
        </w:rPr>
        <w:t>’</w:t>
      </w:r>
      <w:r>
        <w:rPr>
          <w:rFonts w:ascii="Palatino" w:hAnsi="Palatino"/>
          <w:b w:val="0"/>
          <w:bCs w:val="0"/>
          <w:sz w:val="22"/>
          <w:szCs w:val="22"/>
          <w:rtl w:val="0"/>
          <w:lang w:val="en-US"/>
        </w:rPr>
        <w:t>s participants could also possibly be identified through the given podiatrist clinic information.  Personal information from the clinic was shared with Bennett, however it was not clarified whether this had the participants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consented.  At the same time, some informants are mentioned by name and not their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0"/>
          <w:bCs w:val="0"/>
          <w:sz w:val="22"/>
          <w:szCs w:val="22"/>
          <w:rtl w:val="0"/>
          <w:lang w:val="en-US"/>
        </w:rPr>
        <w:t>information code.  The endnotes do, however, state that the names are pseudonyms, but this is not clarified or discussed in the paper.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cs="Palatino" w:hAnsi="Palatino" w:eastAsia="Palatino"/>
          <w:b w:val="0"/>
          <w:bCs w:val="0"/>
          <w:sz w:val="22"/>
          <w:szCs w:val="22"/>
          <w:rtl w:val="0"/>
        </w:rPr>
        <w:tab/>
        <w:t xml:space="preserve">Both authors expressed some preconceived opinions.  Blain expressed the attitudes of the customs officer as well as finding it difficult to explain </w:t>
      </w:r>
      <w:r>
        <w:rPr>
          <w:rFonts w:ascii="Palatino" w:hAnsi="Palatino" w:hint="default"/>
          <w:b w:val="0"/>
          <w:bCs w:val="0"/>
          <w:sz w:val="22"/>
          <w:szCs w:val="22"/>
          <w:rtl w:val="0"/>
          <w:lang w:val="en-US"/>
        </w:rPr>
        <w:t>‘</w:t>
      </w:r>
      <w:r>
        <w:rPr>
          <w:rFonts w:ascii="Palatino" w:hAnsi="Palatino"/>
          <w:b w:val="0"/>
          <w:bCs w:val="0"/>
          <w:sz w:val="22"/>
          <w:szCs w:val="22"/>
          <w:rtl w:val="0"/>
          <w:lang w:val="en-US"/>
        </w:rPr>
        <w:t>Seidr</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to academics, as compared to Bennett mentioning participants</w:t>
      </w:r>
      <w:r>
        <w:rPr>
          <w:rFonts w:ascii="Palatino" w:hAnsi="Palatino" w:hint="default"/>
          <w:b w:val="0"/>
          <w:bCs w:val="0"/>
          <w:sz w:val="22"/>
          <w:szCs w:val="22"/>
          <w:rtl w:val="0"/>
          <w:lang w:val="en-US"/>
        </w:rPr>
        <w:t xml:space="preserve">’ </w:t>
      </w:r>
      <w:r>
        <w:rPr>
          <w:rFonts w:ascii="Palatino" w:hAnsi="Palatino"/>
          <w:b w:val="0"/>
          <w:bCs w:val="0"/>
          <w:sz w:val="22"/>
          <w:szCs w:val="22"/>
          <w:rtl w:val="0"/>
          <w:lang w:val="en-US"/>
        </w:rPr>
        <w:t>negative attitude to astrology.  These statements were not supported by evidence, neither from participants nor from the sources used in the respective papers.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One third of the sources in the Blain paper are the author</w:t>
      </w:r>
      <w:r>
        <w:rPr>
          <w:rFonts w:ascii="Palatino" w:hAnsi="Palatino" w:hint="default"/>
          <w:sz w:val="22"/>
          <w:szCs w:val="22"/>
          <w:rtl w:val="0"/>
          <w:lang w:val="en-US"/>
        </w:rPr>
        <w:t>’</w:t>
      </w:r>
      <w:r>
        <w:rPr>
          <w:rFonts w:ascii="Palatino" w:hAnsi="Palatino"/>
          <w:sz w:val="22"/>
          <w:szCs w:val="22"/>
          <w:rtl w:val="0"/>
          <w:lang w:val="en-US"/>
        </w:rPr>
        <w:t>s own.  The remaining main sources were drawn from books and two journals, although limited historical literature.  Further literature on the Saami traditions were, however, available at the time.  Sommarstr</w:t>
      </w:r>
      <w:r>
        <w:rPr>
          <w:rFonts w:ascii="Palatino" w:hAnsi="Palatino" w:hint="default"/>
          <w:sz w:val="22"/>
          <w:szCs w:val="22"/>
          <w:rtl w:val="0"/>
          <w:lang w:val="da-DK"/>
        </w:rPr>
        <w:t>ö</w:t>
      </w:r>
      <w:r>
        <w:rPr>
          <w:rFonts w:ascii="Palatino" w:hAnsi="Palatino"/>
          <w:sz w:val="22"/>
          <w:szCs w:val="22"/>
          <w:rtl w:val="0"/>
          <w:lang w:val="da-DK"/>
        </w:rPr>
        <w:t>m</w:t>
      </w:r>
      <w:r>
        <w:rPr>
          <w:rFonts w:ascii="Palatino" w:hAnsi="Palatino" w:hint="default"/>
          <w:sz w:val="22"/>
          <w:szCs w:val="22"/>
          <w:rtl w:val="0"/>
          <w:lang w:val="en-US"/>
        </w:rPr>
        <w:t>’</w:t>
      </w:r>
      <w:r>
        <w:rPr>
          <w:rFonts w:ascii="Palatino" w:hAnsi="Palatino"/>
          <w:sz w:val="22"/>
          <w:szCs w:val="22"/>
          <w:rtl w:val="0"/>
          <w:lang w:val="en-US"/>
        </w:rPr>
        <w:t xml:space="preserve">s paper described the Saami culture, seances and symbols in a very detailed manner, an insightful, historical review. </w:t>
      </w:r>
      <w:r>
        <w:rPr>
          <w:rFonts w:ascii="Palatino" w:cs="Palatino" w:hAnsi="Palatino" w:eastAsia="Palatino"/>
          <w:sz w:val="22"/>
          <w:szCs w:val="22"/>
          <w:vertAlign w:val="superscript"/>
        </w:rPr>
        <w:footnoteReference w:id="2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Blain focused on the ethnographical/anthropological aspects in the paper </w:t>
      </w:r>
      <w:r>
        <w:rPr>
          <w:rFonts w:ascii="Palatino" w:hAnsi="Palatino"/>
          <w:sz w:val="22"/>
          <w:szCs w:val="22"/>
          <w:rtl w:val="0"/>
          <w:lang w:val="en-US"/>
        </w:rPr>
        <w:t>through four sources relating to the subject,</w:t>
      </w:r>
      <w:r>
        <w:rPr>
          <w:rFonts w:ascii="Palatino" w:hAnsi="Palatino"/>
          <w:sz w:val="22"/>
          <w:szCs w:val="22"/>
          <w:rtl w:val="0"/>
          <w:lang w:val="en-US"/>
        </w:rPr>
        <w:t xml:space="preserve"> however the complexity of the insider/outsider positioning was not supported by sources.  Blain</w:t>
      </w:r>
      <w:r>
        <w:rPr>
          <w:rFonts w:ascii="Palatino" w:hAnsi="Palatino" w:hint="default"/>
          <w:sz w:val="22"/>
          <w:szCs w:val="22"/>
          <w:rtl w:val="0"/>
          <w:lang w:val="en-US"/>
        </w:rPr>
        <w:t>’</w:t>
      </w:r>
      <w:r>
        <w:rPr>
          <w:rFonts w:ascii="Palatino" w:hAnsi="Palatino"/>
          <w:sz w:val="22"/>
          <w:szCs w:val="22"/>
          <w:rtl w:val="0"/>
          <w:lang w:val="en-US"/>
        </w:rPr>
        <w:t xml:space="preserve">s list of references mentioned </w:t>
      </w:r>
      <w:r>
        <w:rPr>
          <w:rFonts w:ascii="Palatino" w:hAnsi="Palatino" w:hint="default"/>
          <w:sz w:val="22"/>
          <w:szCs w:val="22"/>
          <w:rtl w:val="0"/>
          <w:lang w:val="en-US"/>
        </w:rPr>
        <w:t>‘</w:t>
      </w:r>
      <w:r>
        <w:rPr>
          <w:rFonts w:ascii="Palatino" w:hAnsi="Palatino"/>
          <w:sz w:val="22"/>
          <w:szCs w:val="22"/>
          <w:rtl w:val="0"/>
          <w:lang w:val="de-DE"/>
        </w:rPr>
        <w:t>Hultkrantz 1992</w:t>
      </w:r>
      <w:r>
        <w:rPr>
          <w:rFonts w:ascii="Palatino" w:hAnsi="Palatino" w:hint="default"/>
          <w:sz w:val="22"/>
          <w:szCs w:val="22"/>
          <w:rtl w:val="0"/>
          <w:lang w:val="en-US"/>
        </w:rPr>
        <w:t>’</w:t>
      </w:r>
      <w:r>
        <w:rPr>
          <w:rFonts w:ascii="Palatino" w:hAnsi="Palatino"/>
          <w:sz w:val="22"/>
          <w:szCs w:val="22"/>
          <w:rtl w:val="0"/>
          <w:lang w:val="en-US"/>
        </w:rPr>
        <w:t xml:space="preserve"> and </w:t>
      </w:r>
      <w:r>
        <w:rPr>
          <w:rFonts w:ascii="Palatino" w:hAnsi="Palatino" w:hint="default"/>
          <w:sz w:val="22"/>
          <w:szCs w:val="22"/>
          <w:rtl w:val="0"/>
          <w:lang w:val="en-US"/>
        </w:rPr>
        <w:t>‘</w:t>
      </w:r>
      <w:r>
        <w:rPr>
          <w:rFonts w:ascii="Palatino" w:hAnsi="Palatino"/>
          <w:sz w:val="22"/>
          <w:szCs w:val="22"/>
          <w:rtl w:val="0"/>
        </w:rPr>
        <w:t>Markus, 1998</w:t>
      </w:r>
      <w:r>
        <w:rPr>
          <w:rFonts w:ascii="Palatino" w:hAnsi="Palatino" w:hint="default"/>
          <w:sz w:val="22"/>
          <w:szCs w:val="22"/>
          <w:rtl w:val="0"/>
          <w:lang w:val="en-US"/>
        </w:rPr>
        <w:t>’</w:t>
      </w:r>
      <w:r>
        <w:rPr>
          <w:rFonts w:ascii="Palatino" w:hAnsi="Palatino"/>
          <w:sz w:val="22"/>
          <w:szCs w:val="22"/>
          <w:rtl w:val="0"/>
          <w:lang w:val="en-US"/>
        </w:rPr>
        <w:t xml:space="preserve">, which are not referenced in the paper, and the paper referenced: </w:t>
      </w:r>
      <w:r>
        <w:rPr>
          <w:rFonts w:ascii="Palatino" w:hAnsi="Palatino" w:hint="default"/>
          <w:sz w:val="22"/>
          <w:szCs w:val="22"/>
          <w:rtl w:val="0"/>
          <w:lang w:val="en-US"/>
        </w:rPr>
        <w:t>‘</w:t>
      </w:r>
      <w:r>
        <w:rPr>
          <w:rFonts w:ascii="Palatino" w:hAnsi="Palatino"/>
          <w:sz w:val="22"/>
          <w:szCs w:val="22"/>
          <w:rtl w:val="0"/>
          <w:lang w:val="en-US"/>
        </w:rPr>
        <w:t>Dowson, 1996</w:t>
      </w:r>
      <w:r>
        <w:rPr>
          <w:rFonts w:ascii="Palatino" w:hAnsi="Palatino"/>
          <w:sz w:val="22"/>
          <w:szCs w:val="22"/>
          <w:rtl w:val="0"/>
          <w:lang w:val="en-US"/>
        </w:rPr>
        <w:t>'</w:t>
      </w:r>
      <w:r>
        <w:rPr>
          <w:rFonts w:ascii="Palatino" w:hAnsi="Palatino"/>
          <w:sz w:val="22"/>
          <w:szCs w:val="22"/>
          <w:rtl w:val="0"/>
          <w:lang w:val="fr-FR"/>
        </w:rPr>
        <w:t xml:space="preserve"> on page 4; </w:t>
      </w:r>
      <w:r>
        <w:rPr>
          <w:rFonts w:ascii="Palatino" w:hAnsi="Palatino" w:hint="default"/>
          <w:sz w:val="22"/>
          <w:szCs w:val="22"/>
          <w:rtl w:val="0"/>
          <w:lang w:val="en-US"/>
        </w:rPr>
        <w:t>‘</w:t>
      </w:r>
      <w:r>
        <w:rPr>
          <w:rFonts w:ascii="Palatino" w:hAnsi="Palatino"/>
          <w:sz w:val="22"/>
          <w:szCs w:val="22"/>
          <w:rtl w:val="0"/>
        </w:rPr>
        <w:t>Eliade, 1964</w:t>
      </w:r>
      <w:r>
        <w:rPr>
          <w:rFonts w:ascii="Palatino" w:hAnsi="Palatino" w:hint="default"/>
          <w:sz w:val="22"/>
          <w:szCs w:val="22"/>
          <w:rtl w:val="0"/>
          <w:lang w:val="en-US"/>
        </w:rPr>
        <w:t>’</w:t>
      </w:r>
      <w:r>
        <w:rPr>
          <w:rFonts w:ascii="Palatino" w:hAnsi="Palatino"/>
          <w:sz w:val="22"/>
          <w:szCs w:val="22"/>
          <w:rtl w:val="0"/>
          <w:lang w:val="en-US"/>
        </w:rPr>
        <w:t xml:space="preserve"> on page 5; and </w:t>
      </w:r>
      <w:r>
        <w:rPr>
          <w:rFonts w:ascii="Palatino" w:hAnsi="Palatino" w:hint="default"/>
          <w:sz w:val="22"/>
          <w:szCs w:val="22"/>
          <w:rtl w:val="0"/>
          <w:lang w:val="en-US"/>
        </w:rPr>
        <w:t>‘</w:t>
      </w:r>
      <w:r>
        <w:rPr>
          <w:rFonts w:ascii="Palatino" w:hAnsi="Palatino"/>
          <w:sz w:val="22"/>
          <w:szCs w:val="22"/>
          <w:rtl w:val="0"/>
          <w:lang w:val="da-DK"/>
        </w:rPr>
        <w:t>Diane Paxson</w:t>
      </w:r>
      <w:r>
        <w:rPr>
          <w:rFonts w:ascii="Palatino" w:hAnsi="Palatino" w:hint="default"/>
          <w:sz w:val="22"/>
          <w:szCs w:val="22"/>
          <w:rtl w:val="0"/>
          <w:lang w:val="en-US"/>
        </w:rPr>
        <w:t>’</w:t>
      </w:r>
      <w:r>
        <w:rPr>
          <w:rFonts w:ascii="Palatino" w:hAnsi="Palatino"/>
          <w:sz w:val="22"/>
          <w:szCs w:val="22"/>
          <w:rtl w:val="0"/>
          <w:lang w:val="fr-FR"/>
        </w:rPr>
        <w:t xml:space="preserve"> on page 6</w:t>
      </w:r>
      <w:r>
        <w:rPr>
          <w:rFonts w:ascii="Palatino" w:hAnsi="Palatino"/>
          <w:sz w:val="22"/>
          <w:szCs w:val="22"/>
          <w:rtl w:val="0"/>
          <w:lang w:val="en-US"/>
        </w:rPr>
        <w:t>, which are not mentioned in the references list.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Finally, the seance narratives in Blain</w:t>
      </w:r>
      <w:r>
        <w:rPr>
          <w:rFonts w:ascii="Palatino" w:hAnsi="Palatino" w:hint="default"/>
          <w:sz w:val="22"/>
          <w:szCs w:val="22"/>
          <w:rtl w:val="0"/>
          <w:lang w:val="en-US"/>
        </w:rPr>
        <w:t>’</w:t>
      </w:r>
      <w:r>
        <w:rPr>
          <w:rFonts w:ascii="Palatino" w:hAnsi="Palatino"/>
          <w:sz w:val="22"/>
          <w:szCs w:val="22"/>
          <w:rtl w:val="0"/>
          <w:lang w:val="en-US"/>
        </w:rPr>
        <w:t>s paper did not specify the narrator.  It could be suggested that the author wanted the reader to remain neutral towards the narratives, although the intention was not discussed in the paper.  The use of sources, evidence and referencing were comparatively approached differently in the Bennett paper.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Bennett used references mainly to support the historical part of the paper.  The references were not consistently referenced by name </w:t>
      </w:r>
      <w:r>
        <w:rPr>
          <w:rFonts w:ascii="Palatino" w:hAnsi="Palatino"/>
          <w:sz w:val="22"/>
          <w:szCs w:val="22"/>
          <w:rtl w:val="0"/>
          <w:lang w:val="en-US"/>
        </w:rPr>
        <w:t xml:space="preserve">in the </w:t>
      </w:r>
      <w:r>
        <w:rPr>
          <w:rFonts w:ascii="Palatino" w:hAnsi="Palatino"/>
          <w:sz w:val="22"/>
          <w:szCs w:val="22"/>
          <w:rtl w:val="0"/>
          <w:lang w:val="en-US"/>
        </w:rPr>
        <w:t>body of the text, including references to the author</w:t>
      </w:r>
      <w:r>
        <w:rPr>
          <w:rFonts w:ascii="Palatino" w:hAnsi="Palatino" w:hint="default"/>
          <w:sz w:val="22"/>
          <w:szCs w:val="22"/>
          <w:rtl w:val="0"/>
          <w:lang w:val="en-US"/>
        </w:rPr>
        <w:t>’</w:t>
      </w:r>
      <w:r>
        <w:rPr>
          <w:rFonts w:ascii="Palatino" w:hAnsi="Palatino"/>
          <w:sz w:val="22"/>
          <w:szCs w:val="22"/>
          <w:rtl w:val="0"/>
          <w:lang w:val="en-US"/>
        </w:rPr>
        <w:t xml:space="preserve">s previous work, thus the endnotes had to consulted for evidence.  Bennett described the historical perspective through books descriptive of omens, foreknowledge and divination as well as visions, astrology and psychics.  However, resources on the historical aspect from 1925 onwards was based mainly on previously conducted surveys, and other sources were not mentioned.  The traditions discussed in the paper may have been expressed in other forms of material at the time, as discussed by Kalvig </w:t>
      </w:r>
      <w:r>
        <w:rPr>
          <w:rFonts w:ascii="Palatino" w:hAnsi="Palatino"/>
          <w:sz w:val="22"/>
          <w:szCs w:val="22"/>
          <w:rtl w:val="0"/>
          <w:lang w:val="en-US"/>
        </w:rPr>
        <w:t>in present culture</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29"/>
      </w:r>
      <w:r>
        <w:rPr>
          <w:rFonts w:ascii="Palatino" w:hAnsi="Palatino"/>
          <w:sz w:val="22"/>
          <w:szCs w:val="22"/>
          <w:rtl w:val="0"/>
          <w:lang w:val="en-US"/>
        </w:rPr>
        <w:t xml:space="preserve">  Kalvig</w:t>
      </w:r>
      <w:r>
        <w:rPr>
          <w:rFonts w:ascii="Palatino" w:hAnsi="Palatino" w:hint="default"/>
          <w:sz w:val="22"/>
          <w:szCs w:val="22"/>
          <w:rtl w:val="0"/>
          <w:lang w:val="en-US"/>
        </w:rPr>
        <w:t>’</w:t>
      </w:r>
      <w:r>
        <w:rPr>
          <w:rFonts w:ascii="Palatino" w:hAnsi="Palatino"/>
          <w:sz w:val="22"/>
          <w:szCs w:val="22"/>
          <w:rtl w:val="0"/>
          <w:lang w:val="en-US"/>
        </w:rPr>
        <w:t>s paper argued how a growing interest in folklore became a resource in movies, crime series and even the European Song Contest.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In the paper</w:t>
      </w:r>
      <w:r>
        <w:rPr>
          <w:rFonts w:ascii="Palatino" w:hAnsi="Palatino" w:hint="default"/>
          <w:sz w:val="22"/>
          <w:szCs w:val="22"/>
          <w:rtl w:val="0"/>
          <w:lang w:val="en-US"/>
        </w:rPr>
        <w:t>’</w:t>
      </w:r>
      <w:r>
        <w:rPr>
          <w:rFonts w:ascii="Palatino" w:hAnsi="Palatino"/>
          <w:sz w:val="22"/>
          <w:szCs w:val="22"/>
          <w:rtl w:val="0"/>
          <w:lang w:val="en-US"/>
        </w:rPr>
        <w:t xml:space="preserve">s findings, Bennett referenced mainly participants and her own previous work.  Bennett quoted 10 of the 120 interviewees, although subsequently presented new interviewees in the conclusion.  Neither the aspect of the number of participants quoted, nor the aspect of having presented new interviewees (and thereby evidence) in the conclusion, were clarified by reasons or intentions.  Finally, Bennett referred to the participants inconsistently as: </w:t>
      </w:r>
      <w:r>
        <w:rPr>
          <w:rFonts w:ascii="Palatino" w:hAnsi="Palatino" w:hint="default"/>
          <w:sz w:val="22"/>
          <w:szCs w:val="22"/>
          <w:rtl w:val="0"/>
          <w:lang w:val="en-US"/>
        </w:rPr>
        <w:t>‘</w:t>
      </w:r>
      <w:r>
        <w:rPr>
          <w:rFonts w:ascii="Palatino" w:hAnsi="Palatino"/>
          <w:sz w:val="22"/>
          <w:szCs w:val="22"/>
          <w:rtl w:val="0"/>
          <w:lang w:val="en-US"/>
        </w:rPr>
        <w:t>informants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woman</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women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the woman</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the women</w:t>
      </w:r>
      <w:r>
        <w:rPr>
          <w:rFonts w:ascii="Palatino" w:hAnsi="Palatino" w:hint="default"/>
          <w:sz w:val="22"/>
          <w:szCs w:val="22"/>
          <w:rtl w:val="0"/>
          <w:lang w:val="en-US"/>
        </w:rPr>
        <w:t xml:space="preserve">’ </w:t>
      </w:r>
      <w:r>
        <w:rPr>
          <w:rFonts w:ascii="Palatino" w:hAnsi="Palatino"/>
          <w:sz w:val="22"/>
          <w:szCs w:val="22"/>
          <w:rtl w:val="0"/>
          <w:lang w:val="en-US"/>
        </w:rPr>
        <w:t>and pseudonym names, which made participants indistinct.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7"/>
          <w:footerReference w:type="default" r:id="rId18"/>
          <w:pgSz w:w="12240" w:h="15840" w:orient="portrait"/>
          <w:pgMar w:top="1134" w:right="1134" w:bottom="1134" w:left="1134" w:header="567" w:footer="720"/>
          <w:bidi w:val="0"/>
        </w:sectPr>
      </w:pPr>
      <w:r>
        <w:rPr>
          <w:rFonts w:ascii="Palatino" w:cs="Palatino" w:hAnsi="Palatino" w:eastAsia="Palatino"/>
          <w:sz w:val="22"/>
          <w:szCs w:val="22"/>
          <w:rtl w:val="0"/>
        </w:rPr>
        <w:tab/>
        <w:t>Bell and Waters described that a selection of literature should consider findings of others and then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analyse those. </w:t>
      </w:r>
      <w:r>
        <w:rPr>
          <w:rFonts w:ascii="Palatino" w:cs="Palatino" w:hAnsi="Palatino" w:eastAsia="Palatino"/>
          <w:sz w:val="22"/>
          <w:szCs w:val="22"/>
          <w:vertAlign w:val="superscript"/>
        </w:rPr>
        <w:footnoteReference w:id="30"/>
      </w:r>
      <w:r>
        <w:rPr>
          <w:rFonts w:ascii="Palatino" w:hAnsi="Palatino"/>
          <w:sz w:val="22"/>
          <w:szCs w:val="22"/>
          <w:rtl w:val="0"/>
          <w:lang w:val="en-US"/>
        </w:rPr>
        <w:t xml:space="preserve">  Both the Blain and the Bennett paper, discussed in this essay, had a range of supporting material, though in comparing and contrasting, the Blain paper had less analysed information on the subjects and the literature.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has </w:t>
      </w:r>
      <w:r>
        <w:rPr>
          <w:rFonts w:ascii="Palatino" w:hAnsi="Palatino"/>
          <w:sz w:val="22"/>
          <w:szCs w:val="22"/>
          <w:rtl w:val="0"/>
          <w:lang w:val="en-US"/>
        </w:rPr>
        <w:t xml:space="preserve">critically compared and contrasted two papers by Bennett </w:t>
      </w:r>
      <w:r>
        <w:rPr>
          <w:rFonts w:ascii="Palatino" w:hAnsi="Palatino"/>
          <w:sz w:val="22"/>
          <w:szCs w:val="22"/>
          <w:rtl w:val="0"/>
          <w:lang w:val="en-US"/>
        </w:rPr>
        <w:t xml:space="preserve">and </w:t>
      </w:r>
      <w:r>
        <w:rPr>
          <w:rFonts w:ascii="Palatino" w:hAnsi="Palatino"/>
          <w:sz w:val="22"/>
          <w:szCs w:val="22"/>
          <w:rtl w:val="0"/>
        </w:rPr>
        <w:t>Blain</w:t>
      </w:r>
      <w:r>
        <w:rPr>
          <w:rFonts w:ascii="Palatino" w:hAnsi="Palatino"/>
          <w:sz w:val="22"/>
          <w:szCs w:val="22"/>
          <w:rtl w:val="0"/>
          <w:lang w:val="en-US"/>
        </w:rPr>
        <w:t xml:space="preserve"> respectively</w:t>
      </w:r>
      <w:r>
        <w:rPr>
          <w:rFonts w:ascii="Palatino" w:hAnsi="Palatino"/>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1"/>
      </w:r>
      <w:r>
        <w:rPr>
          <w:rFonts w:ascii="Palatino" w:hAnsi="Palatino"/>
          <w:sz w:val="22"/>
          <w:szCs w:val="22"/>
          <w:rtl w:val="0"/>
          <w:lang w:val="en-US"/>
        </w:rPr>
        <w:t xml:space="preserve">  Both papers studied folklore in beliefs and practices, and both were written in the nineteen-nineties as well as being presented at folklore conferences in the same decade.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analysis of the papers identified that both authors approached their study through qualitative methodology and that the Blain paper further used a reflexive approach of using herself in the research.  Through these methodologies the authors studied and explored attitudes within their scholarship.  The analysis showed that challenges of the chosen methodologies,</w:t>
      </w:r>
      <w:r>
        <w:rPr>
          <w:rFonts w:ascii="Palatino" w:hAnsi="Palatino"/>
          <w:sz w:val="22"/>
          <w:szCs w:val="22"/>
          <w:rtl w:val="0"/>
          <w:lang w:val="en-US"/>
        </w:rPr>
        <w:t xml:space="preserve"> for instance bias,</w:t>
      </w:r>
      <w:r>
        <w:rPr>
          <w:rFonts w:ascii="Palatino" w:hAnsi="Palatino"/>
          <w:sz w:val="22"/>
          <w:szCs w:val="22"/>
          <w:rtl w:val="0"/>
          <w:lang w:val="en-US"/>
        </w:rPr>
        <w:t xml:space="preserve"> were only partially approached by the authors and, in comparison, mainly by Blain.  </w:t>
      </w:r>
      <w:r>
        <w:rPr>
          <w:rFonts w:ascii="Palatino" w:hAnsi="Palatino"/>
          <w:sz w:val="22"/>
          <w:szCs w:val="22"/>
          <w:rtl w:val="0"/>
          <w:lang w:val="en-US"/>
        </w:rPr>
        <w:t>By contrasting the analysed papers, Blain</w:t>
      </w:r>
      <w:r>
        <w:rPr>
          <w:rFonts w:ascii="Palatino" w:hAnsi="Palatino" w:hint="default"/>
          <w:sz w:val="22"/>
          <w:szCs w:val="22"/>
          <w:rtl w:val="0"/>
          <w:lang w:val="en-US"/>
        </w:rPr>
        <w:t>’</w:t>
      </w:r>
      <w:r>
        <w:rPr>
          <w:rFonts w:ascii="Palatino" w:hAnsi="Palatino"/>
          <w:sz w:val="22"/>
          <w:szCs w:val="22"/>
          <w:rtl w:val="0"/>
          <w:lang w:val="en-US"/>
        </w:rPr>
        <w:t xml:space="preserve">s chosen reflexive methodology aimed to close the gap between two </w:t>
      </w:r>
      <w:r>
        <w:rPr>
          <w:rFonts w:ascii="Palatino" w:hAnsi="Palatino" w:hint="default"/>
          <w:sz w:val="22"/>
          <w:szCs w:val="22"/>
          <w:rtl w:val="0"/>
          <w:lang w:val="en-US"/>
        </w:rPr>
        <w:t>‘</w:t>
      </w:r>
      <w:r>
        <w:rPr>
          <w:rFonts w:ascii="Palatino" w:hAnsi="Palatino"/>
          <w:sz w:val="22"/>
          <w:szCs w:val="22"/>
          <w:rtl w:val="0"/>
          <w:lang w:val="en-US"/>
        </w:rPr>
        <w:t>worlds</w:t>
      </w:r>
      <w:r>
        <w:rPr>
          <w:rFonts w:ascii="Palatino" w:hAnsi="Palatino" w:hint="default"/>
          <w:sz w:val="22"/>
          <w:szCs w:val="22"/>
          <w:rtl w:val="0"/>
          <w:lang w:val="en-US"/>
        </w:rPr>
        <w:t xml:space="preserve">’ </w:t>
      </w:r>
      <w:r>
        <w:rPr>
          <w:rFonts w:ascii="Palatino" w:hAnsi="Palatino"/>
          <w:sz w:val="22"/>
          <w:szCs w:val="22"/>
          <w:rtl w:val="0"/>
          <w:lang w:val="en-US"/>
        </w:rPr>
        <w:t>and offered in-depth descriptions through the narratives.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It was found that both papers presented a challenge in the insider/outsider positioning of the author in their studies.  While </w:t>
      </w:r>
      <w:r>
        <w:rPr>
          <w:rFonts w:ascii="Palatino" w:hAnsi="Palatino"/>
          <w:sz w:val="22"/>
          <w:szCs w:val="22"/>
          <w:rtl w:val="0"/>
          <w:lang w:val="en-US"/>
        </w:rPr>
        <w:t xml:space="preserve">Bennett did not </w:t>
      </w:r>
      <w:r>
        <w:rPr>
          <w:rFonts w:ascii="Palatino" w:hAnsi="Palatino"/>
          <w:sz w:val="22"/>
          <w:szCs w:val="22"/>
          <w:rtl w:val="0"/>
          <w:lang w:val="en-US"/>
        </w:rPr>
        <w:t>address this aspect despite the potentially insider/outsider role being challenged, Blain discussed the</w:t>
      </w:r>
      <w:r>
        <w:rPr>
          <w:rFonts w:ascii="Palatino" w:hAnsi="Palatino"/>
          <w:sz w:val="22"/>
          <w:szCs w:val="22"/>
          <w:rtl w:val="0"/>
          <w:lang w:val="en-US"/>
        </w:rPr>
        <w:t xml:space="preserve"> complexity through being both an insider, the </w:t>
      </w:r>
      <w:r>
        <w:rPr>
          <w:rFonts w:ascii="Palatino" w:hAnsi="Palatino" w:hint="default"/>
          <w:sz w:val="22"/>
          <w:szCs w:val="22"/>
          <w:rtl w:val="0"/>
          <w:lang w:val="en-US"/>
        </w:rPr>
        <w:t>‘</w:t>
      </w:r>
      <w:r>
        <w:rPr>
          <w:rFonts w:ascii="Palatino" w:hAnsi="Palatino"/>
          <w:sz w:val="22"/>
          <w:szCs w:val="22"/>
          <w:rtl w:val="0"/>
          <w:lang w:val="en-US"/>
        </w:rPr>
        <w:t>Seidr</w:t>
      </w:r>
      <w:r>
        <w:rPr>
          <w:rFonts w:ascii="Palatino" w:hAnsi="Palatino" w:hint="default"/>
          <w:sz w:val="22"/>
          <w:szCs w:val="22"/>
          <w:rtl w:val="0"/>
          <w:lang w:val="en-US"/>
        </w:rPr>
        <w:t xml:space="preserve">’ </w:t>
      </w:r>
      <w:r>
        <w:rPr>
          <w:rFonts w:ascii="Palatino" w:hAnsi="Palatino"/>
          <w:sz w:val="22"/>
          <w:szCs w:val="22"/>
          <w:rtl w:val="0"/>
          <w:lang w:val="en-US"/>
        </w:rPr>
        <w:t xml:space="preserve">practitioner, and an outsider, the anthropologist, in the study of </w:t>
      </w:r>
      <w:r>
        <w:rPr>
          <w:rFonts w:ascii="Palatino" w:hAnsi="Palatino" w:hint="default"/>
          <w:sz w:val="22"/>
          <w:szCs w:val="22"/>
          <w:rtl w:val="0"/>
          <w:lang w:val="en-US"/>
        </w:rPr>
        <w:t>‘</w:t>
      </w:r>
      <w:r>
        <w:rPr>
          <w:rFonts w:ascii="Palatino" w:hAnsi="Palatino"/>
          <w:sz w:val="22"/>
          <w:szCs w:val="22"/>
          <w:rtl w:val="0"/>
          <w:lang w:val="en-US"/>
        </w:rPr>
        <w:t>Seidr</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sz w:val="22"/>
          <w:szCs w:val="22"/>
          <w:rtl w:val="0"/>
          <w:lang w:val="en-US"/>
        </w:rPr>
        <w:t xml:space="preserve">  By comparing the two papers, this essay argued the importance of approaching and discussing the insider/outsider positioning in research.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final main finding concerned ethics in </w:t>
      </w:r>
      <w:r>
        <w:rPr>
          <w:rFonts w:ascii="Palatino" w:hAnsi="Palatino"/>
          <w:sz w:val="22"/>
          <w:szCs w:val="22"/>
          <w:rtl w:val="0"/>
          <w:lang w:val="en-US"/>
        </w:rPr>
        <w:t>qualitative research</w:t>
      </w:r>
      <w:r>
        <w:rPr>
          <w:rFonts w:ascii="Palatino" w:hAnsi="Palatino"/>
          <w:sz w:val="22"/>
          <w:szCs w:val="22"/>
          <w:rtl w:val="0"/>
          <w:lang w:val="en-US"/>
        </w:rPr>
        <w:t xml:space="preserve"> and how ethics were not addressed by either papers as an important aspect in order to keep participant data secure and anonymous.  As argued, both papers could potentially lead to participants being identified.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The insights gained from this study may be of assistance to</w:t>
      </w:r>
      <w:r>
        <w:rPr>
          <w:rFonts w:ascii="Palatino" w:hAnsi="Palatino"/>
          <w:sz w:val="22"/>
          <w:szCs w:val="22"/>
          <w:rtl w:val="0"/>
          <w:lang w:val="en-US"/>
        </w:rPr>
        <w:t xml:space="preserve"> researchers wanting to use qualitative methodology, </w:t>
      </w:r>
      <w:r>
        <w:rPr>
          <w:rFonts w:ascii="Palatino" w:hAnsi="Palatino"/>
          <w:sz w:val="22"/>
          <w:szCs w:val="22"/>
          <w:rtl w:val="0"/>
          <w:lang w:val="en-US"/>
        </w:rPr>
        <w:t>particularly with regard to methodology, the insider/outsider continuum and use of sources.  In folklore, comprehensive knowledge is kept within beliefs, sayings, traditions or sagas; expressed by singing, dancing or telling, or by a specific way of practice, potentially inspiring in-depth qualitative and reflexive studies.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9"/>
          <w:footerReference w:type="default" r:id="rId20"/>
          <w:pgSz w:w="12240" w:h="15840" w:orient="portrait"/>
          <w:pgMar w:top="1134" w:right="1134" w:bottom="1134" w:left="1134" w:header="567" w:footer="720"/>
          <w:bidi w:val="0"/>
        </w:sectPr>
      </w:pPr>
    </w:p>
    <w:p>
      <w:pPr>
        <w:pStyle w:val="Body"/>
        <w:spacing w:before="0"/>
        <w:rPr>
          <w:rFonts w:ascii="Palatino" w:cs="Palatino" w:hAnsi="Palatino" w:eastAsia="Palatino"/>
          <w:b w:val="1"/>
          <w:bCs w:val="1"/>
          <w:sz w:val="22"/>
          <w:szCs w:val="22"/>
        </w:rPr>
      </w:pPr>
      <w:r>
        <w:rPr>
          <w:rFonts w:ascii="Palatino" w:hAnsi="Palatino"/>
          <w:b w:val="1"/>
          <w:bCs w:val="1"/>
          <w:sz w:val="22"/>
          <w:szCs w:val="22"/>
          <w:rtl w:val="0"/>
          <w:lang w:val="en-US"/>
        </w:rPr>
        <w:t>Bibliography</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Bell, </w:t>
      </w:r>
      <w:r>
        <w:rPr>
          <w:rFonts w:ascii="Palatino" w:hAnsi="Palatino"/>
          <w:sz w:val="22"/>
          <w:szCs w:val="22"/>
          <w:rtl w:val="0"/>
          <w:lang w:val="en-US"/>
        </w:rPr>
        <w:t>Judith</w:t>
      </w:r>
      <w:r>
        <w:rPr>
          <w:rFonts w:ascii="Palatino" w:hAnsi="Palatino"/>
          <w:sz w:val="22"/>
          <w:szCs w:val="22"/>
          <w:rtl w:val="0"/>
          <w:lang w:val="en-US"/>
        </w:rPr>
        <w:t xml:space="preserve"> and Stephen Waters, </w:t>
      </w:r>
      <w:r>
        <w:rPr>
          <w:rFonts w:ascii="Palatino" w:hAnsi="Palatino"/>
          <w:i w:val="1"/>
          <w:iCs w:val="1"/>
          <w:sz w:val="22"/>
          <w:szCs w:val="22"/>
          <w:rtl w:val="0"/>
          <w:lang w:val="en-US"/>
        </w:rPr>
        <w:t>Doing Your Research Project</w:t>
      </w:r>
      <w:r>
        <w:rPr>
          <w:rFonts w:ascii="Palatino" w:hAnsi="Palatino"/>
          <w:sz w:val="22"/>
          <w:szCs w:val="22"/>
          <w:rtl w:val="0"/>
          <w:lang w:val="en-US"/>
        </w:rPr>
        <w:t>, 7</w:t>
      </w:r>
      <w:r>
        <w:rPr>
          <w:rFonts w:ascii="Palatino" w:hAnsi="Palatino"/>
          <w:sz w:val="22"/>
          <w:szCs w:val="22"/>
          <w:vertAlign w:val="superscript"/>
          <w:rtl w:val="0"/>
          <w:lang w:val="en-US"/>
        </w:rPr>
        <w:t>th</w:t>
      </w:r>
      <w:r>
        <w:rPr>
          <w:rFonts w:ascii="Palatino" w:hAnsi="Palatino"/>
          <w:sz w:val="22"/>
          <w:szCs w:val="22"/>
          <w:rtl w:val="0"/>
          <w:lang w:val="en-US"/>
        </w:rPr>
        <w:t xml:space="preserve"> edn. (London: Open University Press, McGraw-Hill Education, 2018).</w:t>
      </w:r>
    </w:p>
    <w:p>
      <w:pPr>
        <w:pStyle w:val="Body"/>
        <w:spacing w:before="0"/>
        <w:rPr>
          <w:rFonts w:ascii="Palatino" w:cs="Palatino" w:hAnsi="Palatino" w:eastAsia="Palatino"/>
          <w:sz w:val="22"/>
          <w:szCs w:val="22"/>
        </w:rPr>
      </w:pPr>
      <w:r>
        <w:rPr>
          <w:rFonts w:ascii="Palatino" w:hAnsi="Palatino"/>
          <w:sz w:val="22"/>
          <w:szCs w:val="22"/>
          <w:rtl w:val="0"/>
          <w:lang w:val="en-US"/>
        </w:rPr>
        <w:t xml:space="preserve"> </w:t>
      </w:r>
    </w:p>
    <w:p>
      <w:pPr>
        <w:pStyle w:val="Body"/>
        <w:spacing w:before="0"/>
        <w:rPr>
          <w:rFonts w:ascii="Palatino" w:cs="Palatino" w:hAnsi="Palatino" w:eastAsia="Palatino"/>
          <w:sz w:val="22"/>
          <w:szCs w:val="22"/>
        </w:rPr>
      </w:pPr>
      <w:r>
        <w:rPr>
          <w:rFonts w:ascii="Palatino" w:hAnsi="Palatino"/>
          <w:sz w:val="22"/>
          <w:szCs w:val="22"/>
          <w:rtl w:val="0"/>
        </w:rPr>
        <w:t xml:space="preserve">Bennett, </w:t>
      </w:r>
      <w:r>
        <w:rPr>
          <w:rFonts w:ascii="Palatino" w:hAnsi="Palatino"/>
          <w:sz w:val="22"/>
          <w:szCs w:val="22"/>
          <w:rtl w:val="0"/>
          <w:lang w:val="en-US"/>
        </w:rPr>
        <w:t xml:space="preserve">Gillian, </w:t>
      </w:r>
      <w:r>
        <w:rPr>
          <w:rFonts w:ascii="Palatino" w:hAnsi="Palatino" w:hint="default"/>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If I Knew You </w:t>
      </w:r>
      <w:r>
        <w:rPr>
          <w:rFonts w:ascii="Palatino" w:hAnsi="Palatino"/>
          <w:sz w:val="22"/>
          <w:szCs w:val="22"/>
          <w:rtl w:val="0"/>
          <w:lang w:val="en-US"/>
        </w:rPr>
        <w:t>W</w:t>
      </w:r>
      <w:r>
        <w:rPr>
          <w:rFonts w:ascii="Palatino" w:hAnsi="Palatino"/>
          <w:sz w:val="22"/>
          <w:szCs w:val="22"/>
          <w:rtl w:val="0"/>
          <w:lang w:val="en-US"/>
        </w:rPr>
        <w:t xml:space="preserve">ere Coming I'd Have Baked </w:t>
      </w:r>
      <w:r>
        <w:rPr>
          <w:rFonts w:ascii="Palatino" w:hAnsi="Palatino"/>
          <w:sz w:val="22"/>
          <w:szCs w:val="22"/>
          <w:rtl w:val="0"/>
          <w:lang w:val="en-US"/>
        </w:rPr>
        <w:t>A</w:t>
      </w:r>
      <w:r>
        <w:rPr>
          <w:rFonts w:ascii="Palatino" w:hAnsi="Palatino"/>
          <w:sz w:val="22"/>
          <w:szCs w:val="22"/>
          <w:rtl w:val="0"/>
          <w:lang w:val="en-US"/>
        </w:rPr>
        <w:t xml:space="preserve"> Cake</w:t>
      </w:r>
      <w:r>
        <w:rPr>
          <w:rFonts w:ascii="Palatino" w:hAnsi="Palatino" w:hint="default"/>
          <w:sz w:val="22"/>
          <w:szCs w:val="22"/>
          <w:rtl w:val="0"/>
          <w:lang w:val="en-US"/>
        </w:rPr>
        <w:t>”</w:t>
      </w:r>
      <w:r>
        <w:rPr>
          <w:rFonts w:ascii="Palatino" w:hAnsi="Palatino"/>
          <w:sz w:val="22"/>
          <w:szCs w:val="22"/>
          <w:rtl w:val="0"/>
          <w:lang w:val="en-US"/>
        </w:rPr>
        <w:t xml:space="preserve">: The Folklore </w:t>
      </w:r>
      <w:r>
        <w:rPr>
          <w:rFonts w:ascii="Palatino" w:hAnsi="Palatino"/>
          <w:sz w:val="22"/>
          <w:szCs w:val="22"/>
          <w:rtl w:val="0"/>
          <w:lang w:val="en-US"/>
        </w:rPr>
        <w:t>O</w:t>
      </w:r>
      <w:r>
        <w:rPr>
          <w:rFonts w:ascii="Palatino" w:hAnsi="Palatino"/>
          <w:sz w:val="22"/>
          <w:szCs w:val="22"/>
          <w:rtl w:val="0"/>
          <w:lang w:val="en-US"/>
        </w:rPr>
        <w:t xml:space="preserve">f Foreknowledge </w:t>
      </w:r>
      <w:r>
        <w:rPr>
          <w:rFonts w:ascii="Palatino" w:hAnsi="Palatino"/>
          <w:sz w:val="22"/>
          <w:szCs w:val="22"/>
          <w:rtl w:val="0"/>
          <w:lang w:val="en-US"/>
        </w:rPr>
        <w:t>I</w:t>
      </w:r>
      <w:r>
        <w:rPr>
          <w:rFonts w:ascii="Palatino" w:hAnsi="Palatino"/>
          <w:sz w:val="22"/>
          <w:szCs w:val="22"/>
          <w:rtl w:val="0"/>
        </w:rPr>
        <w:t xml:space="preserve">n </w:t>
      </w:r>
      <w:r>
        <w:rPr>
          <w:rFonts w:ascii="Palatino" w:hAnsi="Palatino"/>
          <w:sz w:val="22"/>
          <w:szCs w:val="22"/>
          <w:rtl w:val="0"/>
          <w:lang w:val="en-US"/>
        </w:rPr>
        <w:t>A</w:t>
      </w:r>
      <w:r>
        <w:rPr>
          <w:rFonts w:ascii="Palatino" w:hAnsi="Palatino"/>
          <w:sz w:val="22"/>
          <w:szCs w:val="22"/>
          <w:rtl w:val="0"/>
          <w:lang w:val="en-US"/>
        </w:rPr>
        <w:t xml:space="preserve"> Neighborhood Group</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 xml:space="preserve">Out </w:t>
      </w:r>
      <w:r>
        <w:rPr>
          <w:rFonts w:ascii="Palatino" w:hAnsi="Palatino"/>
          <w:i w:val="1"/>
          <w:iCs w:val="1"/>
          <w:sz w:val="22"/>
          <w:szCs w:val="22"/>
          <w:rtl w:val="0"/>
          <w:lang w:val="en-US"/>
        </w:rPr>
        <w:t>O</w:t>
      </w:r>
      <w:r>
        <w:rPr>
          <w:rFonts w:ascii="Palatino" w:hAnsi="Palatino"/>
          <w:i w:val="1"/>
          <w:iCs w:val="1"/>
          <w:sz w:val="22"/>
          <w:szCs w:val="22"/>
          <w:rtl w:val="0"/>
          <w:lang w:val="en-US"/>
        </w:rPr>
        <w:t xml:space="preserve">f </w:t>
      </w:r>
      <w:r>
        <w:rPr>
          <w:rFonts w:ascii="Palatino" w:hAnsi="Palatino"/>
          <w:i w:val="1"/>
          <w:iCs w:val="1"/>
          <w:sz w:val="22"/>
          <w:szCs w:val="22"/>
          <w:rtl w:val="0"/>
          <w:lang w:val="en-US"/>
        </w:rPr>
        <w:t>T</w:t>
      </w:r>
      <w:r>
        <w:rPr>
          <w:rFonts w:ascii="Palatino" w:hAnsi="Palatino"/>
          <w:i w:val="1"/>
          <w:iCs w:val="1"/>
          <w:sz w:val="22"/>
          <w:szCs w:val="22"/>
          <w:rtl w:val="0"/>
          <w:lang w:val="en-US"/>
        </w:rPr>
        <w:t xml:space="preserve">he Ordinary: Folklore </w:t>
      </w:r>
      <w:r>
        <w:rPr>
          <w:rFonts w:ascii="Palatino" w:hAnsi="Palatino"/>
          <w:i w:val="1"/>
          <w:iCs w:val="1"/>
          <w:sz w:val="22"/>
          <w:szCs w:val="22"/>
          <w:rtl w:val="0"/>
          <w:lang w:val="en-US"/>
        </w:rPr>
        <w:t>A</w:t>
      </w:r>
      <w:r>
        <w:rPr>
          <w:rFonts w:ascii="Palatino" w:hAnsi="Palatino"/>
          <w:i w:val="1"/>
          <w:iCs w:val="1"/>
          <w:sz w:val="22"/>
          <w:szCs w:val="22"/>
          <w:rtl w:val="0"/>
          <w:lang w:val="en-US"/>
        </w:rPr>
        <w:t xml:space="preserve">nd </w:t>
      </w:r>
      <w:r>
        <w:rPr>
          <w:rFonts w:ascii="Palatino" w:hAnsi="Palatino"/>
          <w:i w:val="1"/>
          <w:iCs w:val="1"/>
          <w:sz w:val="22"/>
          <w:szCs w:val="22"/>
          <w:rtl w:val="0"/>
          <w:lang w:val="en-US"/>
        </w:rPr>
        <w:t>T</w:t>
      </w:r>
      <w:r>
        <w:rPr>
          <w:rFonts w:ascii="Palatino" w:hAnsi="Palatino"/>
          <w:i w:val="1"/>
          <w:iCs w:val="1"/>
          <w:sz w:val="22"/>
          <w:szCs w:val="22"/>
          <w:rtl w:val="0"/>
          <w:lang w:val="en-US"/>
        </w:rPr>
        <w:t>he Supernatural</w:t>
      </w:r>
      <w:r>
        <w:rPr>
          <w:rFonts w:ascii="Palatino" w:hAnsi="Palatino"/>
          <w:sz w:val="22"/>
          <w:szCs w:val="22"/>
          <w:rtl w:val="0"/>
          <w:lang w:val="it-IT"/>
        </w:rPr>
        <w:t>, ed</w:t>
      </w:r>
      <w:r>
        <w:rPr>
          <w:rFonts w:ascii="Palatino" w:hAnsi="Palatino"/>
          <w:sz w:val="22"/>
          <w:szCs w:val="22"/>
          <w:rtl w:val="0"/>
          <w:lang w:val="en-US"/>
        </w:rPr>
        <w:t>n.</w:t>
      </w:r>
      <w:r>
        <w:rPr>
          <w:rFonts w:ascii="Palatino" w:hAnsi="Palatino"/>
          <w:sz w:val="22"/>
          <w:szCs w:val="22"/>
          <w:rtl w:val="0"/>
          <w:lang w:val="en-US"/>
        </w:rPr>
        <w:t xml:space="preserve"> Barbara Walker</w:t>
      </w:r>
      <w:r>
        <w:rPr>
          <w:rFonts w:ascii="Palatino" w:hAnsi="Palatino"/>
          <w:sz w:val="22"/>
          <w:szCs w:val="22"/>
          <w:rtl w:val="0"/>
          <w:lang w:val="en-US"/>
        </w:rPr>
        <w:t xml:space="preserve"> (</w:t>
      </w:r>
      <w:r>
        <w:rPr>
          <w:rFonts w:ascii="Palatino" w:hAnsi="Palatino"/>
          <w:sz w:val="22"/>
          <w:szCs w:val="22"/>
          <w:rtl w:val="0"/>
          <w:lang w:val="en-US"/>
        </w:rPr>
        <w:t>Logan, Utah: Utah University Press</w:t>
      </w:r>
      <w:r>
        <w:rPr>
          <w:rFonts w:ascii="Palatino" w:hAnsi="Palatino"/>
          <w:sz w:val="22"/>
          <w:szCs w:val="22"/>
          <w:rtl w:val="0"/>
          <w:lang w:val="en-US"/>
        </w:rPr>
        <w:t>,</w:t>
      </w:r>
      <w:r>
        <w:rPr>
          <w:rFonts w:ascii="Palatino" w:hAnsi="Palatino"/>
          <w:sz w:val="22"/>
          <w:szCs w:val="22"/>
          <w:rtl w:val="0"/>
        </w:rPr>
        <w:t xml:space="preserve"> </w:t>
      </w:r>
      <w:r>
        <w:rPr>
          <w:rFonts w:ascii="Palatino" w:hAnsi="Palatino"/>
          <w:sz w:val="22"/>
          <w:szCs w:val="22"/>
          <w:rtl w:val="0"/>
          <w:lang w:val="en-US"/>
        </w:rPr>
        <w:t>1995),</w:t>
      </w:r>
      <w:r>
        <w:rPr>
          <w:rFonts w:ascii="Palatino" w:hAnsi="Palatino"/>
          <w:sz w:val="22"/>
          <w:szCs w:val="22"/>
          <w:rtl w:val="0"/>
        </w:rPr>
        <w:t xml:space="preserve"> 122-142</w:t>
      </w:r>
      <w:r>
        <w:rPr>
          <w:rFonts w:ascii="Palatino" w:hAnsi="Palatino"/>
          <w:sz w:val="22"/>
          <w:szCs w:val="22"/>
          <w:rtl w:val="0"/>
          <w:lang w:val="en-US"/>
        </w:rPr>
        <w:t>, &lt;</w:t>
      </w:r>
      <w:r>
        <w:rPr>
          <w:rFonts w:ascii="Palatino" w:hAnsi="Palatino"/>
          <w:sz w:val="22"/>
          <w:szCs w:val="22"/>
          <w:rtl w:val="0"/>
        </w:rPr>
        <w:t>doi.org/10.2307/j.ctt46nwn8</w:t>
      </w:r>
      <w:r>
        <w:rPr>
          <w:rFonts w:ascii="Palatino" w:hAnsi="Palatino"/>
          <w:sz w:val="22"/>
          <w:szCs w:val="22"/>
          <w:rtl w:val="0"/>
          <w:lang w:val="en-US"/>
        </w:rPr>
        <w:t>&gt;.</w:t>
      </w:r>
    </w:p>
    <w:p>
      <w:pPr>
        <w:pStyle w:val="Body"/>
        <w:spacing w:before="0"/>
        <w:rPr>
          <w:rFonts w:ascii="Palatino" w:cs="Palatino" w:hAnsi="Palatino" w:eastAsia="Palatino"/>
          <w:sz w:val="22"/>
          <w:szCs w:val="22"/>
        </w:rPr>
      </w:pPr>
      <w:r>
        <w:rPr>
          <w:rFonts w:ascii="Palatino" w:hAnsi="Palatino"/>
          <w:sz w:val="22"/>
          <w:szCs w:val="22"/>
          <w:rtl w:val="0"/>
          <w:lang w:val="en-US"/>
        </w:rPr>
        <w:t xml:space="preserve"> </w:t>
      </w:r>
    </w:p>
    <w:p>
      <w:pPr>
        <w:pStyle w:val="Body"/>
        <w:spacing w:before="0"/>
        <w:rPr>
          <w:rFonts w:ascii="Palatino" w:cs="Palatino" w:hAnsi="Palatino" w:eastAsia="Palatino"/>
          <w:sz w:val="22"/>
          <w:szCs w:val="22"/>
        </w:rPr>
      </w:pPr>
      <w:r>
        <w:rPr>
          <w:rFonts w:ascii="Palatino" w:hAnsi="Palatino"/>
          <w:sz w:val="22"/>
          <w:szCs w:val="22"/>
          <w:rtl w:val="0"/>
        </w:rPr>
        <w:t xml:space="preserve">Blain, </w:t>
      </w:r>
      <w:r>
        <w:rPr>
          <w:rFonts w:ascii="Palatino" w:hAnsi="Palatino"/>
          <w:sz w:val="22"/>
          <w:szCs w:val="22"/>
          <w:rtl w:val="0"/>
          <w:lang w:val="en-US"/>
        </w:rPr>
        <w:t xml:space="preserve">Jenny, </w:t>
      </w:r>
      <w:r>
        <w:rPr>
          <w:rFonts w:ascii="Palatino" w:hAnsi="Palatino" w:hint="default"/>
          <w:sz w:val="22"/>
          <w:szCs w:val="22"/>
          <w:rtl w:val="0"/>
          <w:lang w:val="en-US"/>
        </w:rPr>
        <w:t>‘</w:t>
      </w:r>
      <w:r>
        <w:rPr>
          <w:rFonts w:ascii="Palatino" w:hAnsi="Palatino"/>
          <w:sz w:val="22"/>
          <w:szCs w:val="22"/>
          <w:rtl w:val="0"/>
          <w:lang w:val="en-US"/>
        </w:rPr>
        <w:t xml:space="preserve">Speaking Shamanistically: Seidr, Academia </w:t>
      </w:r>
      <w:r>
        <w:rPr>
          <w:rFonts w:ascii="Palatino" w:hAnsi="Palatino"/>
          <w:sz w:val="22"/>
          <w:szCs w:val="22"/>
          <w:rtl w:val="0"/>
          <w:lang w:val="en-US"/>
        </w:rPr>
        <w:t>A</w:t>
      </w:r>
      <w:r>
        <w:rPr>
          <w:rFonts w:ascii="Palatino" w:hAnsi="Palatino"/>
          <w:sz w:val="22"/>
          <w:szCs w:val="22"/>
          <w:rtl w:val="0"/>
          <w:lang w:val="en-US"/>
        </w:rPr>
        <w:t>nd Rationality</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sz w:val="22"/>
          <w:szCs w:val="22"/>
          <w:rtl w:val="0"/>
        </w:rPr>
        <w:t xml:space="preserve"> </w:t>
      </w:r>
      <w:r>
        <w:rPr>
          <w:rFonts w:ascii="Palatino" w:hAnsi="Palatino"/>
          <w:i w:val="1"/>
          <w:iCs w:val="1"/>
          <w:sz w:val="22"/>
          <w:szCs w:val="22"/>
          <w:rtl w:val="0"/>
        </w:rPr>
        <w:t>DISKUS</w:t>
      </w:r>
      <w:r>
        <w:rPr>
          <w:rFonts w:ascii="Palatino" w:hAnsi="Palatino"/>
          <w:sz w:val="22"/>
          <w:szCs w:val="22"/>
          <w:rtl w:val="0"/>
        </w:rPr>
        <w:t xml:space="preserve"> Volume 6 (2000)</w:t>
      </w:r>
      <w:r>
        <w:rPr>
          <w:rFonts w:ascii="Palatino" w:hAnsi="Palatino"/>
          <w:sz w:val="22"/>
          <w:szCs w:val="22"/>
          <w:rtl w:val="0"/>
          <w:lang w:val="en-US"/>
        </w:rPr>
        <w:t>, &lt;</w:t>
      </w:r>
      <w:r>
        <w:rPr>
          <w:rFonts w:ascii="Palatino" w:hAnsi="Palatino"/>
          <w:sz w:val="22"/>
          <w:szCs w:val="22"/>
          <w:rtl w:val="0"/>
          <w:lang w:val="de-DE"/>
        </w:rPr>
        <w:t xml:space="preserve"> www.uni-marburg.de/fb03/religionswissenschaft/journal/diskus</w:t>
      </w:r>
      <w:r>
        <w:rPr>
          <w:rFonts w:ascii="Palatino" w:hAnsi="Palatino"/>
          <w:sz w:val="22"/>
          <w:szCs w:val="22"/>
          <w:rtl w:val="0"/>
          <w:lang w:val="en-US"/>
        </w:rPr>
        <w:t>&gt; {assessed 16th March 2021}.</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Blain, </w:t>
      </w:r>
      <w:r>
        <w:rPr>
          <w:rFonts w:ascii="Palatino" w:hAnsi="Palatino"/>
          <w:sz w:val="22"/>
          <w:szCs w:val="22"/>
          <w:rtl w:val="0"/>
        </w:rPr>
        <w:t>Jenny</w:t>
      </w:r>
      <w:r>
        <w:rPr>
          <w:rFonts w:ascii="Palatino" w:hAnsi="Palatino"/>
          <w:sz w:val="22"/>
          <w:szCs w:val="22"/>
          <w:rtl w:val="0"/>
          <w:lang w:val="en-US"/>
        </w:rPr>
        <w:t>, LinkedIn Profile, &lt;www.</w:t>
      </w:r>
      <w:r>
        <w:rPr>
          <w:rFonts w:ascii="Palatino" w:hAnsi="Palatino"/>
          <w:sz w:val="22"/>
          <w:szCs w:val="22"/>
          <w:rtl w:val="0"/>
        </w:rPr>
        <w:t>uk.linkedin.com/in/jenny-blain-9b508337</w:t>
      </w:r>
      <w:r>
        <w:rPr>
          <w:rFonts w:ascii="Palatino" w:hAnsi="Palatino"/>
          <w:sz w:val="22"/>
          <w:szCs w:val="22"/>
          <w:rtl w:val="0"/>
          <w:lang w:val="en-US"/>
        </w:rPr>
        <w:t>&gt; [assessed 18th March 2021).</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contemporarylegend.org: The Website for the International Society for Contemporary Legend Research, </w:t>
      </w:r>
      <w:r>
        <w:rPr>
          <w:rFonts w:ascii="Palatino" w:hAnsi="Palatino" w:hint="default"/>
          <w:sz w:val="22"/>
          <w:szCs w:val="22"/>
          <w:rtl w:val="0"/>
          <w:lang w:val="en-US"/>
        </w:rPr>
        <w:t>‘</w:t>
      </w:r>
      <w:r>
        <w:rPr>
          <w:rFonts w:ascii="Palatino" w:hAnsi="Palatino"/>
          <w:sz w:val="22"/>
          <w:szCs w:val="22"/>
          <w:rtl w:val="0"/>
          <w:lang w:val="en-US"/>
        </w:rPr>
        <w:t>2015 Recipient Of The Linda Degh Lifetime Achievement Award</w:t>
      </w:r>
      <w:r>
        <w:rPr>
          <w:rFonts w:ascii="Palatino" w:hAnsi="Palatino" w:hint="default"/>
          <w:sz w:val="22"/>
          <w:szCs w:val="22"/>
          <w:rtl w:val="0"/>
          <w:lang w:val="en-US"/>
        </w:rPr>
        <w:t>’</w:t>
      </w:r>
      <w:r>
        <w:rPr>
          <w:rFonts w:ascii="Palatino" w:hAnsi="Palatino"/>
          <w:sz w:val="22"/>
          <w:szCs w:val="22"/>
          <w:rtl w:val="0"/>
          <w:lang w:val="en-US"/>
        </w:rPr>
        <w:t>, &lt;www.contemporarylegend.org/prizes-and-awards/linda-degh-lifetime-achievement-award/dr-gillian-bennett&gt; {assessed 18th March 2021)</w:t>
      </w:r>
      <w:r>
        <w:rPr>
          <w:rFonts w:ascii="Palatino" w:hAnsi="Palatino"/>
          <w:sz w:val="22"/>
          <w:szCs w:val="22"/>
          <w:rtl w:val="0"/>
          <w:lang w:val="en-US"/>
        </w:rPr>
        <w:t>.</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Corbin Dwyer, </w:t>
      </w:r>
      <w:r>
        <w:rPr>
          <w:rFonts w:ascii="Palatino" w:hAnsi="Palatino"/>
          <w:sz w:val="22"/>
          <w:szCs w:val="22"/>
          <w:rtl w:val="0"/>
        </w:rPr>
        <w:t>Sonya</w:t>
      </w:r>
      <w:r>
        <w:rPr>
          <w:rFonts w:ascii="Palatino" w:hAnsi="Palatino"/>
          <w:sz w:val="22"/>
          <w:szCs w:val="22"/>
          <w:rtl w:val="0"/>
          <w:lang w:val="en-US"/>
        </w:rPr>
        <w:t xml:space="preserve"> and Jennifer L. Buckle, </w:t>
      </w:r>
      <w:r>
        <w:rPr>
          <w:rFonts w:ascii="Palatino" w:hAnsi="Palatino" w:hint="default"/>
          <w:sz w:val="22"/>
          <w:szCs w:val="22"/>
          <w:rtl w:val="0"/>
          <w:lang w:val="en-US"/>
        </w:rPr>
        <w:t>‘</w:t>
      </w:r>
      <w:r>
        <w:rPr>
          <w:rFonts w:ascii="Palatino" w:hAnsi="Palatino"/>
          <w:sz w:val="22"/>
          <w:szCs w:val="22"/>
          <w:rtl w:val="0"/>
          <w:lang w:val="en-US"/>
        </w:rPr>
        <w:t>The Space Between: On Being An Insider-Outsider In Qualitative Research</w:t>
      </w:r>
      <w:r>
        <w:rPr>
          <w:rFonts w:ascii="Palatino" w:hAnsi="Palatino" w:hint="default"/>
          <w:sz w:val="22"/>
          <w:szCs w:val="22"/>
          <w:rtl w:val="0"/>
          <w:lang w:val="en-US"/>
        </w:rPr>
        <w:t xml:space="preserve">’ </w:t>
      </w:r>
      <w:r>
        <w:rPr>
          <w:rFonts w:ascii="Palatino" w:hAnsi="Palatino"/>
          <w:i w:val="1"/>
          <w:iCs w:val="1"/>
          <w:sz w:val="22"/>
          <w:szCs w:val="22"/>
          <w:rtl w:val="0"/>
          <w:lang w:val="en-US"/>
        </w:rPr>
        <w:t>International Journal of Qualitative Methods</w:t>
      </w:r>
      <w:r>
        <w:rPr>
          <w:rFonts w:ascii="Palatino" w:hAnsi="Palatino"/>
          <w:sz w:val="22"/>
          <w:szCs w:val="22"/>
          <w:rtl w:val="0"/>
          <w:lang w:val="en-US"/>
        </w:rPr>
        <w:t xml:space="preserve"> 8(1) (2009), 54-63, &lt;DOI: </w:t>
      </w:r>
      <w:r>
        <w:rPr>
          <w:rFonts w:ascii="Palatino" w:hAnsi="Palatino"/>
          <w:sz w:val="22"/>
          <w:szCs w:val="22"/>
          <w:rtl w:val="0"/>
        </w:rPr>
        <w:t>org/10.1177/160940690900800105</w:t>
      </w:r>
      <w:r>
        <w:rPr>
          <w:rFonts w:ascii="Palatino" w:hAnsi="Palatino"/>
          <w:sz w:val="22"/>
          <w:szCs w:val="22"/>
          <w:rtl w:val="0"/>
          <w:lang w:val="en-US"/>
        </w:rPr>
        <w:t>&gt;.</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Etherington, Kim, </w:t>
      </w:r>
      <w:r>
        <w:rPr>
          <w:rFonts w:ascii="Palatino" w:hAnsi="Palatino"/>
          <w:i w:val="1"/>
          <w:iCs w:val="1"/>
          <w:sz w:val="22"/>
          <w:szCs w:val="22"/>
          <w:rtl w:val="0"/>
          <w:lang w:val="en-US"/>
        </w:rPr>
        <w:t>Becoming A Reflexive Researcher</w:t>
      </w:r>
      <w:r>
        <w:rPr>
          <w:rFonts w:ascii="Palatino" w:hAnsi="Palatino"/>
          <w:sz w:val="22"/>
          <w:szCs w:val="22"/>
          <w:rtl w:val="0"/>
          <w:lang w:val="en-US"/>
        </w:rPr>
        <w:t xml:space="preserve"> (London: Jessica Kingsley Publishers, 2004).</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n-US"/>
        </w:rPr>
        <w:t xml:space="preserve">Hennick, </w:t>
      </w:r>
      <w:r>
        <w:rPr>
          <w:rFonts w:ascii="Palatino" w:hAnsi="Palatino"/>
          <w:sz w:val="22"/>
          <w:szCs w:val="22"/>
          <w:rtl w:val="0"/>
          <w:lang w:val="fr-FR"/>
        </w:rPr>
        <w:t>Monique</w:t>
      </w:r>
      <w:r>
        <w:rPr>
          <w:rFonts w:ascii="Palatino" w:hAnsi="Palatino"/>
          <w:sz w:val="22"/>
          <w:szCs w:val="22"/>
          <w:rtl w:val="0"/>
          <w:lang w:val="en-US"/>
        </w:rPr>
        <w:t xml:space="preserve">, Inge Hutter and Ajay Bailey, </w:t>
      </w:r>
      <w:r>
        <w:rPr>
          <w:rFonts w:ascii="Palatino" w:hAnsi="Palatino"/>
          <w:i w:val="1"/>
          <w:iCs w:val="1"/>
          <w:sz w:val="22"/>
          <w:szCs w:val="22"/>
          <w:rtl w:val="0"/>
          <w:lang w:val="en-US"/>
        </w:rPr>
        <w:t>Qualitative Research Methods</w:t>
      </w:r>
      <w:r>
        <w:rPr>
          <w:rFonts w:ascii="Palatino" w:hAnsi="Palatino"/>
          <w:sz w:val="22"/>
          <w:szCs w:val="22"/>
          <w:rtl w:val="0"/>
          <w:lang w:val="en-US"/>
        </w:rPr>
        <w:t>, 2</w:t>
      </w:r>
      <w:r>
        <w:rPr>
          <w:rFonts w:ascii="Palatino" w:hAnsi="Palatino"/>
          <w:sz w:val="22"/>
          <w:szCs w:val="22"/>
          <w:vertAlign w:val="superscript"/>
          <w:rtl w:val="0"/>
          <w:lang w:val="en-US"/>
        </w:rPr>
        <w:t>nd</w:t>
      </w:r>
      <w:r>
        <w:rPr>
          <w:rFonts w:ascii="Palatino" w:hAnsi="Palatino"/>
          <w:sz w:val="22"/>
          <w:szCs w:val="22"/>
          <w:rtl w:val="0"/>
          <w:lang w:val="en-US"/>
        </w:rPr>
        <w:t xml:space="preserve"> edn. (London: Sage, 2020).</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es-ES_tradnl"/>
        </w:rPr>
        <w:t xml:space="preserve">Joy, </w:t>
      </w:r>
      <w:r>
        <w:rPr>
          <w:rFonts w:ascii="Palatino" w:hAnsi="Palatino"/>
          <w:sz w:val="22"/>
          <w:szCs w:val="22"/>
          <w:rtl w:val="0"/>
          <w:lang w:val="en-US"/>
        </w:rPr>
        <w:t xml:space="preserve">Francis, </w:t>
      </w:r>
      <w:r>
        <w:rPr>
          <w:rFonts w:ascii="Palatino" w:hAnsi="Palatino" w:hint="default"/>
          <w:sz w:val="22"/>
          <w:szCs w:val="22"/>
          <w:rtl w:val="0"/>
          <w:lang w:val="en-US"/>
        </w:rPr>
        <w:t>’</w:t>
      </w:r>
      <w:r>
        <w:rPr>
          <w:rFonts w:ascii="Palatino" w:hAnsi="Palatino"/>
          <w:sz w:val="22"/>
          <w:szCs w:val="22"/>
          <w:rtl w:val="0"/>
          <w:lang w:val="en-US"/>
        </w:rPr>
        <w:t>The Importance Of The Sun Symbol In The Restoration Of Sami Spiritual Traditions And Healing Practice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Religions</w:t>
      </w:r>
      <w:r>
        <w:rPr>
          <w:rFonts w:ascii="Palatino" w:hAnsi="Palatino"/>
          <w:sz w:val="22"/>
          <w:szCs w:val="22"/>
          <w:rtl w:val="0"/>
          <w:lang w:val="en-US"/>
        </w:rPr>
        <w:t xml:space="preserve"> 11(6) (2020), 1-22, &lt;doi: org/10.3390/rel11060270&gt;.</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da-DK"/>
        </w:rPr>
        <w:t xml:space="preserve">Kalvig, </w:t>
      </w:r>
      <w:r>
        <w:rPr>
          <w:rFonts w:ascii="Palatino" w:hAnsi="Palatino"/>
          <w:sz w:val="22"/>
          <w:szCs w:val="22"/>
          <w:rtl w:val="0"/>
          <w:lang w:val="en-US"/>
        </w:rPr>
        <w:t xml:space="preserve">Anne, </w:t>
      </w:r>
      <w:r>
        <w:rPr>
          <w:rFonts w:ascii="Palatino" w:hAnsi="Palatino" w:hint="default"/>
          <w:sz w:val="22"/>
          <w:szCs w:val="22"/>
          <w:rtl w:val="0"/>
          <w:lang w:val="en-US"/>
        </w:rPr>
        <w:t>’</w:t>
      </w:r>
      <w:r>
        <w:rPr>
          <w:rFonts w:ascii="Palatino" w:hAnsi="Palatino"/>
          <w:sz w:val="22"/>
          <w:szCs w:val="22"/>
          <w:rtl w:val="0"/>
          <w:lang w:val="en-US"/>
        </w:rPr>
        <w:t xml:space="preserve">Nature And Magic As Representation Of </w:t>
      </w:r>
      <w:r>
        <w:rPr>
          <w:rFonts w:ascii="Palatino" w:hAnsi="Palatino" w:hint="default"/>
          <w:sz w:val="22"/>
          <w:szCs w:val="22"/>
          <w:rtl w:val="0"/>
          <w:lang w:val="en-US"/>
        </w:rPr>
        <w:t>“</w:t>
      </w:r>
      <w:r>
        <w:rPr>
          <w:rFonts w:ascii="Palatino" w:hAnsi="Palatino"/>
          <w:sz w:val="22"/>
          <w:szCs w:val="22"/>
          <w:rtl w:val="0"/>
          <w:lang w:val="en-US"/>
        </w:rPr>
        <w:t>The Sami</w:t>
      </w:r>
      <w:r>
        <w:rPr>
          <w:rFonts w:ascii="Palatino" w:hAnsi="Palatino" w:hint="default"/>
          <w:sz w:val="22"/>
          <w:szCs w:val="22"/>
          <w:rtl w:val="0"/>
          <w:lang w:val="en-US"/>
        </w:rPr>
        <w:t xml:space="preserve">” </w:t>
      </w:r>
      <w:r>
        <w:rPr>
          <w:rFonts w:ascii="Palatino" w:hAnsi="Palatino"/>
          <w:sz w:val="22"/>
          <w:szCs w:val="22"/>
          <w:rtl w:val="0"/>
          <w:lang w:val="en-US"/>
        </w:rPr>
        <w:t>- Sami Shamanistic Material in Popular Culture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Religions</w:t>
      </w:r>
      <w:r>
        <w:rPr>
          <w:rFonts w:ascii="Palatino" w:hAnsi="Palatino"/>
          <w:sz w:val="22"/>
          <w:szCs w:val="22"/>
          <w:rtl w:val="0"/>
          <w:lang w:val="en-US"/>
        </w:rPr>
        <w:t xml:space="preserve"> 11, 453 (2020), p. 1-16 &lt;doi: 10.3390/rel11090453&gt;.</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de-DE"/>
        </w:rPr>
        <w:t>Melb</w:t>
      </w:r>
      <w:r>
        <w:rPr>
          <w:rFonts w:ascii="Palatino" w:hAnsi="Palatino" w:hint="default"/>
          <w:sz w:val="22"/>
          <w:szCs w:val="22"/>
          <w:rtl w:val="0"/>
          <w:lang w:val="da-DK"/>
        </w:rPr>
        <w:t>ø</w:t>
      </w:r>
      <w:r>
        <w:rPr>
          <w:rFonts w:ascii="Palatino" w:hAnsi="Palatino"/>
          <w:sz w:val="22"/>
          <w:szCs w:val="22"/>
          <w:rtl w:val="0"/>
        </w:rPr>
        <w:t xml:space="preserve">e, </w:t>
      </w:r>
      <w:r>
        <w:rPr>
          <w:rFonts w:ascii="Palatino" w:hAnsi="Palatino"/>
          <w:sz w:val="22"/>
          <w:szCs w:val="22"/>
          <w:rtl w:val="0"/>
          <w:lang w:val="en-US"/>
        </w:rPr>
        <w:t xml:space="preserve">Line, </w:t>
      </w:r>
      <w:r>
        <w:rPr>
          <w:rFonts w:ascii="Palatino" w:hAnsi="Palatino"/>
          <w:sz w:val="22"/>
          <w:szCs w:val="22"/>
          <w:rtl w:val="0"/>
          <w:lang w:val="da-DK"/>
        </w:rPr>
        <w:t>Ketil Lenert Hansen, Bj</w:t>
      </w:r>
      <w:r>
        <w:rPr>
          <w:rFonts w:ascii="Palatino" w:hAnsi="Palatino" w:hint="default"/>
          <w:sz w:val="22"/>
          <w:szCs w:val="22"/>
          <w:rtl w:val="0"/>
          <w:lang w:val="da-DK"/>
        </w:rPr>
        <w:t>ø</w:t>
      </w:r>
      <w:r>
        <w:rPr>
          <w:rFonts w:ascii="Palatino" w:hAnsi="Palatino"/>
          <w:sz w:val="22"/>
          <w:szCs w:val="22"/>
          <w:rtl w:val="0"/>
          <w:lang w:val="da-DK"/>
        </w:rPr>
        <w:t>rn</w:t>
      </w:r>
      <w:r>
        <w:rPr>
          <w:rFonts w:ascii="Palatino" w:hAnsi="Palatino"/>
          <w:sz w:val="22"/>
          <w:szCs w:val="22"/>
          <w:rtl w:val="0"/>
          <w:lang w:val="en-US"/>
        </w:rPr>
        <w:t>-</w:t>
      </w:r>
      <w:r>
        <w:rPr>
          <w:rFonts w:ascii="Palatino" w:hAnsi="Palatino"/>
          <w:sz w:val="22"/>
          <w:szCs w:val="22"/>
          <w:rtl w:val="0"/>
          <w:lang w:val="da-DK"/>
        </w:rPr>
        <w:t>Erik Johnsen, Gunn Elin Fedreheim, Tone Dinesen, Gunn</w:t>
      </w:r>
      <w:r>
        <w:rPr>
          <w:rFonts w:ascii="Palatino" w:hAnsi="Palatino"/>
          <w:sz w:val="22"/>
          <w:szCs w:val="22"/>
          <w:rtl w:val="0"/>
          <w:lang w:val="en-US"/>
        </w:rPr>
        <w:t>-</w:t>
      </w:r>
      <w:r>
        <w:rPr>
          <w:rFonts w:ascii="Palatino" w:hAnsi="Palatino"/>
          <w:sz w:val="22"/>
          <w:szCs w:val="22"/>
          <w:rtl w:val="0"/>
          <w:lang w:val="da-DK"/>
        </w:rPr>
        <w:t>Tove M</w:t>
      </w:r>
      <w:r>
        <w:rPr>
          <w:rFonts w:ascii="Palatino" w:hAnsi="Palatino"/>
          <w:sz w:val="22"/>
          <w:szCs w:val="22"/>
          <w:rtl w:val="0"/>
          <w:lang w:val="en-US"/>
        </w:rPr>
        <w:t>i</w:t>
      </w:r>
      <w:r>
        <w:rPr>
          <w:rFonts w:ascii="Palatino" w:hAnsi="Palatino"/>
          <w:sz w:val="22"/>
          <w:szCs w:val="22"/>
          <w:rtl w:val="0"/>
          <w:lang w:val="da-DK"/>
        </w:rPr>
        <w:t xml:space="preserve">nde and Marit Rustad, </w:t>
      </w:r>
      <w:r>
        <w:rPr>
          <w:rFonts w:ascii="Palatino" w:hAnsi="Palatino" w:hint="default"/>
          <w:sz w:val="22"/>
          <w:szCs w:val="22"/>
          <w:rtl w:val="0"/>
          <w:lang w:val="en-US"/>
        </w:rPr>
        <w:t>‘</w:t>
      </w:r>
      <w:r>
        <w:rPr>
          <w:rFonts w:ascii="Palatino" w:hAnsi="Palatino"/>
          <w:sz w:val="22"/>
          <w:szCs w:val="22"/>
          <w:rtl w:val="0"/>
          <w:lang w:val="da-DK"/>
        </w:rPr>
        <w:t>Ethical And Methodological Issues In Research With Sami Experiencing Disability</w:t>
      </w:r>
      <w:r>
        <w:rPr>
          <w:rFonts w:ascii="Palatino" w:hAnsi="Palatino" w:hint="default"/>
          <w:sz w:val="22"/>
          <w:szCs w:val="22"/>
          <w:rtl w:val="0"/>
          <w:lang w:val="en-US"/>
        </w:rPr>
        <w:t>’</w:t>
      </w:r>
      <w:r>
        <w:rPr>
          <w:rFonts w:ascii="Palatino" w:hAnsi="Palatino"/>
          <w:sz w:val="22"/>
          <w:szCs w:val="22"/>
          <w:rtl w:val="0"/>
          <w:lang w:val="da-DK"/>
        </w:rPr>
        <w:t xml:space="preserve">, </w:t>
      </w:r>
      <w:r>
        <w:rPr>
          <w:rFonts w:ascii="Palatino" w:hAnsi="Palatino"/>
          <w:i w:val="1"/>
          <w:iCs w:val="1"/>
          <w:sz w:val="22"/>
          <w:szCs w:val="22"/>
          <w:rtl w:val="0"/>
          <w:lang w:val="da-DK"/>
        </w:rPr>
        <w:t xml:space="preserve">International Journal Of Circumpolar Health </w:t>
      </w:r>
      <w:r>
        <w:rPr>
          <w:rFonts w:ascii="Palatino" w:hAnsi="Palatino"/>
          <w:sz w:val="22"/>
          <w:szCs w:val="22"/>
          <w:rtl w:val="0"/>
          <w:lang w:val="da-DK"/>
        </w:rPr>
        <w:t>75</w:t>
      </w:r>
      <w:r>
        <w:rPr>
          <w:rFonts w:ascii="Palatino" w:hAnsi="Palatino"/>
          <w:sz w:val="22"/>
          <w:szCs w:val="22"/>
          <w:rtl w:val="0"/>
          <w:lang w:val="en-US"/>
        </w:rPr>
        <w:t xml:space="preserve"> (2016), 1-7, &lt;doi: </w:t>
      </w:r>
      <w:r>
        <w:rPr>
          <w:rFonts w:ascii="Palatino" w:hAnsi="Palatino"/>
          <w:sz w:val="22"/>
          <w:szCs w:val="22"/>
          <w:rtl w:val="0"/>
        </w:rPr>
        <w:t>10.3402/ijch.v75.31656</w:t>
      </w:r>
      <w:r>
        <w:rPr>
          <w:rFonts w:ascii="Palatino" w:hAnsi="Palatino"/>
          <w:sz w:val="22"/>
          <w:szCs w:val="22"/>
          <w:rtl w:val="0"/>
          <w:lang w:val="en-US"/>
        </w:rPr>
        <w:t>&gt;.</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rPr>
        <w:t>Sexton</w:t>
      </w:r>
      <w:r>
        <w:rPr>
          <w:rFonts w:ascii="Palatino" w:hAnsi="Palatino"/>
          <w:sz w:val="22"/>
          <w:szCs w:val="22"/>
          <w:rtl w:val="0"/>
          <w:lang w:val="en-US"/>
        </w:rPr>
        <w:t>,</w:t>
      </w:r>
      <w:r>
        <w:rPr>
          <w:rFonts w:ascii="Palatino" w:hAnsi="Palatino"/>
          <w:sz w:val="22"/>
          <w:szCs w:val="22"/>
          <w:rtl w:val="0"/>
        </w:rPr>
        <w:t xml:space="preserve"> </w:t>
      </w:r>
      <w:r>
        <w:rPr>
          <w:rFonts w:ascii="Palatino" w:hAnsi="Palatino"/>
          <w:sz w:val="22"/>
          <w:szCs w:val="22"/>
          <w:rtl w:val="0"/>
          <w:lang w:val="en-US"/>
        </w:rPr>
        <w:t xml:space="preserve">Randall, and Ellen Anne Buljo Stabbursvik, </w:t>
      </w:r>
      <w:r>
        <w:rPr>
          <w:rFonts w:ascii="Palatino" w:hAnsi="Palatino" w:hint="default"/>
          <w:sz w:val="22"/>
          <w:szCs w:val="22"/>
          <w:rtl w:val="0"/>
          <w:lang w:val="en-US"/>
        </w:rPr>
        <w:t>‘</w:t>
      </w:r>
      <w:r>
        <w:rPr>
          <w:rFonts w:ascii="Palatino" w:hAnsi="Palatino"/>
          <w:sz w:val="22"/>
          <w:szCs w:val="22"/>
          <w:rtl w:val="0"/>
          <w:lang w:val="en-US"/>
        </w:rPr>
        <w:t>Healing In The Sami North</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Culture, Medicine and Psychiatry</w:t>
      </w:r>
      <w:r>
        <w:rPr>
          <w:rFonts w:ascii="Palatino" w:hAnsi="Palatino"/>
          <w:sz w:val="22"/>
          <w:szCs w:val="22"/>
          <w:rtl w:val="0"/>
          <w:lang w:val="en-US"/>
        </w:rPr>
        <w:t xml:space="preserve"> 34(4) (2010), 571-589, &lt;doi: 10.1007/s11013-010-9191-x&gt;.</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r>
        <w:rPr>
          <w:rFonts w:ascii="Palatino" w:hAnsi="Palatino"/>
          <w:sz w:val="22"/>
          <w:szCs w:val="22"/>
          <w:rtl w:val="0"/>
          <w:lang w:val="da-DK"/>
        </w:rPr>
        <w:t xml:space="preserve">Simonsen, </w:t>
      </w:r>
      <w:r>
        <w:rPr>
          <w:rFonts w:ascii="Palatino" w:hAnsi="Palatino"/>
          <w:sz w:val="22"/>
          <w:szCs w:val="22"/>
          <w:rtl w:val="0"/>
          <w:lang w:val="en-US"/>
        </w:rPr>
        <w:t>Mich</w:t>
      </w:r>
      <w:r>
        <w:rPr>
          <w:rFonts w:ascii="Palatino" w:hAnsi="Palatino" w:hint="default"/>
          <w:sz w:val="22"/>
          <w:szCs w:val="22"/>
          <w:rtl w:val="0"/>
          <w:lang w:val="da-DK"/>
        </w:rPr>
        <w:t>è</w:t>
      </w:r>
      <w:r>
        <w:rPr>
          <w:rFonts w:ascii="Palatino" w:hAnsi="Palatino"/>
          <w:sz w:val="22"/>
          <w:szCs w:val="22"/>
          <w:rtl w:val="0"/>
          <w:lang w:val="en-US"/>
        </w:rPr>
        <w:t xml:space="preserve">le, </w:t>
      </w:r>
      <w:r>
        <w:rPr>
          <w:rFonts w:ascii="Palatino" w:hAnsi="Palatino" w:hint="default"/>
          <w:sz w:val="22"/>
          <w:szCs w:val="22"/>
          <w:rtl w:val="0"/>
          <w:lang w:val="en-US"/>
        </w:rPr>
        <w:t>’</w:t>
      </w:r>
      <w:r>
        <w:rPr>
          <w:rFonts w:ascii="Palatino" w:hAnsi="Palatino"/>
          <w:sz w:val="22"/>
          <w:szCs w:val="22"/>
          <w:rtl w:val="0"/>
          <w:lang w:val="en-US"/>
        </w:rPr>
        <w:t>Danish Werewolves Between Beliefs And Narratives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Fabula</w:t>
      </w:r>
      <w:r>
        <w:rPr>
          <w:rFonts w:ascii="Palatino" w:hAnsi="Palatino"/>
          <w:sz w:val="22"/>
          <w:szCs w:val="22"/>
          <w:rtl w:val="0"/>
          <w:lang w:val="en-US"/>
        </w:rPr>
        <w:t xml:space="preserve"> 51, Heft 3/4 (2010), 225-234, &lt;doi: 10.1515/FABL..2010.022&gt;, p. 230.</w:t>
      </w:r>
    </w:p>
    <w:p>
      <w:pPr>
        <w:pStyle w:val="Body"/>
        <w:spacing w:before="0"/>
        <w:rPr>
          <w:rFonts w:ascii="Palatino" w:cs="Palatino" w:hAnsi="Palatino" w:eastAsia="Palatino"/>
          <w:sz w:val="22"/>
          <w:szCs w:val="22"/>
        </w:rPr>
      </w:pPr>
    </w:p>
    <w:p>
      <w:pPr>
        <w:pStyle w:val="Body"/>
        <w:spacing w:before="0"/>
        <w:sectPr>
          <w:headerReference w:type="default" r:id="rId21"/>
          <w:footerReference w:type="default" r:id="rId22"/>
          <w:pgSz w:w="12240" w:h="15840" w:orient="portrait"/>
          <w:pgMar w:top="1134" w:right="1134" w:bottom="1134" w:left="1134" w:header="567" w:footer="720"/>
          <w:bidi w:val="0"/>
        </w:sectPr>
      </w:pPr>
      <w:r>
        <w:rPr>
          <w:rFonts w:ascii="Palatino" w:hAnsi="Palatino"/>
          <w:sz w:val="22"/>
          <w:szCs w:val="22"/>
          <w:rtl w:val="0"/>
          <w:lang w:val="sv-SE"/>
        </w:rPr>
        <w:t>Sommarstr</w:t>
      </w:r>
      <w:r>
        <w:rPr>
          <w:rFonts w:ascii="Palatino" w:hAnsi="Palatino" w:hint="default"/>
          <w:sz w:val="22"/>
          <w:szCs w:val="22"/>
          <w:rtl w:val="0"/>
          <w:lang w:val="sv-SE"/>
        </w:rPr>
        <w:t>ö</w:t>
      </w:r>
      <w:r>
        <w:rPr>
          <w:rFonts w:ascii="Palatino" w:hAnsi="Palatino"/>
          <w:sz w:val="22"/>
          <w:szCs w:val="22"/>
          <w:rtl w:val="0"/>
        </w:rPr>
        <w:t xml:space="preserve">m, </w:t>
      </w:r>
      <w:r>
        <w:rPr>
          <w:rFonts w:ascii="Palatino" w:hAnsi="Palatino"/>
          <w:sz w:val="22"/>
          <w:szCs w:val="22"/>
          <w:rtl w:val="0"/>
          <w:lang w:val="en-US"/>
        </w:rPr>
        <w:t xml:space="preserve">Bo, </w:t>
      </w:r>
      <w:r>
        <w:rPr>
          <w:rFonts w:ascii="Palatino" w:hAnsi="Palatino" w:hint="default"/>
          <w:sz w:val="22"/>
          <w:szCs w:val="22"/>
          <w:rtl w:val="0"/>
          <w:lang w:val="en-US"/>
        </w:rPr>
        <w:t>’</w:t>
      </w:r>
      <w:r>
        <w:rPr>
          <w:rFonts w:ascii="Palatino" w:hAnsi="Palatino"/>
          <w:sz w:val="22"/>
          <w:szCs w:val="22"/>
          <w:rtl w:val="0"/>
          <w:lang w:val="en-US"/>
        </w:rPr>
        <w:t>Ethnoastronomical Perspectives On Saami Religion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it-IT"/>
        </w:rPr>
        <w:t>Scripta Instituti Donneriani Aboensis 12:211-250</w:t>
      </w:r>
      <w:r>
        <w:rPr>
          <w:rFonts w:ascii="Palatino" w:hAnsi="Palatino"/>
          <w:sz w:val="22"/>
          <w:szCs w:val="22"/>
          <w:rtl w:val="0"/>
          <w:lang w:val="en-US"/>
        </w:rPr>
        <w:t xml:space="preserve"> (1987), 211-250, &lt;doi</w:t>
      </w:r>
      <w:r>
        <w:rPr>
          <w:rFonts w:ascii="Palatino" w:hAnsi="Palatino"/>
          <w:sz w:val="22"/>
          <w:szCs w:val="22"/>
          <w:rtl w:val="0"/>
          <w:lang w:val="it-IT"/>
        </w:rPr>
        <w:t>:10.30674/scripta.67164</w:t>
      </w:r>
      <w:r>
        <w:rPr>
          <w:rFonts w:ascii="Palatino" w:hAnsi="Palatino"/>
          <w:sz w:val="22"/>
          <w:szCs w:val="22"/>
          <w:rtl w:val="0"/>
          <w:lang w:val="en-US"/>
        </w:rPr>
        <w:t>&gt;.</w:t>
      </w:r>
    </w:p>
    <w:p>
      <w:pPr>
        <w:pStyle w:val="Body"/>
        <w:spacing w:before="0"/>
        <w:rPr>
          <w:rFonts w:ascii="Palatino" w:cs="Palatino" w:hAnsi="Palatino" w:eastAsia="Palatino"/>
          <w:sz w:val="22"/>
          <w:szCs w:val="22"/>
        </w:rPr>
      </w:pPr>
      <w:r>
        <w:rPr>
          <w:rFonts w:ascii="Palatino" w:hAnsi="Palatino"/>
          <w:sz w:val="22"/>
          <w:szCs w:val="22"/>
          <w:rtl w:val="0"/>
          <w:lang w:val="de-DE"/>
        </w:rPr>
        <w:t>Wall</w:t>
      </w:r>
      <w:r>
        <w:rPr>
          <w:rFonts w:ascii="Palatino" w:hAnsi="Palatino"/>
          <w:sz w:val="22"/>
          <w:szCs w:val="22"/>
          <w:rtl w:val="0"/>
          <w:lang w:val="en-US"/>
        </w:rPr>
        <w:t xml:space="preserve">, </w:t>
      </w:r>
      <w:r>
        <w:rPr>
          <w:rFonts w:ascii="Palatino" w:hAnsi="Palatino"/>
          <w:sz w:val="22"/>
          <w:szCs w:val="22"/>
          <w:rtl w:val="0"/>
          <w:lang w:val="da-DK"/>
        </w:rPr>
        <w:t>Sarah</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rPr>
        <w:t xml:space="preserve">Easier Said </w:t>
      </w:r>
      <w:r>
        <w:rPr>
          <w:rFonts w:ascii="Palatino" w:hAnsi="Palatino"/>
          <w:sz w:val="22"/>
          <w:szCs w:val="22"/>
          <w:rtl w:val="0"/>
          <w:lang w:val="en-US"/>
        </w:rPr>
        <w:t>T</w:t>
      </w:r>
      <w:r>
        <w:rPr>
          <w:rFonts w:ascii="Palatino" w:hAnsi="Palatino"/>
          <w:sz w:val="22"/>
          <w:szCs w:val="22"/>
          <w:rtl w:val="0"/>
          <w:lang w:val="en-US"/>
        </w:rPr>
        <w:t xml:space="preserve">han Done: Writing </w:t>
      </w:r>
      <w:r>
        <w:rPr>
          <w:rFonts w:ascii="Palatino" w:hAnsi="Palatino"/>
          <w:sz w:val="22"/>
          <w:szCs w:val="22"/>
          <w:rtl w:val="0"/>
          <w:lang w:val="en-US"/>
        </w:rPr>
        <w:t>A</w:t>
      </w:r>
      <w:r>
        <w:rPr>
          <w:rFonts w:ascii="Palatino" w:hAnsi="Palatino"/>
          <w:sz w:val="22"/>
          <w:szCs w:val="22"/>
          <w:rtl w:val="0"/>
          <w:lang w:val="de-DE"/>
        </w:rPr>
        <w:t>n Autoethnography</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 xml:space="preserve">International Journal of Qualitative Methods </w:t>
      </w:r>
      <w:r>
        <w:rPr>
          <w:rFonts w:ascii="Palatino" w:hAnsi="Palatino"/>
          <w:sz w:val="22"/>
          <w:szCs w:val="22"/>
          <w:rtl w:val="0"/>
        </w:rPr>
        <w:t xml:space="preserve">7(1) </w:t>
      </w:r>
      <w:r>
        <w:rPr>
          <w:rFonts w:ascii="Palatino" w:hAnsi="Palatino"/>
          <w:sz w:val="22"/>
          <w:szCs w:val="22"/>
          <w:rtl w:val="0"/>
          <w:lang w:val="en-US"/>
        </w:rPr>
        <w:t>(2008), 38-53, &lt;</w:t>
      </w:r>
      <w:r>
        <w:rPr>
          <w:rFonts w:ascii="Palatino" w:hAnsi="Palatino"/>
          <w:sz w:val="22"/>
          <w:szCs w:val="22"/>
          <w:rtl w:val="0"/>
          <w:lang w:val="pt-PT"/>
        </w:rPr>
        <w:t>doi</w:t>
      </w:r>
      <w:r>
        <w:rPr>
          <w:rFonts w:ascii="Palatino" w:hAnsi="Palatino"/>
          <w:sz w:val="22"/>
          <w:szCs w:val="22"/>
          <w:rtl w:val="0"/>
          <w:lang w:val="en-US"/>
        </w:rPr>
        <w:t xml:space="preserve">: </w:t>
      </w:r>
      <w:r>
        <w:rPr>
          <w:rFonts w:ascii="Palatino" w:hAnsi="Palatino"/>
          <w:sz w:val="22"/>
          <w:szCs w:val="22"/>
          <w:rtl w:val="0"/>
        </w:rPr>
        <w:t>pdf/10.1177/160940690800700103</w:t>
      </w:r>
      <w:r>
        <w:rPr>
          <w:rFonts w:ascii="Palatino" w:hAnsi="Palatino"/>
          <w:sz w:val="22"/>
          <w:szCs w:val="22"/>
          <w:rtl w:val="0"/>
          <w:lang w:val="en-US"/>
        </w:rPr>
        <w:t>&gt;.</w:t>
      </w:r>
    </w:p>
    <w:p>
      <w:pPr>
        <w:pStyle w:val="Body"/>
        <w:spacing w:before="0"/>
      </w:pPr>
      <w:r>
        <w:rPr>
          <w:rFonts w:ascii="Palatino" w:cs="Palatino" w:hAnsi="Palatino" w:eastAsia="Palatino"/>
          <w:sz w:val="22"/>
          <w:szCs w:val="22"/>
        </w:rPr>
      </w:r>
    </w:p>
    <w:sectPr>
      <w:headerReference w:type="default" r:id="rId23"/>
      <w:footerReference w:type="default" r:id="rId24"/>
      <w:pgSz w:w="12240" w:h="15840" w:orient="portrait"/>
      <w:pgMar w:top="1134" w:right="1134" w:bottom="1134"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Bold">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7.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8.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9.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0.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Gillian </w:t>
      </w:r>
      <w:r>
        <w:rPr>
          <w:rFonts w:cs="Arial Unicode MS" w:eastAsia="Arial Unicode MS"/>
          <w:rtl w:val="0"/>
        </w:rPr>
        <w:t>Bennett</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hint="default"/>
          <w:rtl w:val="0"/>
          <w:lang w:val="en-US"/>
        </w:rPr>
        <w:t>“</w:t>
      </w:r>
      <w:r>
        <w:rPr>
          <w:rFonts w:cs="Arial Unicode MS" w:eastAsia="Arial Unicode MS"/>
          <w:rtl w:val="0"/>
          <w:lang w:val="en-US"/>
        </w:rPr>
        <w:t xml:space="preserve">If I Knew You </w:t>
      </w:r>
      <w:r>
        <w:rPr>
          <w:rFonts w:cs="Arial Unicode MS" w:eastAsia="Arial Unicode MS"/>
          <w:rtl w:val="0"/>
          <w:lang w:val="en-US"/>
        </w:rPr>
        <w:t>W</w:t>
      </w:r>
      <w:r>
        <w:rPr>
          <w:rFonts w:cs="Arial Unicode MS" w:eastAsia="Arial Unicode MS"/>
          <w:rtl w:val="0"/>
          <w:lang w:val="en-US"/>
        </w:rPr>
        <w:t xml:space="preserve">ere Coming I'd Have Baked </w:t>
      </w:r>
      <w:r>
        <w:rPr>
          <w:rFonts w:cs="Arial Unicode MS" w:eastAsia="Arial Unicode MS"/>
          <w:rtl w:val="0"/>
          <w:lang w:val="en-US"/>
        </w:rPr>
        <w:t>A</w:t>
      </w:r>
      <w:r>
        <w:rPr>
          <w:rFonts w:cs="Arial Unicode MS" w:eastAsia="Arial Unicode MS"/>
          <w:rtl w:val="0"/>
          <w:lang w:val="en-US"/>
        </w:rPr>
        <w:t xml:space="preserve"> Cake</w:t>
      </w:r>
      <w:r>
        <w:rPr>
          <w:rFonts w:cs="Arial Unicode MS" w:eastAsia="Arial Unicode MS" w:hint="default"/>
          <w:rtl w:val="0"/>
          <w:lang w:val="en-US"/>
        </w:rPr>
        <w:t>”</w:t>
      </w:r>
      <w:r>
        <w:rPr>
          <w:rFonts w:cs="Arial Unicode MS" w:eastAsia="Arial Unicode MS"/>
          <w:rtl w:val="0"/>
          <w:lang w:val="en-US"/>
        </w:rPr>
        <w:t xml:space="preserve">: The Folklore </w:t>
      </w:r>
      <w:r>
        <w:rPr>
          <w:rFonts w:cs="Arial Unicode MS" w:eastAsia="Arial Unicode MS"/>
          <w:rtl w:val="0"/>
          <w:lang w:val="en-US"/>
        </w:rPr>
        <w:t>O</w:t>
      </w:r>
      <w:r>
        <w:rPr>
          <w:rFonts w:cs="Arial Unicode MS" w:eastAsia="Arial Unicode MS"/>
          <w:rtl w:val="0"/>
          <w:lang w:val="en-US"/>
        </w:rPr>
        <w:t xml:space="preserve">f Foreknowledge </w:t>
      </w:r>
      <w:r>
        <w:rPr>
          <w:rFonts w:cs="Arial Unicode MS" w:eastAsia="Arial Unicode MS"/>
          <w:rtl w:val="0"/>
          <w:lang w:val="en-US"/>
        </w:rPr>
        <w:t>I</w:t>
      </w:r>
      <w:r>
        <w:rPr>
          <w:rFonts w:cs="Arial Unicode MS" w:eastAsia="Arial Unicode MS"/>
          <w:rtl w:val="0"/>
        </w:rPr>
        <w:t xml:space="preserve">n </w:t>
      </w:r>
      <w:r>
        <w:rPr>
          <w:rFonts w:cs="Arial Unicode MS" w:eastAsia="Arial Unicode MS"/>
          <w:rtl w:val="0"/>
          <w:lang w:val="en-US"/>
        </w:rPr>
        <w:t>A</w:t>
      </w:r>
      <w:r>
        <w:rPr>
          <w:rFonts w:cs="Arial Unicode MS" w:eastAsia="Arial Unicode MS"/>
          <w:rtl w:val="0"/>
          <w:lang w:val="en-US"/>
        </w:rPr>
        <w:t xml:space="preserve"> Neighborhood Group</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 xml:space="preserve">Out </w:t>
      </w:r>
      <w:r>
        <w:rPr>
          <w:rFonts w:cs="Arial Unicode MS" w:eastAsia="Arial Unicode MS"/>
          <w:i w:val="1"/>
          <w:iCs w:val="1"/>
          <w:rtl w:val="0"/>
          <w:lang w:val="en-US"/>
        </w:rPr>
        <w:t>O</w:t>
      </w:r>
      <w:r>
        <w:rPr>
          <w:rFonts w:cs="Arial Unicode MS" w:eastAsia="Arial Unicode MS"/>
          <w:i w:val="1"/>
          <w:iCs w:val="1"/>
          <w:rtl w:val="0"/>
          <w:lang w:val="en-US"/>
        </w:rPr>
        <w:t xml:space="preserve">f </w:t>
      </w:r>
      <w:r>
        <w:rPr>
          <w:rFonts w:cs="Arial Unicode MS" w:eastAsia="Arial Unicode MS"/>
          <w:i w:val="1"/>
          <w:iCs w:val="1"/>
          <w:rtl w:val="0"/>
          <w:lang w:val="en-US"/>
        </w:rPr>
        <w:t>T</w:t>
      </w:r>
      <w:r>
        <w:rPr>
          <w:rFonts w:cs="Arial Unicode MS" w:eastAsia="Arial Unicode MS"/>
          <w:i w:val="1"/>
          <w:iCs w:val="1"/>
          <w:rtl w:val="0"/>
          <w:lang w:val="en-US"/>
        </w:rPr>
        <w:t xml:space="preserve">he Ordinary: Folklore </w:t>
      </w:r>
      <w:r>
        <w:rPr>
          <w:rFonts w:cs="Arial Unicode MS" w:eastAsia="Arial Unicode MS"/>
          <w:i w:val="1"/>
          <w:iCs w:val="1"/>
          <w:rtl w:val="0"/>
          <w:lang w:val="en-US"/>
        </w:rPr>
        <w:t>A</w:t>
      </w:r>
      <w:r>
        <w:rPr>
          <w:rFonts w:cs="Arial Unicode MS" w:eastAsia="Arial Unicode MS"/>
          <w:i w:val="1"/>
          <w:iCs w:val="1"/>
          <w:rtl w:val="0"/>
          <w:lang w:val="en-US"/>
        </w:rPr>
        <w:t xml:space="preserve">nd </w:t>
      </w:r>
      <w:r>
        <w:rPr>
          <w:rFonts w:cs="Arial Unicode MS" w:eastAsia="Arial Unicode MS"/>
          <w:i w:val="1"/>
          <w:iCs w:val="1"/>
          <w:rtl w:val="0"/>
          <w:lang w:val="en-US"/>
        </w:rPr>
        <w:t>T</w:t>
      </w:r>
      <w:r>
        <w:rPr>
          <w:rFonts w:cs="Arial Unicode MS" w:eastAsia="Arial Unicode MS"/>
          <w:i w:val="1"/>
          <w:iCs w:val="1"/>
          <w:rtl w:val="0"/>
          <w:lang w:val="en-US"/>
        </w:rPr>
        <w:t>he Supernatural</w:t>
      </w:r>
      <w:r>
        <w:rPr>
          <w:rFonts w:cs="Arial Unicode MS" w:eastAsia="Arial Unicode MS"/>
          <w:rtl w:val="0"/>
          <w:lang w:val="it-IT"/>
        </w:rPr>
        <w:t>, ed</w:t>
      </w:r>
      <w:r>
        <w:rPr>
          <w:rFonts w:cs="Arial Unicode MS" w:eastAsia="Arial Unicode MS"/>
          <w:rtl w:val="0"/>
          <w:lang w:val="en-US"/>
        </w:rPr>
        <w:t>n.</w:t>
      </w:r>
      <w:r>
        <w:rPr>
          <w:rFonts w:cs="Arial Unicode MS" w:eastAsia="Arial Unicode MS"/>
          <w:rtl w:val="0"/>
          <w:lang w:val="en-US"/>
        </w:rPr>
        <w:t xml:space="preserve"> Barbara Walker</w:t>
      </w:r>
      <w:r>
        <w:rPr>
          <w:rFonts w:cs="Arial Unicode MS" w:eastAsia="Arial Unicode MS"/>
          <w:rtl w:val="0"/>
          <w:lang w:val="en-US"/>
        </w:rPr>
        <w:t xml:space="preserve"> (</w:t>
      </w:r>
      <w:r>
        <w:rPr>
          <w:rFonts w:cs="Arial Unicode MS" w:eastAsia="Arial Unicode MS"/>
          <w:rtl w:val="0"/>
          <w:lang w:val="en-US"/>
        </w:rPr>
        <w:t>Logan, Utah: Utah University Press</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1995),</w:t>
      </w:r>
      <w:r>
        <w:rPr>
          <w:rFonts w:cs="Arial Unicode MS" w:eastAsia="Arial Unicode MS"/>
          <w:rtl w:val="0"/>
        </w:rPr>
        <w:t xml:space="preserve"> 122-142</w:t>
      </w:r>
      <w:r>
        <w:rPr>
          <w:rFonts w:cs="Arial Unicode MS" w:eastAsia="Arial Unicode MS"/>
          <w:rtl w:val="0"/>
          <w:lang w:val="en-US"/>
        </w:rPr>
        <w:t>, &lt;</w:t>
      </w:r>
      <w:r>
        <w:rPr>
          <w:rFonts w:cs="Arial Unicode MS" w:eastAsia="Arial Unicode MS"/>
          <w:rtl w:val="0"/>
        </w:rPr>
        <w:t>doi.org/10.2307/j.ctt46nwn8</w:t>
      </w:r>
      <w:r>
        <w:rPr>
          <w:rFonts w:cs="Arial Unicode MS" w:eastAsia="Arial Unicode MS"/>
          <w:rtl w:val="0"/>
          <w:lang w:val="en-US"/>
        </w:rPr>
        <w:t>&gt;.</w:t>
      </w:r>
    </w:p>
    <w:p>
      <w:pPr>
        <w:pStyle w:val="Body"/>
        <w:spacing w:before="0"/>
      </w:pPr>
      <w:r>
        <w:rPr>
          <w:rFonts w:ascii="Palatino" w:hAnsi="Palatino"/>
          <w:sz w:val="18"/>
          <w:szCs w:val="18"/>
          <w:rtl w:val="0"/>
          <w:lang w:val="en-US"/>
        </w:rPr>
        <w:t xml:space="preserve">   Jenny </w:t>
      </w:r>
      <w:r>
        <w:rPr>
          <w:rFonts w:ascii="Palatino" w:hAnsi="Palatino"/>
          <w:sz w:val="18"/>
          <w:szCs w:val="18"/>
          <w:rtl w:val="0"/>
        </w:rPr>
        <w:t>Blain</w:t>
      </w:r>
      <w:r>
        <w:rPr>
          <w:rFonts w:ascii="Palatino" w:hAnsi="Palatino"/>
          <w:sz w:val="18"/>
          <w:szCs w:val="18"/>
          <w:rtl w:val="0"/>
          <w:lang w:val="en-US"/>
        </w:rPr>
        <w:t xml:space="preserve">, </w:t>
      </w:r>
      <w:r>
        <w:rPr>
          <w:rFonts w:ascii="Palatino" w:hAnsi="Palatino" w:hint="default"/>
          <w:sz w:val="18"/>
          <w:szCs w:val="18"/>
          <w:rtl w:val="0"/>
          <w:lang w:val="en-US"/>
        </w:rPr>
        <w:t>‘</w:t>
      </w:r>
      <w:r>
        <w:rPr>
          <w:rFonts w:ascii="Palatino" w:hAnsi="Palatino"/>
          <w:sz w:val="18"/>
          <w:szCs w:val="18"/>
          <w:rtl w:val="0"/>
          <w:lang w:val="en-US"/>
        </w:rPr>
        <w:t>Speaking Shamanistically: Seidr, Academia and Rationality</w:t>
      </w:r>
      <w:r>
        <w:rPr>
          <w:rFonts w:ascii="Palatino" w:hAnsi="Palatino" w:hint="default"/>
          <w:sz w:val="18"/>
          <w:szCs w:val="18"/>
          <w:rtl w:val="0"/>
          <w:lang w:val="en-US"/>
        </w:rPr>
        <w:t>’</w:t>
      </w:r>
      <w:r>
        <w:rPr>
          <w:rFonts w:ascii="Palatino" w:hAnsi="Palatino"/>
          <w:sz w:val="18"/>
          <w:szCs w:val="18"/>
          <w:rtl w:val="0"/>
          <w:lang w:val="en-US"/>
        </w:rPr>
        <w:t>,</w:t>
      </w:r>
      <w:r>
        <w:rPr>
          <w:rFonts w:ascii="Palatino" w:hAnsi="Palatino"/>
          <w:sz w:val="18"/>
          <w:szCs w:val="18"/>
          <w:rtl w:val="0"/>
        </w:rPr>
        <w:t xml:space="preserve"> </w:t>
      </w:r>
      <w:r>
        <w:rPr>
          <w:rFonts w:ascii="Palatino" w:hAnsi="Palatino"/>
          <w:i w:val="1"/>
          <w:iCs w:val="1"/>
          <w:sz w:val="18"/>
          <w:szCs w:val="18"/>
          <w:rtl w:val="0"/>
        </w:rPr>
        <w:t>DISKUS</w:t>
      </w:r>
      <w:r>
        <w:rPr>
          <w:rFonts w:ascii="Palatino" w:hAnsi="Palatino"/>
          <w:sz w:val="18"/>
          <w:szCs w:val="18"/>
          <w:rtl w:val="0"/>
        </w:rPr>
        <w:t xml:space="preserve"> Volume 6 (2000)</w:t>
      </w:r>
      <w:r>
        <w:rPr>
          <w:rFonts w:ascii="Palatino" w:hAnsi="Palatino"/>
          <w:sz w:val="18"/>
          <w:szCs w:val="18"/>
          <w:rtl w:val="0"/>
          <w:lang w:val="en-US"/>
        </w:rPr>
        <w:t>, &lt;</w:t>
      </w:r>
      <w:r>
        <w:rPr>
          <w:rFonts w:ascii="Palatino" w:hAnsi="Palatino"/>
          <w:sz w:val="18"/>
          <w:szCs w:val="18"/>
          <w:rtl w:val="0"/>
          <w:lang w:val="de-DE"/>
        </w:rPr>
        <w:t xml:space="preserve"> www.uni-marburg.de/fb03/religionswissenschaft/journal/diskus</w:t>
      </w:r>
      <w:r>
        <w:rPr>
          <w:rFonts w:ascii="Palatino" w:hAnsi="Palatino"/>
          <w:sz w:val="18"/>
          <w:szCs w:val="18"/>
          <w:rtl w:val="0"/>
          <w:lang w:val="en-US"/>
        </w:rPr>
        <w:t>&gt; {assessed 16th March 2021}.</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Kim Etherington, </w:t>
      </w:r>
      <w:r>
        <w:rPr>
          <w:rFonts w:cs="Arial Unicode MS" w:eastAsia="Arial Unicode MS"/>
          <w:i w:val="1"/>
          <w:iCs w:val="1"/>
          <w:rtl w:val="0"/>
          <w:lang w:val="en-US"/>
        </w:rPr>
        <w:t>Becoming A Reflexive Researcher</w:t>
      </w:r>
      <w:r>
        <w:rPr>
          <w:rFonts w:cs="Arial Unicode MS" w:eastAsia="Arial Unicode MS"/>
          <w:rtl w:val="0"/>
          <w:lang w:val="en-US"/>
        </w:rPr>
        <w:t xml:space="preserve"> (London: Jessica Kingsley Publishers, 2004).</w:t>
      </w:r>
    </w:p>
    <w:p>
      <w:pPr>
        <w:pStyle w:val="Footnote"/>
        <w:bidi w:val="0"/>
      </w:pPr>
      <w:r>
        <w:rPr>
          <w:rFonts w:cs="Arial Unicode MS" w:eastAsia="Arial Unicode MS"/>
          <w:rtl w:val="0"/>
          <w:lang w:val="en-US"/>
        </w:rPr>
        <w:t xml:space="preserve">   Judith Bell and Stephen Waters, </w:t>
      </w:r>
      <w:r>
        <w:rPr>
          <w:rFonts w:cs="Arial Unicode MS" w:eastAsia="Arial Unicode MS"/>
          <w:i w:val="1"/>
          <w:iCs w:val="1"/>
          <w:rtl w:val="0"/>
          <w:lang w:val="en-US"/>
        </w:rPr>
        <w:t>Doing Your Research Project</w:t>
      </w:r>
      <w:r>
        <w:rPr>
          <w:rFonts w:cs="Arial Unicode MS" w:eastAsia="Arial Unicode MS"/>
          <w:rtl w:val="0"/>
          <w:lang w:val="en-US"/>
        </w:rPr>
        <w:t>, 7</w:t>
      </w:r>
      <w:r>
        <w:rPr>
          <w:rFonts w:cs="Arial Unicode MS" w:eastAsia="Arial Unicode MS"/>
          <w:vertAlign w:val="superscript"/>
          <w:rtl w:val="0"/>
          <w:lang w:val="en-US"/>
        </w:rPr>
        <w:t>th</w:t>
      </w:r>
      <w:r>
        <w:rPr>
          <w:rFonts w:cs="Arial Unicode MS" w:eastAsia="Arial Unicode MS"/>
          <w:rtl w:val="0"/>
          <w:lang w:val="en-US"/>
        </w:rPr>
        <w:t xml:space="preserve"> edn. (London: Open University Press, McGraw-Hill Education, 2018).</w:t>
      </w:r>
    </w:p>
    <w:p>
      <w:pPr>
        <w:pStyle w:val="Footnote"/>
        <w:bidi w:val="0"/>
      </w:pPr>
      <w:r>
        <w:rPr>
          <w:rFonts w:cs="Arial Unicode MS" w:eastAsia="Arial Unicode MS"/>
          <w:rtl w:val="0"/>
          <w:lang w:val="en-US"/>
        </w:rPr>
        <w:t xml:space="preserve">   Sonya Corbin Dwyer and Jennifer L. Buckle, </w:t>
      </w:r>
      <w:r>
        <w:rPr>
          <w:rFonts w:cs="Arial Unicode MS" w:eastAsia="Arial Unicode MS" w:hint="default"/>
          <w:rtl w:val="0"/>
          <w:lang w:val="en-US"/>
        </w:rPr>
        <w:t>‘</w:t>
      </w:r>
      <w:r>
        <w:rPr>
          <w:rFonts w:cs="Arial Unicode MS" w:eastAsia="Arial Unicode MS"/>
          <w:rtl w:val="0"/>
          <w:lang w:val="en-US"/>
        </w:rPr>
        <w:t>The Space Between: On Being An Insider-Outsider In Qualitative Research</w:t>
      </w:r>
      <w:r>
        <w:rPr>
          <w:rFonts w:cs="Arial Unicode MS" w:eastAsia="Arial Unicode MS" w:hint="default"/>
          <w:rtl w:val="0"/>
          <w:lang w:val="en-US"/>
        </w:rPr>
        <w:t xml:space="preserve">’ </w:t>
      </w:r>
      <w:r>
        <w:rPr>
          <w:rFonts w:cs="Arial Unicode MS" w:eastAsia="Arial Unicode MS"/>
          <w:i w:val="1"/>
          <w:iCs w:val="1"/>
          <w:rtl w:val="0"/>
          <w:lang w:val="en-US"/>
        </w:rPr>
        <w:t>International Journal of Qualitative Methods</w:t>
      </w:r>
      <w:r>
        <w:rPr>
          <w:rFonts w:cs="Arial Unicode MS" w:eastAsia="Arial Unicode MS"/>
          <w:rtl w:val="0"/>
          <w:lang w:val="en-US"/>
        </w:rPr>
        <w:t xml:space="preserve"> 8(1) (2009), 54-63, &lt;DOI: </w:t>
      </w:r>
      <w:r>
        <w:rPr>
          <w:rFonts w:cs="Arial Unicode MS" w:eastAsia="Arial Unicode MS"/>
          <w:rtl w:val="0"/>
        </w:rPr>
        <w:t>org/10.1177/160940690900800105</w:t>
      </w:r>
      <w:r>
        <w:rPr>
          <w:rFonts w:cs="Arial Unicode MS" w:eastAsia="Arial Unicode MS"/>
          <w:rtl w:val="0"/>
          <w:lang w:val="en-US"/>
        </w:rPr>
        <w:t>&gt;.</w:t>
      </w:r>
    </w:p>
    <w:p>
      <w:pPr>
        <w:pStyle w:val="Footnote"/>
        <w:bidi w:val="0"/>
      </w:pPr>
      <w:r>
        <w:rPr>
          <w:rFonts w:cs="Arial Unicode MS" w:eastAsia="Arial Unicode MS"/>
          <w:rtl w:val="0"/>
          <w:lang w:val="en-US"/>
        </w:rPr>
        <w:t xml:space="preserve">   Monique Hennick, Inge Hutter and Ajay Bailey, </w:t>
      </w:r>
      <w:r>
        <w:rPr>
          <w:rFonts w:cs="Arial Unicode MS" w:eastAsia="Arial Unicode MS"/>
          <w:i w:val="1"/>
          <w:iCs w:val="1"/>
          <w:rtl w:val="0"/>
          <w:lang w:val="en-US"/>
        </w:rPr>
        <w:t>Qualitative Research Methods</w:t>
      </w:r>
      <w:r>
        <w:rPr>
          <w:rFonts w:cs="Arial Unicode MS" w:eastAsia="Arial Unicode MS"/>
          <w:rtl w:val="0"/>
          <w:lang w:val="en-US"/>
        </w:rPr>
        <w:t>, 2</w:t>
      </w:r>
      <w:r>
        <w:rPr>
          <w:rFonts w:cs="Arial Unicode MS" w:eastAsia="Arial Unicode MS"/>
          <w:vertAlign w:val="superscript"/>
          <w:rtl w:val="0"/>
          <w:lang w:val="en-US"/>
        </w:rPr>
        <w:t>nd</w:t>
      </w:r>
      <w:r>
        <w:rPr>
          <w:rFonts w:cs="Arial Unicode MS" w:eastAsia="Arial Unicode MS"/>
          <w:rtl w:val="0"/>
          <w:lang w:val="en-US"/>
        </w:rPr>
        <w:t xml:space="preserve"> edn. (London: Sage, 2020).</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Gillian Bennett, </w:t>
      </w:r>
      <w:r>
        <w:rPr>
          <w:rFonts w:cs="Arial Unicode MS" w:eastAsia="Arial Unicode MS"/>
          <w:i w:val="1"/>
          <w:iCs w:val="1"/>
          <w:rtl w:val="0"/>
          <w:lang w:val="en-US"/>
        </w:rPr>
        <w:t>If I knew.</w:t>
      </w:r>
    </w:p>
  </w:footnote>
  <w:footnote w:id="4">
    <w:p>
      <w:pPr>
        <w:pStyle w:val="Footnote"/>
        <w:bidi w:val="0"/>
      </w:pPr>
      <w:r>
        <w:rPr>
          <w:vertAlign w:val="superscript"/>
        </w:rPr>
        <w:footnoteRef/>
      </w:r>
      <w:r>
        <w:rPr>
          <w:rFonts w:cs="Arial Unicode MS" w:eastAsia="Arial Unicode MS"/>
          <w:rtl w:val="0"/>
          <w:lang w:val="en-US"/>
        </w:rPr>
        <w:t xml:space="preserve"> contemporarylegend.org: The Website for the International Society for Contemporary Legend Research, 2015 Recipient Of The Linda Degh Lifetime Achievement Award, &lt;www.contemporarylegend.org/prizes-and-awards/linda-degh-lifetime-achievement-award/dr-gillian-bennett&gt; {assessed 18th March 2021)</w:t>
      </w:r>
      <w:r>
        <w:rPr>
          <w:rFonts w:cs="Arial Unicode MS" w:eastAsia="Arial Unicode MS"/>
          <w:rtl w:val="0"/>
          <w:lang w:val="en-US"/>
        </w:rPr>
        <w:t>.</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Jenny </w:t>
      </w:r>
      <w:r>
        <w:rPr>
          <w:rFonts w:cs="Arial Unicode MS" w:eastAsia="Arial Unicode MS"/>
          <w:rtl w:val="0"/>
        </w:rPr>
        <w:t>Blain</w:t>
      </w:r>
      <w:r>
        <w:rPr>
          <w:rFonts w:cs="Arial Unicode MS" w:eastAsia="Arial Unicode MS"/>
          <w:rtl w:val="0"/>
          <w:lang w:val="en-US"/>
        </w:rPr>
        <w:t xml:space="preserve">, </w:t>
      </w:r>
      <w:r>
        <w:rPr>
          <w:rFonts w:cs="Arial Unicode MS" w:eastAsia="Arial Unicode MS"/>
          <w:i w:val="1"/>
          <w:iCs w:val="1"/>
          <w:rtl w:val="0"/>
          <w:lang w:val="en-US"/>
        </w:rPr>
        <w:t>Speaking Shamanistically</w:t>
      </w:r>
      <w:r>
        <w:rPr>
          <w:rFonts w:cs="Arial Unicode MS" w:eastAsia="Arial Unicode MS"/>
          <w:i w:val="1"/>
          <w:iCs w:val="1"/>
          <w:rtl w:val="0"/>
          <w:lang w:val="en-US"/>
        </w:rPr>
        <w:t>.</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Jenny Blain, LinkedIn Profile, &lt;www.</w:t>
      </w:r>
      <w:r>
        <w:rPr>
          <w:rFonts w:cs="Arial Unicode MS" w:eastAsia="Arial Unicode MS"/>
          <w:rtl w:val="0"/>
        </w:rPr>
        <w:t>uk.linkedin.com/in/jenny-blain-9b508337</w:t>
      </w:r>
      <w:r>
        <w:rPr>
          <w:rFonts w:cs="Arial Unicode MS" w:eastAsia="Arial Unicode MS"/>
          <w:rtl w:val="0"/>
          <w:lang w:val="en-US"/>
        </w:rPr>
        <w:t>&gt; [assessed 18th March 2021).</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Gillian Bennett, </w:t>
      </w:r>
      <w:r>
        <w:rPr>
          <w:rFonts w:cs="Arial Unicode MS" w:eastAsia="Arial Unicode MS"/>
          <w:i w:val="1"/>
          <w:iCs w:val="1"/>
          <w:rtl w:val="0"/>
          <w:lang w:val="en-US"/>
        </w:rPr>
        <w:t>If I Knew</w:t>
      </w:r>
      <w:r>
        <w:rPr>
          <w:rFonts w:cs="Arial Unicode MS" w:eastAsia="Arial Unicode MS"/>
          <w:rtl w:val="0"/>
          <w:lang w:val="en-US"/>
        </w:rPr>
        <w:t>, p. 122-126.</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Gillian Bennett, </w:t>
      </w:r>
      <w:r>
        <w:rPr>
          <w:rFonts w:cs="Arial Unicode MS" w:eastAsia="Arial Unicode MS"/>
          <w:i w:val="1"/>
          <w:iCs w:val="1"/>
          <w:rtl w:val="0"/>
          <w:lang w:val="en-US"/>
        </w:rPr>
        <w:t>If I Knew</w:t>
      </w:r>
      <w:r>
        <w:rPr>
          <w:rFonts w:cs="Arial Unicode MS" w:eastAsia="Arial Unicode MS"/>
          <w:rtl w:val="0"/>
          <w:lang w:val="en-US"/>
        </w:rPr>
        <w:t>, p. 141.</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Etherington, </w:t>
      </w:r>
      <w:r>
        <w:rPr>
          <w:rFonts w:cs="Arial Unicode MS" w:eastAsia="Arial Unicode MS"/>
          <w:i w:val="1"/>
          <w:iCs w:val="1"/>
          <w:rtl w:val="0"/>
          <w:lang w:val="en-US"/>
        </w:rPr>
        <w:t>Becoming A Reflexive Researcher</w:t>
      </w:r>
      <w:r>
        <w:rPr>
          <w:rFonts w:cs="Arial Unicode MS" w:eastAsia="Arial Unicode MS"/>
          <w:rtl w:val="0"/>
          <w:lang w:val="en-US"/>
        </w:rPr>
        <w:t>.</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Corbin Dwyer and Buckle, </w:t>
      </w:r>
      <w:r>
        <w:rPr>
          <w:rFonts w:cs="Arial Unicode MS" w:eastAsia="Arial Unicode MS"/>
          <w:i w:val="1"/>
          <w:iCs w:val="1"/>
          <w:rtl w:val="0"/>
          <w:lang w:val="en-US"/>
        </w:rPr>
        <w:t>The Space Between</w:t>
      </w:r>
      <w:r>
        <w:rPr>
          <w:rFonts w:cs="Arial Unicode MS" w:eastAsia="Arial Unicode MS"/>
          <w:rtl w:val="0"/>
          <w:lang w:val="en-US"/>
        </w:rPr>
        <w:t>.</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Bell and Waters, </w:t>
      </w:r>
      <w:r>
        <w:rPr>
          <w:rFonts w:cs="Arial Unicode MS" w:eastAsia="Arial Unicode MS"/>
          <w:i w:val="1"/>
          <w:iCs w:val="1"/>
          <w:rtl w:val="0"/>
          <w:lang w:val="en-US"/>
        </w:rPr>
        <w:t>Doing Your Research Project</w:t>
      </w:r>
      <w:r>
        <w:rPr>
          <w:rFonts w:cs="Arial Unicode MS" w:eastAsia="Arial Unicode MS"/>
          <w:rtl w:val="0"/>
          <w:lang w:val="en-US"/>
        </w:rPr>
        <w:t>.</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Randall Sexton and Ellen Anne Buljo Stabbursvik, </w:t>
      </w:r>
      <w:r>
        <w:rPr>
          <w:rFonts w:cs="Arial Unicode MS" w:eastAsia="Arial Unicode MS" w:hint="default"/>
          <w:rtl w:val="0"/>
          <w:lang w:val="en-US"/>
        </w:rPr>
        <w:t>‘</w:t>
      </w:r>
      <w:r>
        <w:rPr>
          <w:rFonts w:cs="Arial Unicode MS" w:eastAsia="Arial Unicode MS"/>
          <w:rtl w:val="0"/>
          <w:lang w:val="en-US"/>
        </w:rPr>
        <w:t>Healing In The Sami North</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Culture, Medicine and Psychiatry</w:t>
      </w:r>
      <w:r>
        <w:rPr>
          <w:rFonts w:cs="Arial Unicode MS" w:eastAsia="Arial Unicode MS"/>
          <w:rtl w:val="0"/>
          <w:lang w:val="en-US"/>
        </w:rPr>
        <w:t xml:space="preserve"> 34(4) (2010), 571-589, &lt;doi: 10.1007/s11013-010-9191-x&gt;.</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Hennick et.al., </w:t>
      </w:r>
      <w:r>
        <w:rPr>
          <w:rFonts w:cs="Arial Unicode MS" w:eastAsia="Arial Unicode MS"/>
          <w:i w:val="1"/>
          <w:iCs w:val="1"/>
          <w:rtl w:val="0"/>
          <w:lang w:val="en-US"/>
        </w:rPr>
        <w:t>Qualitative Research Methods</w:t>
      </w:r>
      <w:r>
        <w:rPr>
          <w:rFonts w:cs="Arial Unicode MS" w:eastAsia="Arial Unicode MS"/>
          <w:rtl w:val="0"/>
          <w:lang w:val="en-US"/>
        </w:rPr>
        <w:t>.</w:t>
      </w:r>
    </w:p>
    <w:p>
      <w:pPr>
        <w:pStyle w:val="Footnote"/>
        <w:bidi w:val="0"/>
      </w:pPr>
      <w:r>
        <w:rPr>
          <w:rFonts w:cs="Arial Unicode MS" w:eastAsia="Arial Unicode MS"/>
          <w:rtl w:val="0"/>
          <w:lang w:val="en-US"/>
        </w:rPr>
        <w:t xml:space="preserve">   Etherington, </w:t>
      </w:r>
      <w:r>
        <w:rPr>
          <w:rFonts w:cs="Arial Unicode MS" w:eastAsia="Arial Unicode MS"/>
          <w:i w:val="1"/>
          <w:iCs w:val="1"/>
          <w:rtl w:val="0"/>
          <w:lang w:val="en-US"/>
        </w:rPr>
        <w:t>Becoming A Reflexive Researcher</w:t>
      </w:r>
      <w:r>
        <w:rPr>
          <w:rFonts w:cs="Arial Unicode MS" w:eastAsia="Arial Unicode MS"/>
          <w:rtl w:val="0"/>
          <w:lang w:val="en-US"/>
        </w:rPr>
        <w:t>.</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Etherington, </w:t>
      </w:r>
      <w:r>
        <w:rPr>
          <w:rFonts w:cs="Arial Unicode MS" w:eastAsia="Arial Unicode MS"/>
          <w:i w:val="1"/>
          <w:iCs w:val="1"/>
          <w:rtl w:val="0"/>
          <w:lang w:val="en-US"/>
        </w:rPr>
        <w:t>Becoming A Reflexive Researcher</w:t>
      </w:r>
      <w:r>
        <w:rPr>
          <w:rFonts w:cs="Arial Unicode MS" w:eastAsia="Arial Unicode MS"/>
          <w:rtl w:val="0"/>
          <w:lang w:val="en-US"/>
        </w:rPr>
        <w:t>, p. 32.</w:t>
      </w:r>
    </w:p>
  </w:footnote>
  <w:footnote w:id="15">
    <w:p>
      <w:pPr>
        <w:pStyle w:val="Footnote"/>
        <w:bidi w:val="0"/>
      </w:pPr>
      <w:r>
        <w:rPr>
          <w:vertAlign w:val="superscript"/>
        </w:rPr>
        <w:footnoteRef/>
      </w:r>
      <w:r>
        <w:rPr>
          <w:rFonts w:cs="Arial Unicode MS" w:eastAsia="Arial Unicode MS"/>
          <w:rtl w:val="0"/>
          <w:lang w:val="da-DK"/>
        </w:rPr>
        <w:t xml:space="preserve"> Sarah Wall</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rPr>
        <w:t xml:space="preserve">Easier Said </w:t>
      </w:r>
      <w:r>
        <w:rPr>
          <w:rFonts w:cs="Arial Unicode MS" w:eastAsia="Arial Unicode MS"/>
          <w:rtl w:val="0"/>
          <w:lang w:val="en-US"/>
        </w:rPr>
        <w:t>T</w:t>
      </w:r>
      <w:r>
        <w:rPr>
          <w:rFonts w:cs="Arial Unicode MS" w:eastAsia="Arial Unicode MS"/>
          <w:rtl w:val="0"/>
          <w:lang w:val="en-US"/>
        </w:rPr>
        <w:t xml:space="preserve">han Done: Writing </w:t>
      </w:r>
      <w:r>
        <w:rPr>
          <w:rFonts w:cs="Arial Unicode MS" w:eastAsia="Arial Unicode MS"/>
          <w:rtl w:val="0"/>
          <w:lang w:val="en-US"/>
        </w:rPr>
        <w:t>A</w:t>
      </w:r>
      <w:r>
        <w:rPr>
          <w:rFonts w:cs="Arial Unicode MS" w:eastAsia="Arial Unicode MS"/>
          <w:rtl w:val="0"/>
          <w:lang w:val="de-DE"/>
        </w:rPr>
        <w:t>n Autoethnography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 xml:space="preserve">International Journal of Qualitative Methods </w:t>
      </w:r>
      <w:r>
        <w:rPr>
          <w:rFonts w:cs="Arial Unicode MS" w:eastAsia="Arial Unicode MS"/>
          <w:rtl w:val="0"/>
        </w:rPr>
        <w:t xml:space="preserve">7(1) </w:t>
      </w:r>
      <w:r>
        <w:rPr>
          <w:rFonts w:cs="Arial Unicode MS" w:eastAsia="Arial Unicode MS"/>
          <w:rtl w:val="0"/>
          <w:lang w:val="en-US"/>
        </w:rPr>
        <w:t>(2008), 38-53, &lt;</w:t>
      </w:r>
      <w:r>
        <w:rPr>
          <w:rFonts w:cs="Arial Unicode MS" w:eastAsia="Arial Unicode MS"/>
          <w:rtl w:val="0"/>
        </w:rPr>
        <w:t>do</w:t>
      </w:r>
      <w:r>
        <w:rPr>
          <w:rFonts w:cs="Arial Unicode MS" w:eastAsia="Arial Unicode MS"/>
          <w:rtl w:val="0"/>
          <w:lang w:val="en-US"/>
        </w:rPr>
        <w:t xml:space="preserve">i: </w:t>
      </w:r>
      <w:r>
        <w:rPr>
          <w:rFonts w:cs="Arial Unicode MS" w:eastAsia="Arial Unicode MS"/>
          <w:rtl w:val="0"/>
        </w:rPr>
        <w:t>pdf/10.1177/160940690800700103</w:t>
      </w:r>
      <w:r>
        <w:rPr>
          <w:rFonts w:cs="Arial Unicode MS" w:eastAsia="Arial Unicode MS"/>
          <w:rtl w:val="0"/>
          <w:lang w:val="en-US"/>
        </w:rPr>
        <w:t>&gt;.</w:t>
      </w:r>
    </w:p>
  </w:footnote>
  <w:footnote w:id="16">
    <w:p>
      <w:pPr>
        <w:pStyle w:val="Footnote"/>
        <w:bidi w:val="0"/>
      </w:pPr>
      <w:r>
        <w:rPr>
          <w:vertAlign w:val="superscript"/>
        </w:rPr>
        <w:footnoteRef/>
      </w:r>
      <w:r>
        <w:rPr>
          <w:rFonts w:cs="Arial Unicode MS" w:eastAsia="Arial Unicode MS"/>
          <w:rtl w:val="0"/>
          <w:lang w:val="en-US"/>
        </w:rPr>
        <w:t xml:space="preserve"> Sexton and Stabbursvik, </w:t>
      </w:r>
      <w:r>
        <w:rPr>
          <w:rFonts w:cs="Arial Unicode MS" w:eastAsia="Arial Unicode MS"/>
          <w:i w:val="1"/>
          <w:iCs w:val="1"/>
          <w:rtl w:val="0"/>
          <w:lang w:val="en-US"/>
        </w:rPr>
        <w:t>Healing In The Sami North</w:t>
      </w:r>
      <w:r>
        <w:rPr>
          <w:rFonts w:cs="Arial Unicode MS" w:eastAsia="Arial Unicode MS"/>
          <w:rtl w:val="0"/>
          <w:lang w:val="en-US"/>
        </w:rPr>
        <w:t>.</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Francis Joy, </w:t>
      </w:r>
      <w:r>
        <w:rPr>
          <w:rFonts w:cs="Arial Unicode MS" w:eastAsia="Arial Unicode MS" w:hint="default"/>
          <w:rtl w:val="0"/>
          <w:lang w:val="en-US"/>
        </w:rPr>
        <w:t>‘</w:t>
      </w:r>
      <w:r>
        <w:rPr>
          <w:rFonts w:cs="Arial Unicode MS" w:eastAsia="Arial Unicode MS"/>
          <w:rtl w:val="0"/>
          <w:lang w:val="en-US"/>
        </w:rPr>
        <w:t>The Importance Of The Sun Symbol In The Restoration Of Sami Spiritual Traditions And Healing Practice</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Religions</w:t>
      </w:r>
      <w:r>
        <w:rPr>
          <w:rFonts w:cs="Arial Unicode MS" w:eastAsia="Arial Unicode MS"/>
          <w:rtl w:val="0"/>
          <w:lang w:val="en-US"/>
        </w:rPr>
        <w:t xml:space="preserve"> 11(6) (2020), 1-22, &lt;doi: org/10.3390/rel11060270&gt;.</w:t>
      </w:r>
    </w:p>
  </w:footnote>
  <w:footnote w:id="1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Bennett, </w:t>
      </w:r>
      <w:r>
        <w:rPr>
          <w:rFonts w:cs="Arial Unicode MS" w:eastAsia="Arial Unicode MS"/>
          <w:i w:val="1"/>
          <w:iCs w:val="1"/>
          <w:rtl w:val="0"/>
          <w:lang w:val="en-US"/>
        </w:rPr>
        <w:t>If I Knew</w:t>
      </w:r>
      <w:r>
        <w:rPr>
          <w:rFonts w:cs="Arial Unicode MS" w:eastAsia="Arial Unicode MS"/>
          <w:rtl w:val="0"/>
          <w:lang w:val="en-US"/>
        </w:rPr>
        <w:t>, p. 126.</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Line Melb</w:t>
      </w:r>
      <w:r>
        <w:rPr>
          <w:rFonts w:cs="Arial Unicode MS" w:eastAsia="Arial Unicode MS" w:hint="default"/>
          <w:rtl w:val="0"/>
          <w:lang w:val="da-DK"/>
        </w:rPr>
        <w:t>ø</w:t>
      </w:r>
      <w:r>
        <w:rPr>
          <w:rFonts w:cs="Arial Unicode MS" w:eastAsia="Arial Unicode MS"/>
          <w:rtl w:val="0"/>
          <w:lang w:val="da-DK"/>
        </w:rPr>
        <w:t>e, Ketil Lenert Hansen, Bj</w:t>
      </w:r>
      <w:r>
        <w:rPr>
          <w:rFonts w:cs="Arial Unicode MS" w:eastAsia="Arial Unicode MS" w:hint="default"/>
          <w:rtl w:val="0"/>
          <w:lang w:val="da-DK"/>
        </w:rPr>
        <w:t>ø</w:t>
      </w:r>
      <w:r>
        <w:rPr>
          <w:rFonts w:cs="Arial Unicode MS" w:eastAsia="Arial Unicode MS"/>
          <w:rtl w:val="0"/>
          <w:lang w:val="da-DK"/>
        </w:rPr>
        <w:t>rn</w:t>
      </w:r>
      <w:r>
        <w:rPr>
          <w:rFonts w:cs="Arial Unicode MS" w:eastAsia="Arial Unicode MS"/>
          <w:rtl w:val="0"/>
          <w:lang w:val="en-US"/>
        </w:rPr>
        <w:t>-</w:t>
      </w:r>
      <w:r>
        <w:rPr>
          <w:rFonts w:cs="Arial Unicode MS" w:eastAsia="Arial Unicode MS"/>
          <w:rtl w:val="0"/>
          <w:lang w:val="da-DK"/>
        </w:rPr>
        <w:t>Erik Johnsen, Gunn Elin Fedreheim, Tone Dinesen, Gunn</w:t>
      </w:r>
      <w:r>
        <w:rPr>
          <w:rFonts w:cs="Arial Unicode MS" w:eastAsia="Arial Unicode MS"/>
          <w:rtl w:val="0"/>
          <w:lang w:val="en-US"/>
        </w:rPr>
        <w:t>-</w:t>
      </w:r>
      <w:r>
        <w:rPr>
          <w:rFonts w:cs="Arial Unicode MS" w:eastAsia="Arial Unicode MS"/>
          <w:rtl w:val="0"/>
          <w:lang w:val="da-DK"/>
        </w:rPr>
        <w:t>Tove M</w:t>
      </w:r>
      <w:r>
        <w:rPr>
          <w:rFonts w:cs="Arial Unicode MS" w:eastAsia="Arial Unicode MS"/>
          <w:rtl w:val="0"/>
          <w:lang w:val="en-US"/>
        </w:rPr>
        <w:t>i</w:t>
      </w:r>
      <w:r>
        <w:rPr>
          <w:rFonts w:cs="Arial Unicode MS" w:eastAsia="Arial Unicode MS"/>
          <w:rtl w:val="0"/>
          <w:lang w:val="da-DK"/>
        </w:rPr>
        <w:t xml:space="preserve">nde and Marit Rustad, </w:t>
      </w:r>
      <w:r>
        <w:rPr>
          <w:rFonts w:cs="Arial Unicode MS" w:eastAsia="Arial Unicode MS" w:hint="default"/>
          <w:rtl w:val="0"/>
          <w:lang w:val="en-US"/>
        </w:rPr>
        <w:t>‘</w:t>
      </w:r>
      <w:r>
        <w:rPr>
          <w:rFonts w:cs="Arial Unicode MS" w:eastAsia="Arial Unicode MS"/>
          <w:rtl w:val="0"/>
          <w:lang w:val="da-DK"/>
        </w:rPr>
        <w:t>Ethical And Methodological Issues In Research With Sami Experiencing Disability</w:t>
      </w:r>
      <w:r>
        <w:rPr>
          <w:rFonts w:cs="Arial Unicode MS" w:eastAsia="Arial Unicode MS" w:hint="default"/>
          <w:rtl w:val="0"/>
          <w:lang w:val="en-US"/>
        </w:rPr>
        <w:t>’</w:t>
      </w:r>
      <w:r>
        <w:rPr>
          <w:rFonts w:cs="Arial Unicode MS" w:eastAsia="Arial Unicode MS"/>
          <w:rtl w:val="0"/>
          <w:lang w:val="da-DK"/>
        </w:rPr>
        <w:t xml:space="preserve">, </w:t>
      </w:r>
      <w:r>
        <w:rPr>
          <w:rFonts w:cs="Arial Unicode MS" w:eastAsia="Arial Unicode MS"/>
          <w:i w:val="1"/>
          <w:iCs w:val="1"/>
          <w:rtl w:val="0"/>
          <w:lang w:val="da-DK"/>
        </w:rPr>
        <w:t xml:space="preserve">International Journal Of Circumpolar Health </w:t>
      </w:r>
      <w:r>
        <w:rPr>
          <w:rFonts w:cs="Arial Unicode MS" w:eastAsia="Arial Unicode MS"/>
          <w:rtl w:val="0"/>
          <w:lang w:val="da-DK"/>
        </w:rPr>
        <w:t>75</w:t>
      </w:r>
      <w:r>
        <w:rPr>
          <w:rFonts w:cs="Arial Unicode MS" w:eastAsia="Arial Unicode MS"/>
          <w:rtl w:val="0"/>
          <w:lang w:val="en-US"/>
        </w:rPr>
        <w:t xml:space="preserve"> (2016), 1-7, &lt;doi: </w:t>
      </w:r>
      <w:r>
        <w:rPr>
          <w:rFonts w:cs="Arial Unicode MS" w:eastAsia="Arial Unicode MS"/>
          <w:rtl w:val="0"/>
        </w:rPr>
        <w:t>10.3402/ijch.v75.31656</w:t>
      </w:r>
      <w:r>
        <w:rPr>
          <w:rFonts w:cs="Arial Unicode MS" w:eastAsia="Arial Unicode MS"/>
          <w:rtl w:val="0"/>
          <w:lang w:val="en-US"/>
        </w:rPr>
        <w:t>&gt;.</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Bennett, </w:t>
      </w:r>
      <w:r>
        <w:rPr>
          <w:rFonts w:cs="Arial Unicode MS" w:eastAsia="Arial Unicode MS"/>
          <w:i w:val="1"/>
          <w:iCs w:val="1"/>
          <w:rtl w:val="0"/>
          <w:lang w:val="en-US"/>
        </w:rPr>
        <w:t>If I Knew</w:t>
      </w:r>
      <w:r>
        <w:rPr>
          <w:rFonts w:cs="Arial Unicode MS" w:eastAsia="Arial Unicode MS"/>
          <w:rtl w:val="0"/>
          <w:lang w:val="en-US"/>
        </w:rPr>
        <w:t>, p. 127.</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Heather A. Woods, </w:t>
      </w:r>
      <w:r>
        <w:rPr>
          <w:rFonts w:cs="Arial Unicode MS" w:eastAsia="Arial Unicode MS"/>
          <w:i w:val="1"/>
          <w:iCs w:val="1"/>
          <w:rtl w:val="0"/>
          <w:lang w:val="en-US"/>
        </w:rPr>
        <w:t>Examining The Implications of Insider-Outsider Positioning</w:t>
      </w:r>
      <w:r>
        <w:rPr>
          <w:rFonts w:cs="Arial Unicode MS" w:eastAsia="Arial Unicode MS"/>
          <w:rtl w:val="0"/>
          <w:lang w:val="en-US"/>
        </w:rPr>
        <w:t>, (Research Consulting, 2019) &lt;www.heatherwoods.ca/research/examining-the-implications-of-insider-outsider-positioning&gt; [assessed 8th March 2021].</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Bennett, </w:t>
      </w:r>
      <w:r>
        <w:rPr>
          <w:rFonts w:cs="Arial Unicode MS" w:eastAsia="Arial Unicode MS"/>
          <w:i w:val="1"/>
          <w:iCs w:val="1"/>
          <w:rtl w:val="0"/>
          <w:lang w:val="en-US"/>
        </w:rPr>
        <w:t>If I Knew</w:t>
      </w:r>
      <w:r>
        <w:rPr>
          <w:rFonts w:cs="Arial Unicode MS" w:eastAsia="Arial Unicode MS"/>
          <w:rtl w:val="0"/>
          <w:lang w:val="en-US"/>
        </w:rPr>
        <w:t>, p. 127.</w:t>
      </w:r>
    </w:p>
    <w:p>
      <w:pPr>
        <w:pStyle w:val="Footnote"/>
        <w:bidi w:val="0"/>
      </w:pPr>
      <w:r>
        <w:rPr>
          <w:rFonts w:cs="Arial Unicode MS" w:eastAsia="Arial Unicode MS"/>
          <w:rtl w:val="0"/>
          <w:lang w:val="en-US"/>
        </w:rPr>
        <w:t xml:space="preserve">   Jenny </w:t>
      </w:r>
      <w:r>
        <w:rPr>
          <w:rFonts w:cs="Arial Unicode MS" w:eastAsia="Arial Unicode MS"/>
          <w:rtl w:val="0"/>
        </w:rPr>
        <w:t>Blain</w:t>
      </w:r>
      <w:r>
        <w:rPr>
          <w:rFonts w:cs="Arial Unicode MS" w:eastAsia="Arial Unicode MS"/>
          <w:rtl w:val="0"/>
          <w:lang w:val="en-US"/>
        </w:rPr>
        <w:t xml:space="preserve">, </w:t>
      </w:r>
      <w:r>
        <w:rPr>
          <w:rFonts w:cs="Arial Unicode MS" w:eastAsia="Arial Unicode MS"/>
          <w:i w:val="1"/>
          <w:iCs w:val="1"/>
          <w:rtl w:val="0"/>
          <w:lang w:val="en-US"/>
        </w:rPr>
        <w:t>Speaking Shamanistically</w:t>
      </w:r>
      <w:r>
        <w:rPr>
          <w:rFonts w:cs="Arial Unicode MS" w:eastAsia="Arial Unicode MS"/>
          <w:rtl w:val="0"/>
          <w:lang w:val="en-US"/>
        </w:rPr>
        <w:t>, p. 1</w:t>
      </w:r>
      <w:r>
        <w:rPr>
          <w:rFonts w:cs="Arial Unicode MS" w:eastAsia="Arial Unicode MS"/>
          <w:i w:val="1"/>
          <w:iCs w:val="1"/>
          <w:rtl w:val="0"/>
          <w:lang w:val="en-US"/>
        </w:rPr>
        <w:t>.</w:t>
      </w:r>
    </w:p>
  </w:footnote>
  <w:footnote w:id="2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Bennett, </w:t>
      </w:r>
      <w:r>
        <w:rPr>
          <w:rFonts w:cs="Arial Unicode MS" w:eastAsia="Arial Unicode MS"/>
          <w:i w:val="1"/>
          <w:iCs w:val="1"/>
          <w:rtl w:val="0"/>
          <w:lang w:val="en-US"/>
        </w:rPr>
        <w:t>If I Knew</w:t>
      </w:r>
      <w:r>
        <w:rPr>
          <w:rFonts w:cs="Arial Unicode MS" w:eastAsia="Arial Unicode MS"/>
          <w:rtl w:val="0"/>
          <w:lang w:val="en-US"/>
        </w:rPr>
        <w:t>, p. 127.</w:t>
      </w:r>
    </w:p>
  </w:footnote>
  <w:footnote w:id="2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Mich</w:t>
      </w:r>
      <w:r>
        <w:rPr>
          <w:rFonts w:cs="Arial Unicode MS" w:eastAsia="Arial Unicode MS" w:hint="default"/>
          <w:rtl w:val="0"/>
          <w:lang w:val="da-DK"/>
        </w:rPr>
        <w:t>è</w:t>
      </w:r>
      <w:r>
        <w:rPr>
          <w:rFonts w:cs="Arial Unicode MS" w:eastAsia="Arial Unicode MS"/>
          <w:rtl w:val="0"/>
          <w:lang w:val="en-US"/>
        </w:rPr>
        <w:t xml:space="preserve">le Simonsen, </w:t>
      </w:r>
      <w:r>
        <w:rPr>
          <w:rFonts w:cs="Arial Unicode MS" w:eastAsia="Arial Unicode MS" w:hint="default"/>
          <w:rtl w:val="0"/>
          <w:lang w:val="en-US"/>
        </w:rPr>
        <w:t>‘</w:t>
      </w:r>
      <w:r>
        <w:rPr>
          <w:rFonts w:cs="Arial Unicode MS" w:eastAsia="Arial Unicode MS"/>
          <w:rtl w:val="0"/>
          <w:lang w:val="en-US"/>
        </w:rPr>
        <w:t>Danish Werewolves Between Beliefs And Narratives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Fabula</w:t>
      </w:r>
      <w:r>
        <w:rPr>
          <w:rFonts w:cs="Arial Unicode MS" w:eastAsia="Arial Unicode MS"/>
          <w:rtl w:val="0"/>
          <w:lang w:val="en-US"/>
        </w:rPr>
        <w:t xml:space="preserve"> 51, Heft 3/4 (2010), 225-234, &lt;doi: 10.1515/FABL..2010.022&gt;, p. 230.</w:t>
      </w:r>
    </w:p>
  </w:footnote>
  <w:footnote w:id="2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Bennett, </w:t>
      </w:r>
      <w:r>
        <w:rPr>
          <w:rFonts w:cs="Arial Unicode MS" w:eastAsia="Arial Unicode MS"/>
          <w:i w:val="1"/>
          <w:iCs w:val="1"/>
          <w:rtl w:val="0"/>
          <w:lang w:val="en-US"/>
        </w:rPr>
        <w:t>If I Knew</w:t>
      </w:r>
      <w:r>
        <w:rPr>
          <w:rFonts w:cs="Arial Unicode MS" w:eastAsia="Arial Unicode MS"/>
          <w:rtl w:val="0"/>
          <w:lang w:val="en-US"/>
        </w:rPr>
        <w:t>, p. 127.</w:t>
      </w:r>
    </w:p>
  </w:footnote>
  <w:footnote w:id="2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Hennick et.al., </w:t>
      </w:r>
      <w:r>
        <w:rPr>
          <w:rFonts w:cs="Arial Unicode MS" w:eastAsia="Arial Unicode MS"/>
          <w:i w:val="1"/>
          <w:iCs w:val="1"/>
          <w:rtl w:val="0"/>
          <w:lang w:val="en-US"/>
        </w:rPr>
        <w:t>Qualitative Research Methods, p. 22.</w:t>
      </w:r>
    </w:p>
  </w:footnote>
  <w:footnote w:id="27">
    <w:p>
      <w:pPr>
        <w:pStyle w:val="Footnote"/>
        <w:bidi w:val="0"/>
        <w:rPr>
          <w:i w:val="1"/>
          <w:iCs w:val="1"/>
        </w:rPr>
      </w:pPr>
      <w:r>
        <w:rPr>
          <w:vertAlign w:val="superscript"/>
        </w:rPr>
        <w:footnoteRef/>
      </w:r>
      <w:r>
        <w:rPr>
          <w:rFonts w:cs="Arial Unicode MS" w:eastAsia="Arial Unicode MS"/>
          <w:rtl w:val="0"/>
        </w:rPr>
        <w:t xml:space="preserve"> </w:t>
      </w:r>
      <w:r>
        <w:rPr>
          <w:rFonts w:cs="Arial Unicode MS" w:eastAsia="Arial Unicode MS"/>
          <w:rtl w:val="0"/>
          <w:lang w:val="en-US"/>
        </w:rPr>
        <w:t xml:space="preserve">Hennick et.al., </w:t>
      </w:r>
      <w:r>
        <w:rPr>
          <w:rFonts w:cs="Arial Unicode MS" w:eastAsia="Arial Unicode MS"/>
          <w:i w:val="1"/>
          <w:iCs w:val="1"/>
          <w:rtl w:val="0"/>
          <w:lang w:val="en-US"/>
        </w:rPr>
        <w:t>Qualitative Research Methods, p. 71.</w:t>
      </w:r>
    </w:p>
    <w:p>
      <w:pPr>
        <w:pStyle w:val="Footnote"/>
        <w:bidi w:val="0"/>
      </w:pPr>
      <w:r>
        <w:rPr>
          <w:rFonts w:cs="Arial Unicode MS" w:eastAsia="Arial Unicode MS"/>
          <w:i w:val="1"/>
          <w:iCs w:val="1"/>
          <w:rtl w:val="0"/>
          <w:lang w:val="en-US"/>
        </w:rPr>
        <w:t xml:space="preserve">   </w:t>
      </w:r>
      <w:r>
        <w:rPr>
          <w:rFonts w:cs="Arial Unicode MS" w:eastAsia="Arial Unicode MS"/>
          <w:rtl w:val="0"/>
          <w:lang w:val="de-DE"/>
        </w:rPr>
        <w:t>Melb</w:t>
      </w:r>
      <w:r>
        <w:rPr>
          <w:rFonts w:cs="Arial Unicode MS" w:eastAsia="Arial Unicode MS" w:hint="default"/>
          <w:rtl w:val="0"/>
          <w:lang w:val="da-DK"/>
        </w:rPr>
        <w:t>ø</w:t>
      </w:r>
      <w:r>
        <w:rPr>
          <w:rFonts w:cs="Arial Unicode MS" w:eastAsia="Arial Unicode MS"/>
          <w:rtl w:val="0"/>
        </w:rPr>
        <w:t>e</w:t>
      </w:r>
      <w:r>
        <w:rPr>
          <w:rFonts w:cs="Arial Unicode MS" w:eastAsia="Arial Unicode MS"/>
          <w:rtl w:val="0"/>
          <w:lang w:val="en-US"/>
        </w:rPr>
        <w:t xml:space="preserve"> et.al., </w:t>
      </w:r>
      <w:r>
        <w:rPr>
          <w:rFonts w:cs="Arial Unicode MS" w:eastAsia="Arial Unicode MS"/>
          <w:i w:val="1"/>
          <w:iCs w:val="1"/>
          <w:rtl w:val="0"/>
          <w:lang w:val="en-US"/>
        </w:rPr>
        <w:t>Ethical And Methodological Issues</w:t>
      </w:r>
      <w:r>
        <w:rPr>
          <w:rFonts w:cs="Arial Unicode MS" w:eastAsia="Arial Unicode MS"/>
          <w:rtl w:val="0"/>
          <w:lang w:val="en-US"/>
        </w:rPr>
        <w:t>, p. 2-3.</w:t>
      </w:r>
    </w:p>
  </w:footnote>
  <w:footnote w:id="2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Bo Sommarstr</w:t>
      </w:r>
      <w:r>
        <w:rPr>
          <w:rFonts w:cs="Arial Unicode MS" w:eastAsia="Arial Unicode MS" w:hint="default"/>
          <w:rtl w:val="0"/>
          <w:lang w:val="da-DK"/>
        </w:rPr>
        <w:t>ö</w:t>
      </w:r>
      <w:r>
        <w:rPr>
          <w:rFonts w:cs="Arial Unicode MS" w:eastAsia="Arial Unicode MS"/>
          <w:rtl w:val="0"/>
          <w:lang w:val="da-DK"/>
        </w:rPr>
        <w:t>m</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Ethnoastronomical Perspectives On Saami Religion</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it-IT"/>
        </w:rPr>
        <w:t>Scripta Instituti Donneriani Aboensis 12:211-250</w:t>
      </w:r>
      <w:r>
        <w:rPr>
          <w:rFonts w:cs="Arial Unicode MS" w:eastAsia="Arial Unicode MS"/>
          <w:rtl w:val="0"/>
          <w:lang w:val="en-US"/>
        </w:rPr>
        <w:t xml:space="preserve"> (1987), 211-250, &lt;doi</w:t>
      </w:r>
      <w:r>
        <w:rPr>
          <w:rFonts w:cs="Arial Unicode MS" w:eastAsia="Arial Unicode MS"/>
          <w:rtl w:val="0"/>
          <w:lang w:val="it-IT"/>
        </w:rPr>
        <w:t>:10.30674/scripta.67164</w:t>
      </w:r>
      <w:r>
        <w:rPr>
          <w:rFonts w:cs="Arial Unicode MS" w:eastAsia="Arial Unicode MS"/>
          <w:rtl w:val="0"/>
          <w:lang w:val="en-US"/>
        </w:rPr>
        <w:t>&gt;.</w:t>
      </w:r>
    </w:p>
  </w:footnote>
  <w:footnote w:id="2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Anne Kalvig, </w:t>
      </w:r>
      <w:r>
        <w:rPr>
          <w:rFonts w:cs="Arial Unicode MS" w:eastAsia="Arial Unicode MS" w:hint="default"/>
          <w:rtl w:val="0"/>
          <w:lang w:val="en-US"/>
        </w:rPr>
        <w:t>‘</w:t>
      </w:r>
      <w:r>
        <w:rPr>
          <w:rFonts w:cs="Arial Unicode MS" w:eastAsia="Arial Unicode MS"/>
          <w:rtl w:val="0"/>
          <w:lang w:val="en-US"/>
        </w:rPr>
        <w:t xml:space="preserve">Nature And Magic As Representation Of </w:t>
      </w:r>
      <w:r>
        <w:rPr>
          <w:rFonts w:cs="Arial Unicode MS" w:eastAsia="Arial Unicode MS" w:hint="default"/>
          <w:rtl w:val="0"/>
          <w:lang w:val="en-US"/>
        </w:rPr>
        <w:t>“</w:t>
      </w:r>
      <w:r>
        <w:rPr>
          <w:rFonts w:cs="Arial Unicode MS" w:eastAsia="Arial Unicode MS"/>
          <w:rtl w:val="0"/>
          <w:lang w:val="en-US"/>
        </w:rPr>
        <w:t>The Sami</w:t>
      </w:r>
      <w:r>
        <w:rPr>
          <w:rFonts w:cs="Arial Unicode MS" w:eastAsia="Arial Unicode MS" w:hint="default"/>
          <w:rtl w:val="0"/>
          <w:lang w:val="en-US"/>
        </w:rPr>
        <w:t xml:space="preserve">” </w:t>
      </w:r>
      <w:r>
        <w:rPr>
          <w:rFonts w:cs="Arial Unicode MS" w:eastAsia="Arial Unicode MS"/>
          <w:rtl w:val="0"/>
          <w:lang w:val="en-US"/>
        </w:rPr>
        <w:t>- Sami Shamanistic Material in Popular Culture</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Religions</w:t>
      </w:r>
      <w:r>
        <w:rPr>
          <w:rFonts w:cs="Arial Unicode MS" w:eastAsia="Arial Unicode MS"/>
          <w:rtl w:val="0"/>
          <w:lang w:val="en-US"/>
        </w:rPr>
        <w:t xml:space="preserve"> 11, 453 (2020), p. 1-16 &lt;doi: 10.3390/rel11090453&gt;.</w:t>
      </w:r>
    </w:p>
  </w:footnote>
  <w:footnote w:id="3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Bell and Waters, </w:t>
      </w:r>
      <w:r>
        <w:rPr>
          <w:rFonts w:cs="Arial Unicode MS" w:eastAsia="Arial Unicode MS"/>
          <w:i w:val="1"/>
          <w:iCs w:val="1"/>
          <w:rtl w:val="0"/>
          <w:lang w:val="en-US"/>
        </w:rPr>
        <w:t>Doing Your Research Project</w:t>
      </w:r>
      <w:r>
        <w:rPr>
          <w:rFonts w:cs="Arial Unicode MS" w:eastAsia="Arial Unicode MS"/>
          <w:rtl w:val="0"/>
          <w:lang w:val="en-US"/>
        </w:rPr>
        <w:t>, p. 124-136.</w:t>
      </w:r>
    </w:p>
  </w:footnote>
  <w:footnote w:id="3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Gillian </w:t>
      </w:r>
      <w:r>
        <w:rPr>
          <w:rFonts w:cs="Arial Unicode MS" w:eastAsia="Arial Unicode MS"/>
          <w:rtl w:val="0"/>
        </w:rPr>
        <w:t>Bennett</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hint="default"/>
          <w:rtl w:val="0"/>
          <w:lang w:val="en-US"/>
        </w:rPr>
        <w:t>“</w:t>
      </w:r>
      <w:r>
        <w:rPr>
          <w:rFonts w:cs="Arial Unicode MS" w:eastAsia="Arial Unicode MS"/>
          <w:rtl w:val="0"/>
          <w:lang w:val="en-US"/>
        </w:rPr>
        <w:t xml:space="preserve">If I Knew You </w:t>
      </w:r>
      <w:r>
        <w:rPr>
          <w:rFonts w:cs="Arial Unicode MS" w:eastAsia="Arial Unicode MS"/>
          <w:rtl w:val="0"/>
          <w:lang w:val="en-US"/>
        </w:rPr>
        <w:t>W</w:t>
      </w:r>
      <w:r>
        <w:rPr>
          <w:rFonts w:cs="Arial Unicode MS" w:eastAsia="Arial Unicode MS"/>
          <w:rtl w:val="0"/>
          <w:lang w:val="en-US"/>
        </w:rPr>
        <w:t xml:space="preserve">ere Coming I'd Have Baked </w:t>
      </w:r>
      <w:r>
        <w:rPr>
          <w:rFonts w:cs="Arial Unicode MS" w:eastAsia="Arial Unicode MS"/>
          <w:rtl w:val="0"/>
          <w:lang w:val="en-US"/>
        </w:rPr>
        <w:t>A</w:t>
      </w:r>
      <w:r>
        <w:rPr>
          <w:rFonts w:cs="Arial Unicode MS" w:eastAsia="Arial Unicode MS"/>
          <w:rtl w:val="0"/>
          <w:lang w:val="en-US"/>
        </w:rPr>
        <w:t xml:space="preserve"> Cake</w:t>
      </w:r>
      <w:r>
        <w:rPr>
          <w:rFonts w:cs="Arial Unicode MS" w:eastAsia="Arial Unicode MS" w:hint="default"/>
          <w:rtl w:val="0"/>
          <w:lang w:val="en-US"/>
        </w:rPr>
        <w:t>”</w:t>
      </w:r>
      <w:r>
        <w:rPr>
          <w:rFonts w:cs="Arial Unicode MS" w:eastAsia="Arial Unicode MS"/>
          <w:rtl w:val="0"/>
          <w:lang w:val="en-US"/>
        </w:rPr>
        <w:t xml:space="preserve">: The Folklore </w:t>
      </w:r>
      <w:r>
        <w:rPr>
          <w:rFonts w:cs="Arial Unicode MS" w:eastAsia="Arial Unicode MS"/>
          <w:rtl w:val="0"/>
          <w:lang w:val="en-US"/>
        </w:rPr>
        <w:t>O</w:t>
      </w:r>
      <w:r>
        <w:rPr>
          <w:rFonts w:cs="Arial Unicode MS" w:eastAsia="Arial Unicode MS"/>
          <w:rtl w:val="0"/>
          <w:lang w:val="en-US"/>
        </w:rPr>
        <w:t xml:space="preserve">f Foreknowledge </w:t>
      </w:r>
      <w:r>
        <w:rPr>
          <w:rFonts w:cs="Arial Unicode MS" w:eastAsia="Arial Unicode MS"/>
          <w:rtl w:val="0"/>
          <w:lang w:val="en-US"/>
        </w:rPr>
        <w:t>I</w:t>
      </w:r>
      <w:r>
        <w:rPr>
          <w:rFonts w:cs="Arial Unicode MS" w:eastAsia="Arial Unicode MS"/>
          <w:rtl w:val="0"/>
        </w:rPr>
        <w:t xml:space="preserve">n </w:t>
      </w:r>
      <w:r>
        <w:rPr>
          <w:rFonts w:cs="Arial Unicode MS" w:eastAsia="Arial Unicode MS"/>
          <w:rtl w:val="0"/>
          <w:lang w:val="en-US"/>
        </w:rPr>
        <w:t>A</w:t>
      </w:r>
      <w:r>
        <w:rPr>
          <w:rFonts w:cs="Arial Unicode MS" w:eastAsia="Arial Unicode MS"/>
          <w:rtl w:val="0"/>
          <w:lang w:val="en-US"/>
        </w:rPr>
        <w:t xml:space="preserve"> Neighborhood Group</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 xml:space="preserve">Out </w:t>
      </w:r>
      <w:r>
        <w:rPr>
          <w:rFonts w:cs="Arial Unicode MS" w:eastAsia="Arial Unicode MS"/>
          <w:i w:val="1"/>
          <w:iCs w:val="1"/>
          <w:rtl w:val="0"/>
          <w:lang w:val="en-US"/>
        </w:rPr>
        <w:t>O</w:t>
      </w:r>
      <w:r>
        <w:rPr>
          <w:rFonts w:cs="Arial Unicode MS" w:eastAsia="Arial Unicode MS"/>
          <w:i w:val="1"/>
          <w:iCs w:val="1"/>
          <w:rtl w:val="0"/>
          <w:lang w:val="en-US"/>
        </w:rPr>
        <w:t xml:space="preserve">f </w:t>
      </w:r>
      <w:r>
        <w:rPr>
          <w:rFonts w:cs="Arial Unicode MS" w:eastAsia="Arial Unicode MS"/>
          <w:i w:val="1"/>
          <w:iCs w:val="1"/>
          <w:rtl w:val="0"/>
          <w:lang w:val="en-US"/>
        </w:rPr>
        <w:t>T</w:t>
      </w:r>
      <w:r>
        <w:rPr>
          <w:rFonts w:cs="Arial Unicode MS" w:eastAsia="Arial Unicode MS"/>
          <w:i w:val="1"/>
          <w:iCs w:val="1"/>
          <w:rtl w:val="0"/>
          <w:lang w:val="en-US"/>
        </w:rPr>
        <w:t xml:space="preserve">he Ordinary: Folklore </w:t>
      </w:r>
      <w:r>
        <w:rPr>
          <w:rFonts w:cs="Arial Unicode MS" w:eastAsia="Arial Unicode MS"/>
          <w:i w:val="1"/>
          <w:iCs w:val="1"/>
          <w:rtl w:val="0"/>
          <w:lang w:val="en-US"/>
        </w:rPr>
        <w:t>A</w:t>
      </w:r>
      <w:r>
        <w:rPr>
          <w:rFonts w:cs="Arial Unicode MS" w:eastAsia="Arial Unicode MS"/>
          <w:i w:val="1"/>
          <w:iCs w:val="1"/>
          <w:rtl w:val="0"/>
          <w:lang w:val="en-US"/>
        </w:rPr>
        <w:t xml:space="preserve">nd </w:t>
      </w:r>
      <w:r>
        <w:rPr>
          <w:rFonts w:cs="Arial Unicode MS" w:eastAsia="Arial Unicode MS"/>
          <w:i w:val="1"/>
          <w:iCs w:val="1"/>
          <w:rtl w:val="0"/>
          <w:lang w:val="en-US"/>
        </w:rPr>
        <w:t>T</w:t>
      </w:r>
      <w:r>
        <w:rPr>
          <w:rFonts w:cs="Arial Unicode MS" w:eastAsia="Arial Unicode MS"/>
          <w:i w:val="1"/>
          <w:iCs w:val="1"/>
          <w:rtl w:val="0"/>
          <w:lang w:val="en-US"/>
        </w:rPr>
        <w:t>he Supernatural</w:t>
      </w:r>
      <w:r>
        <w:rPr>
          <w:rFonts w:cs="Arial Unicode MS" w:eastAsia="Arial Unicode MS"/>
          <w:rtl w:val="0"/>
          <w:lang w:val="it-IT"/>
        </w:rPr>
        <w:t>, ed</w:t>
      </w:r>
      <w:r>
        <w:rPr>
          <w:rFonts w:cs="Arial Unicode MS" w:eastAsia="Arial Unicode MS"/>
          <w:rtl w:val="0"/>
          <w:lang w:val="en-US"/>
        </w:rPr>
        <w:t>n.</w:t>
      </w:r>
      <w:r>
        <w:rPr>
          <w:rFonts w:cs="Arial Unicode MS" w:eastAsia="Arial Unicode MS"/>
          <w:rtl w:val="0"/>
          <w:lang w:val="en-US"/>
        </w:rPr>
        <w:t xml:space="preserve"> Barbara Walker</w:t>
      </w:r>
      <w:r>
        <w:rPr>
          <w:rFonts w:cs="Arial Unicode MS" w:eastAsia="Arial Unicode MS"/>
          <w:rtl w:val="0"/>
          <w:lang w:val="en-US"/>
        </w:rPr>
        <w:t xml:space="preserve"> (</w:t>
      </w:r>
      <w:r>
        <w:rPr>
          <w:rFonts w:cs="Arial Unicode MS" w:eastAsia="Arial Unicode MS"/>
          <w:rtl w:val="0"/>
          <w:lang w:val="en-US"/>
        </w:rPr>
        <w:t>Logan, Utah: Utah University Press</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1995),</w:t>
      </w:r>
      <w:r>
        <w:rPr>
          <w:rFonts w:cs="Arial Unicode MS" w:eastAsia="Arial Unicode MS"/>
          <w:rtl w:val="0"/>
        </w:rPr>
        <w:t xml:space="preserve"> 122-142</w:t>
      </w:r>
      <w:r>
        <w:rPr>
          <w:rFonts w:cs="Arial Unicode MS" w:eastAsia="Arial Unicode MS"/>
          <w:rtl w:val="0"/>
          <w:lang w:val="en-US"/>
        </w:rPr>
        <w:t>, &lt;</w:t>
      </w:r>
      <w:r>
        <w:rPr>
          <w:rFonts w:cs="Arial Unicode MS" w:eastAsia="Arial Unicode MS"/>
          <w:rtl w:val="0"/>
        </w:rPr>
        <w:t>doi.org/10.2307/j.ctt46nwn8</w:t>
      </w:r>
      <w:r>
        <w:rPr>
          <w:rFonts w:cs="Arial Unicode MS" w:eastAsia="Arial Unicode MS"/>
          <w:rtl w:val="0"/>
          <w:lang w:val="en-US"/>
        </w:rPr>
        <w:t>&gt;.</w:t>
      </w:r>
    </w:p>
    <w:p>
      <w:pPr>
        <w:pStyle w:val="Body"/>
        <w:spacing w:before="0"/>
      </w:pPr>
      <w:r>
        <w:rPr>
          <w:rFonts w:ascii="Palatino" w:hAnsi="Palatino"/>
          <w:sz w:val="18"/>
          <w:szCs w:val="18"/>
          <w:rtl w:val="0"/>
          <w:lang w:val="en-US"/>
        </w:rPr>
        <w:t xml:space="preserve">   Jenny </w:t>
      </w:r>
      <w:r>
        <w:rPr>
          <w:rFonts w:ascii="Palatino" w:hAnsi="Palatino"/>
          <w:sz w:val="18"/>
          <w:szCs w:val="18"/>
          <w:rtl w:val="0"/>
        </w:rPr>
        <w:t>Blain</w:t>
      </w:r>
      <w:r>
        <w:rPr>
          <w:rFonts w:ascii="Palatino" w:hAnsi="Palatino"/>
          <w:sz w:val="18"/>
          <w:szCs w:val="18"/>
          <w:rtl w:val="0"/>
          <w:lang w:val="en-US"/>
        </w:rPr>
        <w:t xml:space="preserve">, </w:t>
      </w:r>
      <w:r>
        <w:rPr>
          <w:rFonts w:ascii="Palatino" w:hAnsi="Palatino" w:hint="default"/>
          <w:sz w:val="18"/>
          <w:szCs w:val="18"/>
          <w:rtl w:val="0"/>
          <w:lang w:val="en-US"/>
        </w:rPr>
        <w:t>‘</w:t>
      </w:r>
      <w:r>
        <w:rPr>
          <w:rFonts w:ascii="Palatino" w:hAnsi="Palatino"/>
          <w:sz w:val="18"/>
          <w:szCs w:val="18"/>
          <w:rtl w:val="0"/>
          <w:lang w:val="en-US"/>
        </w:rPr>
        <w:t>Speaking Shamanistically: Seidr, Academia and Rationality</w:t>
      </w:r>
      <w:r>
        <w:rPr>
          <w:rFonts w:ascii="Palatino" w:hAnsi="Palatino" w:hint="default"/>
          <w:sz w:val="18"/>
          <w:szCs w:val="18"/>
          <w:rtl w:val="0"/>
          <w:lang w:val="en-US"/>
        </w:rPr>
        <w:t>’</w:t>
      </w:r>
      <w:r>
        <w:rPr>
          <w:rFonts w:ascii="Palatino" w:hAnsi="Palatino"/>
          <w:sz w:val="18"/>
          <w:szCs w:val="18"/>
          <w:rtl w:val="0"/>
          <w:lang w:val="en-US"/>
        </w:rPr>
        <w:t>,</w:t>
      </w:r>
      <w:r>
        <w:rPr>
          <w:rFonts w:ascii="Palatino" w:hAnsi="Palatino"/>
          <w:sz w:val="18"/>
          <w:szCs w:val="18"/>
          <w:rtl w:val="0"/>
        </w:rPr>
        <w:t xml:space="preserve"> </w:t>
      </w:r>
      <w:r>
        <w:rPr>
          <w:rFonts w:ascii="Palatino" w:hAnsi="Palatino"/>
          <w:i w:val="1"/>
          <w:iCs w:val="1"/>
          <w:sz w:val="18"/>
          <w:szCs w:val="18"/>
          <w:rtl w:val="0"/>
        </w:rPr>
        <w:t>DISKUS</w:t>
      </w:r>
      <w:r>
        <w:rPr>
          <w:rFonts w:ascii="Palatino" w:hAnsi="Palatino"/>
          <w:sz w:val="18"/>
          <w:szCs w:val="18"/>
          <w:rtl w:val="0"/>
        </w:rPr>
        <w:t xml:space="preserve"> Volume 6 (2000)</w:t>
      </w:r>
      <w:r>
        <w:rPr>
          <w:rFonts w:ascii="Palatino" w:hAnsi="Palatino"/>
          <w:sz w:val="18"/>
          <w:szCs w:val="18"/>
          <w:rtl w:val="0"/>
          <w:lang w:val="en-US"/>
        </w:rPr>
        <w:t>, &lt;</w:t>
      </w:r>
      <w:r>
        <w:rPr>
          <w:rFonts w:ascii="Palatino" w:hAnsi="Palatino"/>
          <w:sz w:val="18"/>
          <w:szCs w:val="18"/>
          <w:rtl w:val="0"/>
          <w:lang w:val="de-DE"/>
        </w:rPr>
        <w:t xml:space="preserve"> www.uni-marburg.de/fb03/religionswissenschaft/journal/diskus</w:t>
      </w:r>
      <w:r>
        <w:rPr>
          <w:rFonts w:ascii="Palatino" w:hAnsi="Palatino"/>
          <w:sz w:val="18"/>
          <w:szCs w:val="18"/>
          <w:rtl w:val="0"/>
          <w:lang w:val="en-US"/>
        </w:rPr>
        <w:t>&gt; {assessed 16th March 2021}.</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Bold" w:cs="Arial Unicode MS" w:hAnsi="Tahoma Bol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header" Target="header7.xml"/><Relationship Id="rId18" Type="http://schemas.openxmlformats.org/officeDocument/2006/relationships/footer" Target="footer7.xml"/><Relationship Id="rId19" Type="http://schemas.openxmlformats.org/officeDocument/2006/relationships/header" Target="header8.xml"/><Relationship Id="rId20" Type="http://schemas.openxmlformats.org/officeDocument/2006/relationships/footer" Target="footer8.xml"/><Relationship Id="rId21" Type="http://schemas.openxmlformats.org/officeDocument/2006/relationships/header" Target="header9.xml"/><Relationship Id="rId22" Type="http://schemas.openxmlformats.org/officeDocument/2006/relationships/footer" Target="footer9.xml"/><Relationship Id="rId23" Type="http://schemas.openxmlformats.org/officeDocument/2006/relationships/header" Target="header10.xml"/><Relationship Id="rId24" Type="http://schemas.openxmlformats.org/officeDocument/2006/relationships/footer" Target="footer10.xml"/><Relationship Id="rId25" Type="http://schemas.openxmlformats.org/officeDocument/2006/relationships/footnotes" Target="footnotes.xml"/><Relationship Id="rId2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