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C94E9E" w14:textId="77777777" w:rsidR="00EF6346" w:rsidRDefault="00EF6346" w:rsidP="00EF6346">
      <w:pPr>
        <w:jc w:val="center"/>
        <w:rPr>
          <w:rFonts w:ascii="open_sansregular" w:hAnsi="open_sansregular"/>
          <w:color w:val="333333"/>
          <w:sz w:val="49"/>
          <w:szCs w:val="21"/>
          <w:shd w:val="clear" w:color="auto" w:fill="FFFFFF"/>
        </w:rPr>
      </w:pPr>
    </w:p>
    <w:p w14:paraId="57D9D0B9" w14:textId="77777777" w:rsidR="00EF6346" w:rsidRDefault="00EF6346" w:rsidP="00EF6346">
      <w:pPr>
        <w:jc w:val="center"/>
        <w:rPr>
          <w:rFonts w:ascii="open_sansregular" w:hAnsi="open_sansregular"/>
          <w:color w:val="333333"/>
          <w:sz w:val="49"/>
          <w:szCs w:val="21"/>
          <w:shd w:val="clear" w:color="auto" w:fill="FFFFFF"/>
        </w:rPr>
      </w:pPr>
    </w:p>
    <w:p w14:paraId="5A29346E" w14:textId="6AF208DC" w:rsidR="00EF6346" w:rsidRPr="006866D7" w:rsidRDefault="006C3C80" w:rsidP="00EF6346">
      <w:pPr>
        <w:jc w:val="center"/>
        <w:rPr>
          <w:rFonts w:ascii="open_sansregular" w:hAnsi="open_sansregular"/>
          <w:b/>
          <w:bCs/>
          <w:color w:val="333333"/>
          <w:sz w:val="56"/>
          <w:szCs w:val="56"/>
          <w:shd w:val="clear" w:color="auto" w:fill="FFFFFF"/>
        </w:rPr>
      </w:pPr>
      <w:r w:rsidRPr="006866D7">
        <w:rPr>
          <w:rFonts w:ascii="open_sansregular" w:hAnsi="open_sansregular"/>
          <w:b/>
          <w:bCs/>
          <w:color w:val="333333"/>
          <w:sz w:val="56"/>
          <w:szCs w:val="56"/>
          <w:shd w:val="clear" w:color="auto" w:fill="FFFFFF"/>
        </w:rPr>
        <w:t xml:space="preserve">Accounting </w:t>
      </w:r>
      <w:r w:rsidR="00EF6346" w:rsidRPr="006866D7">
        <w:rPr>
          <w:rFonts w:ascii="open_sansregular" w:hAnsi="open_sansregular"/>
          <w:b/>
          <w:bCs/>
          <w:color w:val="333333"/>
          <w:sz w:val="56"/>
          <w:szCs w:val="56"/>
          <w:shd w:val="clear" w:color="auto" w:fill="FFFFFF"/>
        </w:rPr>
        <w:t>Fundamentals</w:t>
      </w:r>
    </w:p>
    <w:p w14:paraId="0248801B" w14:textId="77777777" w:rsidR="006866D7" w:rsidRPr="006866D7" w:rsidRDefault="006866D7" w:rsidP="006866D7">
      <w:pPr>
        <w:pStyle w:val="BodyText"/>
        <w:jc w:val="center"/>
        <w:rPr>
          <w:b/>
          <w:bCs/>
          <w:sz w:val="48"/>
          <w:szCs w:val="48"/>
        </w:rPr>
      </w:pPr>
      <w:r w:rsidRPr="006866D7">
        <w:rPr>
          <w:b/>
          <w:bCs/>
          <w:sz w:val="48"/>
          <w:szCs w:val="48"/>
        </w:rPr>
        <w:t xml:space="preserve">Elena Simona </w:t>
      </w:r>
      <w:proofErr w:type="spellStart"/>
      <w:r w:rsidRPr="006866D7">
        <w:rPr>
          <w:b/>
          <w:bCs/>
          <w:sz w:val="48"/>
          <w:szCs w:val="48"/>
        </w:rPr>
        <w:t>Becheanu</w:t>
      </w:r>
      <w:proofErr w:type="spellEnd"/>
    </w:p>
    <w:p w14:paraId="326737A5" w14:textId="77777777" w:rsidR="006866D7" w:rsidRPr="006866D7" w:rsidRDefault="006866D7" w:rsidP="006866D7">
      <w:pPr>
        <w:pStyle w:val="BodyText"/>
        <w:jc w:val="center"/>
        <w:rPr>
          <w:sz w:val="48"/>
          <w:szCs w:val="48"/>
        </w:rPr>
      </w:pPr>
      <w:r w:rsidRPr="006866D7">
        <w:rPr>
          <w:b/>
          <w:bCs/>
          <w:sz w:val="48"/>
          <w:szCs w:val="48"/>
        </w:rPr>
        <w:t>ID UWTSD-2019936</w:t>
      </w:r>
    </w:p>
    <w:p w14:paraId="624AE2E5" w14:textId="77777777" w:rsidR="006C3C80" w:rsidRDefault="006C3C80" w:rsidP="00EF6346">
      <w:pPr>
        <w:jc w:val="center"/>
        <w:rPr>
          <w:rFonts w:ascii="open_sansregular" w:hAnsi="open_sansregular"/>
          <w:color w:val="333333"/>
          <w:sz w:val="49"/>
          <w:szCs w:val="21"/>
          <w:shd w:val="clear" w:color="auto" w:fill="FFFFFF"/>
        </w:rPr>
      </w:pPr>
    </w:p>
    <w:p w14:paraId="79CD3706" w14:textId="77777777" w:rsidR="00EF6346" w:rsidRDefault="00EF6346">
      <w:pPr>
        <w:rPr>
          <w:rFonts w:ascii="open_sansregular" w:hAnsi="open_sansregular"/>
          <w:color w:val="333333"/>
          <w:sz w:val="49"/>
          <w:szCs w:val="21"/>
          <w:shd w:val="clear" w:color="auto" w:fill="FFFFFF"/>
        </w:rPr>
      </w:pPr>
      <w:r>
        <w:rPr>
          <w:rFonts w:ascii="open_sansregular" w:hAnsi="open_sansregular"/>
          <w:color w:val="333333"/>
          <w:sz w:val="49"/>
          <w:szCs w:val="21"/>
          <w:shd w:val="clear" w:color="auto" w:fill="FFFFFF"/>
        </w:rPr>
        <w:br w:type="page"/>
      </w:r>
    </w:p>
    <w:sdt>
      <w:sdtPr>
        <w:rPr>
          <w:rFonts w:ascii="Times New Roman" w:eastAsiaTheme="minorHAnsi" w:hAnsi="Times New Roman" w:cs="Times New Roman"/>
          <w:color w:val="auto"/>
          <w:sz w:val="24"/>
          <w:szCs w:val="24"/>
        </w:rPr>
        <w:id w:val="873887679"/>
        <w:docPartObj>
          <w:docPartGallery w:val="Table of Contents"/>
          <w:docPartUnique/>
        </w:docPartObj>
      </w:sdtPr>
      <w:sdtEndPr>
        <w:rPr>
          <w:b/>
          <w:bCs/>
          <w:noProof/>
        </w:rPr>
      </w:sdtEndPr>
      <w:sdtContent>
        <w:p w14:paraId="50C4E3EE" w14:textId="77777777" w:rsidR="00EF6346" w:rsidRDefault="00EF6346">
          <w:pPr>
            <w:pStyle w:val="TOCHeading"/>
          </w:pPr>
          <w:r>
            <w:t>Table of Contents</w:t>
          </w:r>
        </w:p>
        <w:p w14:paraId="2C68F9F4" w14:textId="77777777" w:rsidR="00E32963" w:rsidRDefault="009230D8">
          <w:pPr>
            <w:pStyle w:val="TOC1"/>
            <w:tabs>
              <w:tab w:val="right" w:leader="dot" w:pos="9350"/>
            </w:tabs>
            <w:rPr>
              <w:rFonts w:asciiTheme="minorHAnsi" w:eastAsiaTheme="minorEastAsia" w:hAnsiTheme="minorHAnsi" w:cstheme="minorBidi"/>
              <w:noProof/>
              <w:sz w:val="22"/>
              <w:szCs w:val="22"/>
            </w:rPr>
          </w:pPr>
          <w:r>
            <w:fldChar w:fldCharType="begin"/>
          </w:r>
          <w:r w:rsidR="00EF6346">
            <w:instrText xml:space="preserve"> TOC \o "1-3" \h \z \u </w:instrText>
          </w:r>
          <w:r>
            <w:fldChar w:fldCharType="separate"/>
          </w:r>
          <w:hyperlink w:anchor="_Toc76510444" w:history="1">
            <w:r w:rsidR="00E32963" w:rsidRPr="009B4E01">
              <w:rPr>
                <w:rStyle w:val="Hyperlink"/>
                <w:noProof/>
              </w:rPr>
              <w:t>Question 1</w:t>
            </w:r>
            <w:r w:rsidR="00E32963">
              <w:rPr>
                <w:noProof/>
                <w:webHidden/>
              </w:rPr>
              <w:tab/>
            </w:r>
            <w:r w:rsidR="00E32963">
              <w:rPr>
                <w:noProof/>
                <w:webHidden/>
              </w:rPr>
              <w:fldChar w:fldCharType="begin"/>
            </w:r>
            <w:r w:rsidR="00E32963">
              <w:rPr>
                <w:noProof/>
                <w:webHidden/>
              </w:rPr>
              <w:instrText xml:space="preserve"> PAGEREF _Toc76510444 \h </w:instrText>
            </w:r>
            <w:r w:rsidR="00E32963">
              <w:rPr>
                <w:noProof/>
                <w:webHidden/>
              </w:rPr>
            </w:r>
            <w:r w:rsidR="00E32963">
              <w:rPr>
                <w:noProof/>
                <w:webHidden/>
              </w:rPr>
              <w:fldChar w:fldCharType="separate"/>
            </w:r>
            <w:r w:rsidR="00E32963">
              <w:rPr>
                <w:noProof/>
                <w:webHidden/>
              </w:rPr>
              <w:t>3</w:t>
            </w:r>
            <w:r w:rsidR="00E32963">
              <w:rPr>
                <w:noProof/>
                <w:webHidden/>
              </w:rPr>
              <w:fldChar w:fldCharType="end"/>
            </w:r>
          </w:hyperlink>
        </w:p>
        <w:p w14:paraId="5249CCF9" w14:textId="77777777" w:rsidR="00E32963" w:rsidRDefault="006866D7">
          <w:pPr>
            <w:pStyle w:val="TOC1"/>
            <w:tabs>
              <w:tab w:val="right" w:leader="dot" w:pos="9350"/>
            </w:tabs>
            <w:rPr>
              <w:rFonts w:asciiTheme="minorHAnsi" w:eastAsiaTheme="minorEastAsia" w:hAnsiTheme="minorHAnsi" w:cstheme="minorBidi"/>
              <w:noProof/>
              <w:sz w:val="22"/>
              <w:szCs w:val="22"/>
            </w:rPr>
          </w:pPr>
          <w:hyperlink w:anchor="_Toc76510445" w:history="1">
            <w:r w:rsidR="00E32963" w:rsidRPr="009B4E01">
              <w:rPr>
                <w:rStyle w:val="Hyperlink"/>
                <w:noProof/>
              </w:rPr>
              <w:t>Question 2</w:t>
            </w:r>
            <w:r w:rsidR="00E32963">
              <w:rPr>
                <w:noProof/>
                <w:webHidden/>
              </w:rPr>
              <w:tab/>
            </w:r>
            <w:r w:rsidR="00E32963">
              <w:rPr>
                <w:noProof/>
                <w:webHidden/>
              </w:rPr>
              <w:fldChar w:fldCharType="begin"/>
            </w:r>
            <w:r w:rsidR="00E32963">
              <w:rPr>
                <w:noProof/>
                <w:webHidden/>
              </w:rPr>
              <w:instrText xml:space="preserve"> PAGEREF _Toc76510445 \h </w:instrText>
            </w:r>
            <w:r w:rsidR="00E32963">
              <w:rPr>
                <w:noProof/>
                <w:webHidden/>
              </w:rPr>
            </w:r>
            <w:r w:rsidR="00E32963">
              <w:rPr>
                <w:noProof/>
                <w:webHidden/>
              </w:rPr>
              <w:fldChar w:fldCharType="separate"/>
            </w:r>
            <w:r w:rsidR="00E32963">
              <w:rPr>
                <w:noProof/>
                <w:webHidden/>
              </w:rPr>
              <w:t>6</w:t>
            </w:r>
            <w:r w:rsidR="00E32963">
              <w:rPr>
                <w:noProof/>
                <w:webHidden/>
              </w:rPr>
              <w:fldChar w:fldCharType="end"/>
            </w:r>
          </w:hyperlink>
        </w:p>
        <w:p w14:paraId="7449434C" w14:textId="77777777" w:rsidR="00EF6346" w:rsidRDefault="009230D8">
          <w:r>
            <w:rPr>
              <w:b/>
              <w:bCs/>
              <w:noProof/>
            </w:rPr>
            <w:fldChar w:fldCharType="end"/>
          </w:r>
        </w:p>
      </w:sdtContent>
    </w:sdt>
    <w:p w14:paraId="39A7A874" w14:textId="77777777" w:rsidR="00EF6346" w:rsidRDefault="00EF6346" w:rsidP="00EF6346">
      <w:pPr>
        <w:jc w:val="center"/>
        <w:rPr>
          <w:rFonts w:asciiTheme="majorHAnsi" w:eastAsiaTheme="majorEastAsia" w:hAnsiTheme="majorHAnsi" w:cstheme="majorBidi"/>
          <w:color w:val="2E74B5" w:themeColor="accent1" w:themeShade="BF"/>
          <w:sz w:val="32"/>
          <w:szCs w:val="32"/>
        </w:rPr>
      </w:pPr>
      <w:r>
        <w:br w:type="page"/>
      </w:r>
    </w:p>
    <w:p w14:paraId="6FF64F11" w14:textId="77777777" w:rsidR="00663328" w:rsidRDefault="00E52980" w:rsidP="00E52980">
      <w:pPr>
        <w:pStyle w:val="Heading1"/>
      </w:pPr>
      <w:bookmarkStart w:id="0" w:name="_Toc76510444"/>
      <w:r>
        <w:lastRenderedPageBreak/>
        <w:t>Question 1</w:t>
      </w:r>
      <w:bookmarkEnd w:id="0"/>
    </w:p>
    <w:p w14:paraId="574432B7" w14:textId="77777777" w:rsidR="00E52980" w:rsidRDefault="0092684E" w:rsidP="00E52980">
      <w:pPr>
        <w:rPr>
          <w:b/>
        </w:rPr>
      </w:pPr>
      <w:r>
        <w:rPr>
          <w:b/>
        </w:rPr>
        <w:t>a. Profit and loss statement and financial position</w:t>
      </w:r>
    </w:p>
    <w:tbl>
      <w:tblPr>
        <w:tblW w:w="6620" w:type="dxa"/>
        <w:tblLook w:val="04A0" w:firstRow="1" w:lastRow="0" w:firstColumn="1" w:lastColumn="0" w:noHBand="0" w:noVBand="1"/>
      </w:tblPr>
      <w:tblGrid>
        <w:gridCol w:w="3904"/>
        <w:gridCol w:w="1317"/>
        <w:gridCol w:w="1399"/>
      </w:tblGrid>
      <w:tr w:rsidR="0028569E" w:rsidRPr="0028569E" w14:paraId="1F1DC541" w14:textId="77777777" w:rsidTr="0028569E">
        <w:trPr>
          <w:trHeight w:val="312"/>
        </w:trPr>
        <w:tc>
          <w:tcPr>
            <w:tcW w:w="6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5A73EA" w14:textId="77777777" w:rsidR="0028569E" w:rsidRPr="0028569E" w:rsidRDefault="0028569E" w:rsidP="0028569E">
            <w:pPr>
              <w:spacing w:after="0" w:line="240" w:lineRule="auto"/>
              <w:jc w:val="center"/>
              <w:rPr>
                <w:rFonts w:eastAsia="Times New Roman"/>
                <w:color w:val="000000"/>
              </w:rPr>
            </w:pPr>
            <w:r w:rsidRPr="0028569E">
              <w:rPr>
                <w:rFonts w:eastAsia="Times New Roman"/>
                <w:color w:val="000000"/>
              </w:rPr>
              <w:t xml:space="preserve">Profit and loss Statement </w:t>
            </w:r>
          </w:p>
        </w:tc>
      </w:tr>
      <w:tr w:rsidR="0028569E" w:rsidRPr="0028569E" w14:paraId="2F9C46AD" w14:textId="77777777" w:rsidTr="0028569E">
        <w:trPr>
          <w:trHeight w:val="312"/>
        </w:trPr>
        <w:tc>
          <w:tcPr>
            <w:tcW w:w="6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252228" w14:textId="77777777" w:rsidR="0028569E" w:rsidRPr="0028569E" w:rsidRDefault="0028569E" w:rsidP="0028569E">
            <w:pPr>
              <w:spacing w:after="0" w:line="240" w:lineRule="auto"/>
              <w:jc w:val="center"/>
              <w:rPr>
                <w:rFonts w:eastAsia="Times New Roman"/>
                <w:color w:val="000000"/>
              </w:rPr>
            </w:pPr>
            <w:r w:rsidRPr="0028569E">
              <w:rPr>
                <w:rFonts w:eastAsia="Times New Roman"/>
                <w:color w:val="000000"/>
              </w:rPr>
              <w:t>for the year ended 31st December 2020</w:t>
            </w:r>
          </w:p>
        </w:tc>
      </w:tr>
      <w:tr w:rsidR="0028569E" w:rsidRPr="0028569E" w14:paraId="3EC1A441"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9503524"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17" w:type="dxa"/>
            <w:tcBorders>
              <w:top w:val="nil"/>
              <w:left w:val="nil"/>
              <w:bottom w:val="single" w:sz="4" w:space="0" w:color="auto"/>
              <w:right w:val="single" w:sz="4" w:space="0" w:color="auto"/>
            </w:tcBorders>
            <w:shd w:val="clear" w:color="auto" w:fill="auto"/>
            <w:noWrap/>
            <w:vAlign w:val="bottom"/>
            <w:hideMark/>
          </w:tcPr>
          <w:p w14:paraId="351354D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Amount (£) </w:t>
            </w:r>
          </w:p>
        </w:tc>
        <w:tc>
          <w:tcPr>
            <w:tcW w:w="1399" w:type="dxa"/>
            <w:tcBorders>
              <w:top w:val="nil"/>
              <w:left w:val="nil"/>
              <w:bottom w:val="single" w:sz="4" w:space="0" w:color="auto"/>
              <w:right w:val="single" w:sz="4" w:space="0" w:color="auto"/>
            </w:tcBorders>
            <w:shd w:val="clear" w:color="auto" w:fill="auto"/>
            <w:noWrap/>
            <w:vAlign w:val="bottom"/>
            <w:hideMark/>
          </w:tcPr>
          <w:p w14:paraId="41AA566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Amount (£) </w:t>
            </w:r>
          </w:p>
        </w:tc>
      </w:tr>
      <w:tr w:rsidR="0028569E" w:rsidRPr="0028569E" w14:paraId="7824DD61"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25C72E9A"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Sales</w:t>
            </w:r>
          </w:p>
        </w:tc>
        <w:tc>
          <w:tcPr>
            <w:tcW w:w="1317" w:type="dxa"/>
            <w:tcBorders>
              <w:top w:val="nil"/>
              <w:left w:val="nil"/>
              <w:bottom w:val="single" w:sz="4" w:space="0" w:color="auto"/>
              <w:right w:val="single" w:sz="4" w:space="0" w:color="auto"/>
            </w:tcBorders>
            <w:shd w:val="clear" w:color="auto" w:fill="auto"/>
            <w:noWrap/>
            <w:vAlign w:val="bottom"/>
            <w:hideMark/>
          </w:tcPr>
          <w:p w14:paraId="65538D6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163AE5C"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827,630 </w:t>
            </w:r>
          </w:p>
        </w:tc>
      </w:tr>
      <w:tr w:rsidR="0028569E" w:rsidRPr="0028569E" w14:paraId="76885294"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394DC9E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Less: Cost of sales</w:t>
            </w:r>
          </w:p>
        </w:tc>
        <w:tc>
          <w:tcPr>
            <w:tcW w:w="1317" w:type="dxa"/>
            <w:tcBorders>
              <w:top w:val="nil"/>
              <w:left w:val="nil"/>
              <w:bottom w:val="single" w:sz="4" w:space="0" w:color="auto"/>
              <w:right w:val="single" w:sz="4" w:space="0" w:color="auto"/>
            </w:tcBorders>
            <w:shd w:val="clear" w:color="auto" w:fill="auto"/>
            <w:noWrap/>
            <w:vAlign w:val="bottom"/>
            <w:hideMark/>
          </w:tcPr>
          <w:p w14:paraId="7847598A"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6442ECE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578,650 </w:t>
            </w:r>
          </w:p>
        </w:tc>
      </w:tr>
      <w:tr w:rsidR="0028569E" w:rsidRPr="0028569E" w14:paraId="4D69E260"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66D4FC1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Gross Profit</w:t>
            </w:r>
          </w:p>
        </w:tc>
        <w:tc>
          <w:tcPr>
            <w:tcW w:w="1317" w:type="dxa"/>
            <w:tcBorders>
              <w:top w:val="nil"/>
              <w:left w:val="nil"/>
              <w:bottom w:val="single" w:sz="4" w:space="0" w:color="auto"/>
              <w:right w:val="single" w:sz="4" w:space="0" w:color="auto"/>
            </w:tcBorders>
            <w:shd w:val="clear" w:color="auto" w:fill="auto"/>
            <w:noWrap/>
            <w:vAlign w:val="bottom"/>
            <w:hideMark/>
          </w:tcPr>
          <w:p w14:paraId="13D7CFC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94BD65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248,980 </w:t>
            </w:r>
          </w:p>
        </w:tc>
      </w:tr>
      <w:tr w:rsidR="0028569E" w:rsidRPr="0028569E" w14:paraId="4C7893B3" w14:textId="77777777" w:rsidTr="0028569E">
        <w:trPr>
          <w:trHeight w:val="624"/>
        </w:trPr>
        <w:tc>
          <w:tcPr>
            <w:tcW w:w="3904" w:type="dxa"/>
            <w:tcBorders>
              <w:top w:val="nil"/>
              <w:left w:val="single" w:sz="4" w:space="0" w:color="auto"/>
              <w:bottom w:val="single" w:sz="4" w:space="0" w:color="auto"/>
              <w:right w:val="single" w:sz="4" w:space="0" w:color="auto"/>
            </w:tcBorders>
            <w:shd w:val="clear" w:color="auto" w:fill="auto"/>
            <w:vAlign w:val="bottom"/>
            <w:hideMark/>
          </w:tcPr>
          <w:p w14:paraId="721E6DD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Less: Selling &amp; Administrative expenses</w:t>
            </w:r>
          </w:p>
        </w:tc>
        <w:tc>
          <w:tcPr>
            <w:tcW w:w="1317" w:type="dxa"/>
            <w:tcBorders>
              <w:top w:val="nil"/>
              <w:left w:val="nil"/>
              <w:bottom w:val="single" w:sz="4" w:space="0" w:color="auto"/>
              <w:right w:val="single" w:sz="4" w:space="0" w:color="auto"/>
            </w:tcBorders>
            <w:shd w:val="clear" w:color="auto" w:fill="auto"/>
            <w:noWrap/>
            <w:vAlign w:val="bottom"/>
            <w:hideMark/>
          </w:tcPr>
          <w:p w14:paraId="1469B43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36328DD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2001BF91"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48C71A03"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Administrative expenses</w:t>
            </w:r>
          </w:p>
        </w:tc>
        <w:tc>
          <w:tcPr>
            <w:tcW w:w="1317" w:type="dxa"/>
            <w:tcBorders>
              <w:top w:val="nil"/>
              <w:left w:val="nil"/>
              <w:bottom w:val="single" w:sz="4" w:space="0" w:color="auto"/>
              <w:right w:val="single" w:sz="4" w:space="0" w:color="auto"/>
            </w:tcBorders>
            <w:shd w:val="clear" w:color="auto" w:fill="auto"/>
            <w:noWrap/>
            <w:vAlign w:val="bottom"/>
            <w:hideMark/>
          </w:tcPr>
          <w:p w14:paraId="193DB2B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30,000 </w:t>
            </w:r>
          </w:p>
        </w:tc>
        <w:tc>
          <w:tcPr>
            <w:tcW w:w="1399" w:type="dxa"/>
            <w:tcBorders>
              <w:top w:val="nil"/>
              <w:left w:val="nil"/>
              <w:bottom w:val="single" w:sz="4" w:space="0" w:color="auto"/>
              <w:right w:val="single" w:sz="4" w:space="0" w:color="auto"/>
            </w:tcBorders>
            <w:shd w:val="clear" w:color="auto" w:fill="auto"/>
            <w:noWrap/>
            <w:vAlign w:val="bottom"/>
            <w:hideMark/>
          </w:tcPr>
          <w:p w14:paraId="6EFDF73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500A1488"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7E1ED55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Distribution costs</w:t>
            </w:r>
          </w:p>
        </w:tc>
        <w:tc>
          <w:tcPr>
            <w:tcW w:w="1317" w:type="dxa"/>
            <w:tcBorders>
              <w:top w:val="nil"/>
              <w:left w:val="nil"/>
              <w:bottom w:val="single" w:sz="4" w:space="0" w:color="auto"/>
              <w:right w:val="single" w:sz="4" w:space="0" w:color="auto"/>
            </w:tcBorders>
            <w:shd w:val="clear" w:color="auto" w:fill="auto"/>
            <w:noWrap/>
            <w:vAlign w:val="bottom"/>
            <w:hideMark/>
          </w:tcPr>
          <w:p w14:paraId="7FEB8F9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28,000 </w:t>
            </w:r>
          </w:p>
        </w:tc>
        <w:tc>
          <w:tcPr>
            <w:tcW w:w="1399" w:type="dxa"/>
            <w:tcBorders>
              <w:top w:val="nil"/>
              <w:left w:val="nil"/>
              <w:bottom w:val="single" w:sz="4" w:space="0" w:color="auto"/>
              <w:right w:val="single" w:sz="4" w:space="0" w:color="auto"/>
            </w:tcBorders>
            <w:shd w:val="clear" w:color="auto" w:fill="auto"/>
            <w:noWrap/>
            <w:vAlign w:val="bottom"/>
            <w:hideMark/>
          </w:tcPr>
          <w:p w14:paraId="0AF0B987"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0A5D8F7C"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2DC290D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O/s Salesmen commission </w:t>
            </w:r>
          </w:p>
        </w:tc>
        <w:tc>
          <w:tcPr>
            <w:tcW w:w="1317" w:type="dxa"/>
            <w:tcBorders>
              <w:top w:val="nil"/>
              <w:left w:val="nil"/>
              <w:bottom w:val="single" w:sz="4" w:space="0" w:color="auto"/>
              <w:right w:val="single" w:sz="4" w:space="0" w:color="auto"/>
            </w:tcBorders>
            <w:shd w:val="clear" w:color="auto" w:fill="auto"/>
            <w:noWrap/>
            <w:vAlign w:val="bottom"/>
            <w:hideMark/>
          </w:tcPr>
          <w:p w14:paraId="1C3BE72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3,000 </w:t>
            </w:r>
          </w:p>
        </w:tc>
        <w:tc>
          <w:tcPr>
            <w:tcW w:w="1399" w:type="dxa"/>
            <w:tcBorders>
              <w:top w:val="nil"/>
              <w:left w:val="nil"/>
              <w:bottom w:val="single" w:sz="4" w:space="0" w:color="auto"/>
              <w:right w:val="single" w:sz="4" w:space="0" w:color="auto"/>
            </w:tcBorders>
            <w:shd w:val="clear" w:color="auto" w:fill="auto"/>
            <w:noWrap/>
            <w:vAlign w:val="bottom"/>
            <w:hideMark/>
          </w:tcPr>
          <w:p w14:paraId="41202CA5"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61,000 </w:t>
            </w:r>
          </w:p>
        </w:tc>
      </w:tr>
      <w:tr w:rsidR="0028569E" w:rsidRPr="0028569E" w14:paraId="3E0CCB81"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42563DD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Net Profit</w:t>
            </w:r>
          </w:p>
        </w:tc>
        <w:tc>
          <w:tcPr>
            <w:tcW w:w="1317" w:type="dxa"/>
            <w:tcBorders>
              <w:top w:val="nil"/>
              <w:left w:val="nil"/>
              <w:bottom w:val="single" w:sz="4" w:space="0" w:color="auto"/>
              <w:right w:val="single" w:sz="4" w:space="0" w:color="auto"/>
            </w:tcBorders>
            <w:shd w:val="clear" w:color="auto" w:fill="auto"/>
            <w:noWrap/>
            <w:vAlign w:val="bottom"/>
            <w:hideMark/>
          </w:tcPr>
          <w:p w14:paraId="018F715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76FC09B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187,980 </w:t>
            </w:r>
          </w:p>
        </w:tc>
      </w:tr>
      <w:tr w:rsidR="0028569E" w:rsidRPr="0028569E" w14:paraId="367BE972"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0BE7F127"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Directors remuneration</w:t>
            </w:r>
          </w:p>
        </w:tc>
        <w:tc>
          <w:tcPr>
            <w:tcW w:w="1317" w:type="dxa"/>
            <w:tcBorders>
              <w:top w:val="nil"/>
              <w:left w:val="nil"/>
              <w:bottom w:val="single" w:sz="4" w:space="0" w:color="auto"/>
              <w:right w:val="single" w:sz="4" w:space="0" w:color="auto"/>
            </w:tcBorders>
            <w:shd w:val="clear" w:color="auto" w:fill="auto"/>
            <w:noWrap/>
            <w:vAlign w:val="bottom"/>
            <w:hideMark/>
          </w:tcPr>
          <w:p w14:paraId="5C1B1E1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175F1A2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5,000 </w:t>
            </w:r>
          </w:p>
        </w:tc>
      </w:tr>
      <w:tr w:rsidR="0028569E" w:rsidRPr="0028569E" w14:paraId="11224BB6"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4AB77DA0"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Net profit before interest and tax</w:t>
            </w:r>
          </w:p>
        </w:tc>
        <w:tc>
          <w:tcPr>
            <w:tcW w:w="1317" w:type="dxa"/>
            <w:tcBorders>
              <w:top w:val="nil"/>
              <w:left w:val="nil"/>
              <w:bottom w:val="single" w:sz="4" w:space="0" w:color="auto"/>
              <w:right w:val="single" w:sz="4" w:space="0" w:color="auto"/>
            </w:tcBorders>
            <w:shd w:val="clear" w:color="auto" w:fill="auto"/>
            <w:noWrap/>
            <w:vAlign w:val="bottom"/>
            <w:hideMark/>
          </w:tcPr>
          <w:p w14:paraId="7C5B3A57"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2DA05E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182,980 </w:t>
            </w:r>
          </w:p>
        </w:tc>
      </w:tr>
      <w:tr w:rsidR="0028569E" w:rsidRPr="0028569E" w14:paraId="25651E34"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6BBF4D3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Less: Interest</w:t>
            </w:r>
          </w:p>
        </w:tc>
        <w:tc>
          <w:tcPr>
            <w:tcW w:w="1317" w:type="dxa"/>
            <w:tcBorders>
              <w:top w:val="nil"/>
              <w:left w:val="nil"/>
              <w:bottom w:val="single" w:sz="4" w:space="0" w:color="auto"/>
              <w:right w:val="single" w:sz="4" w:space="0" w:color="auto"/>
            </w:tcBorders>
            <w:shd w:val="clear" w:color="auto" w:fill="auto"/>
            <w:noWrap/>
            <w:vAlign w:val="bottom"/>
            <w:hideMark/>
          </w:tcPr>
          <w:p w14:paraId="25016D54"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42CBF43A"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2,000 </w:t>
            </w:r>
          </w:p>
        </w:tc>
      </w:tr>
      <w:tr w:rsidR="0028569E" w:rsidRPr="0028569E" w14:paraId="4153BEA2"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33446F2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Net profit after interest before tax</w:t>
            </w:r>
          </w:p>
        </w:tc>
        <w:tc>
          <w:tcPr>
            <w:tcW w:w="1317" w:type="dxa"/>
            <w:tcBorders>
              <w:top w:val="nil"/>
              <w:left w:val="nil"/>
              <w:bottom w:val="single" w:sz="4" w:space="0" w:color="auto"/>
              <w:right w:val="single" w:sz="4" w:space="0" w:color="auto"/>
            </w:tcBorders>
            <w:shd w:val="clear" w:color="auto" w:fill="auto"/>
            <w:noWrap/>
            <w:vAlign w:val="bottom"/>
            <w:hideMark/>
          </w:tcPr>
          <w:p w14:paraId="6369293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45E50EF"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180,980 </w:t>
            </w:r>
          </w:p>
        </w:tc>
      </w:tr>
      <w:tr w:rsidR="0028569E" w:rsidRPr="0028569E" w14:paraId="1F56B00C"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44C53693"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Less: Corporation tax</w:t>
            </w:r>
          </w:p>
        </w:tc>
        <w:tc>
          <w:tcPr>
            <w:tcW w:w="1317" w:type="dxa"/>
            <w:tcBorders>
              <w:top w:val="nil"/>
              <w:left w:val="nil"/>
              <w:bottom w:val="single" w:sz="4" w:space="0" w:color="auto"/>
              <w:right w:val="single" w:sz="4" w:space="0" w:color="auto"/>
            </w:tcBorders>
            <w:shd w:val="clear" w:color="auto" w:fill="auto"/>
            <w:noWrap/>
            <w:vAlign w:val="bottom"/>
            <w:hideMark/>
          </w:tcPr>
          <w:p w14:paraId="5CCB8A8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078F4BAC"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68,000 </w:t>
            </w:r>
          </w:p>
        </w:tc>
      </w:tr>
      <w:tr w:rsidR="0028569E" w:rsidRPr="0028569E" w14:paraId="2F882CA0"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5BAC766D"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Net profit after interest and tax</w:t>
            </w:r>
          </w:p>
        </w:tc>
        <w:tc>
          <w:tcPr>
            <w:tcW w:w="1317" w:type="dxa"/>
            <w:tcBorders>
              <w:top w:val="nil"/>
              <w:left w:val="nil"/>
              <w:bottom w:val="single" w:sz="4" w:space="0" w:color="auto"/>
              <w:right w:val="single" w:sz="4" w:space="0" w:color="auto"/>
            </w:tcBorders>
            <w:shd w:val="clear" w:color="auto" w:fill="auto"/>
            <w:noWrap/>
            <w:vAlign w:val="bottom"/>
            <w:hideMark/>
          </w:tcPr>
          <w:p w14:paraId="02482B0A"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25A7C047"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xml:space="preserve">         112,980 </w:t>
            </w:r>
          </w:p>
        </w:tc>
      </w:tr>
      <w:tr w:rsidR="0028569E" w:rsidRPr="0028569E" w14:paraId="08800372"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624D5E3"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Less: Dividend paid</w:t>
            </w:r>
          </w:p>
        </w:tc>
        <w:tc>
          <w:tcPr>
            <w:tcW w:w="1317" w:type="dxa"/>
            <w:tcBorders>
              <w:top w:val="nil"/>
              <w:left w:val="nil"/>
              <w:bottom w:val="single" w:sz="4" w:space="0" w:color="auto"/>
              <w:right w:val="single" w:sz="4" w:space="0" w:color="auto"/>
            </w:tcBorders>
            <w:shd w:val="clear" w:color="auto" w:fill="auto"/>
            <w:noWrap/>
            <w:vAlign w:val="bottom"/>
            <w:hideMark/>
          </w:tcPr>
          <w:p w14:paraId="1E2E1E30"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6A48DE2B"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w:t>
            </w:r>
          </w:p>
        </w:tc>
      </w:tr>
      <w:tr w:rsidR="0028569E" w:rsidRPr="0028569E" w14:paraId="3B78D298"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3210EE8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Preference </w:t>
            </w:r>
          </w:p>
        </w:tc>
        <w:tc>
          <w:tcPr>
            <w:tcW w:w="1317" w:type="dxa"/>
            <w:tcBorders>
              <w:top w:val="nil"/>
              <w:left w:val="nil"/>
              <w:bottom w:val="single" w:sz="4" w:space="0" w:color="auto"/>
              <w:right w:val="single" w:sz="4" w:space="0" w:color="auto"/>
            </w:tcBorders>
            <w:shd w:val="clear" w:color="auto" w:fill="auto"/>
            <w:noWrap/>
            <w:vAlign w:val="bottom"/>
            <w:hideMark/>
          </w:tcPr>
          <w:p w14:paraId="4E9A864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30,000 </w:t>
            </w:r>
          </w:p>
        </w:tc>
        <w:tc>
          <w:tcPr>
            <w:tcW w:w="1399" w:type="dxa"/>
            <w:tcBorders>
              <w:top w:val="nil"/>
              <w:left w:val="nil"/>
              <w:bottom w:val="single" w:sz="4" w:space="0" w:color="auto"/>
              <w:right w:val="single" w:sz="4" w:space="0" w:color="auto"/>
            </w:tcBorders>
            <w:shd w:val="clear" w:color="auto" w:fill="auto"/>
            <w:noWrap/>
            <w:vAlign w:val="bottom"/>
            <w:hideMark/>
          </w:tcPr>
          <w:p w14:paraId="191E539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4D5A9F1D"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2533E0C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Ordinary</w:t>
            </w:r>
          </w:p>
        </w:tc>
        <w:tc>
          <w:tcPr>
            <w:tcW w:w="1317" w:type="dxa"/>
            <w:tcBorders>
              <w:top w:val="nil"/>
              <w:left w:val="nil"/>
              <w:bottom w:val="single" w:sz="4" w:space="0" w:color="auto"/>
              <w:right w:val="single" w:sz="4" w:space="0" w:color="auto"/>
            </w:tcBorders>
            <w:shd w:val="clear" w:color="auto" w:fill="auto"/>
            <w:noWrap/>
            <w:vAlign w:val="bottom"/>
            <w:hideMark/>
          </w:tcPr>
          <w:p w14:paraId="5243A1D7"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20,000 </w:t>
            </w:r>
          </w:p>
        </w:tc>
        <w:tc>
          <w:tcPr>
            <w:tcW w:w="1399" w:type="dxa"/>
            <w:tcBorders>
              <w:top w:val="nil"/>
              <w:left w:val="nil"/>
              <w:bottom w:val="single" w:sz="4" w:space="0" w:color="auto"/>
              <w:right w:val="single" w:sz="4" w:space="0" w:color="auto"/>
            </w:tcBorders>
            <w:shd w:val="clear" w:color="auto" w:fill="auto"/>
            <w:noWrap/>
            <w:vAlign w:val="bottom"/>
            <w:hideMark/>
          </w:tcPr>
          <w:p w14:paraId="07A483A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50,000 </w:t>
            </w:r>
          </w:p>
        </w:tc>
      </w:tr>
      <w:tr w:rsidR="0028569E" w:rsidRPr="0028569E" w14:paraId="2FD88C2C"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2896FD65" w14:textId="77777777" w:rsidR="0028569E" w:rsidRPr="0028569E" w:rsidRDefault="0028569E" w:rsidP="0028569E">
            <w:pPr>
              <w:spacing w:after="0" w:line="240" w:lineRule="auto"/>
              <w:jc w:val="left"/>
              <w:rPr>
                <w:rFonts w:eastAsia="Times New Roman"/>
                <w:i/>
                <w:iCs/>
                <w:color w:val="000000"/>
              </w:rPr>
            </w:pPr>
            <w:r w:rsidRPr="0028569E">
              <w:rPr>
                <w:rFonts w:eastAsia="Times New Roman"/>
                <w:i/>
                <w:iCs/>
                <w:color w:val="000000"/>
              </w:rPr>
              <w:t>Retained earnings</w:t>
            </w:r>
          </w:p>
        </w:tc>
        <w:tc>
          <w:tcPr>
            <w:tcW w:w="1317" w:type="dxa"/>
            <w:tcBorders>
              <w:top w:val="nil"/>
              <w:left w:val="nil"/>
              <w:bottom w:val="single" w:sz="4" w:space="0" w:color="auto"/>
              <w:right w:val="single" w:sz="4" w:space="0" w:color="auto"/>
            </w:tcBorders>
            <w:shd w:val="clear" w:color="auto" w:fill="auto"/>
            <w:noWrap/>
            <w:vAlign w:val="bottom"/>
            <w:hideMark/>
          </w:tcPr>
          <w:p w14:paraId="4383C7B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3191578D" w14:textId="77777777" w:rsidR="0028569E" w:rsidRPr="0028569E" w:rsidRDefault="0028569E" w:rsidP="0028569E">
            <w:pPr>
              <w:spacing w:after="0" w:line="240" w:lineRule="auto"/>
              <w:jc w:val="left"/>
              <w:rPr>
                <w:rFonts w:eastAsia="Times New Roman"/>
                <w:i/>
                <w:iCs/>
                <w:color w:val="000000"/>
              </w:rPr>
            </w:pPr>
            <w:r w:rsidRPr="0028569E">
              <w:rPr>
                <w:rFonts w:eastAsia="Times New Roman"/>
                <w:i/>
                <w:iCs/>
                <w:color w:val="000000"/>
              </w:rPr>
              <w:t xml:space="preserve">          62,980 </w:t>
            </w:r>
          </w:p>
        </w:tc>
      </w:tr>
      <w:tr w:rsidR="0028569E" w:rsidRPr="0028569E" w14:paraId="3398350E" w14:textId="77777777" w:rsidTr="0028569E">
        <w:trPr>
          <w:trHeight w:val="312"/>
        </w:trPr>
        <w:tc>
          <w:tcPr>
            <w:tcW w:w="3904" w:type="dxa"/>
            <w:tcBorders>
              <w:top w:val="nil"/>
              <w:left w:val="nil"/>
              <w:bottom w:val="nil"/>
              <w:right w:val="nil"/>
            </w:tcBorders>
            <w:shd w:val="clear" w:color="auto" w:fill="auto"/>
            <w:noWrap/>
            <w:vAlign w:val="bottom"/>
            <w:hideMark/>
          </w:tcPr>
          <w:p w14:paraId="2186468F" w14:textId="77777777" w:rsidR="0028569E" w:rsidRPr="0028569E" w:rsidRDefault="0028569E" w:rsidP="0028569E">
            <w:pPr>
              <w:spacing w:after="0" w:line="240" w:lineRule="auto"/>
              <w:jc w:val="left"/>
              <w:rPr>
                <w:rFonts w:eastAsia="Times New Roman"/>
                <w:i/>
                <w:iCs/>
                <w:color w:val="000000"/>
              </w:rPr>
            </w:pPr>
          </w:p>
        </w:tc>
        <w:tc>
          <w:tcPr>
            <w:tcW w:w="1317" w:type="dxa"/>
            <w:tcBorders>
              <w:top w:val="nil"/>
              <w:left w:val="nil"/>
              <w:bottom w:val="nil"/>
              <w:right w:val="nil"/>
            </w:tcBorders>
            <w:shd w:val="clear" w:color="auto" w:fill="auto"/>
            <w:noWrap/>
            <w:vAlign w:val="bottom"/>
            <w:hideMark/>
          </w:tcPr>
          <w:p w14:paraId="374D95DF" w14:textId="77777777" w:rsidR="0028569E" w:rsidRPr="0028569E" w:rsidRDefault="0028569E" w:rsidP="0028569E">
            <w:pPr>
              <w:spacing w:after="0" w:line="240" w:lineRule="auto"/>
              <w:jc w:val="left"/>
              <w:rPr>
                <w:rFonts w:eastAsia="Times New Roman"/>
                <w:sz w:val="20"/>
                <w:szCs w:val="20"/>
              </w:rPr>
            </w:pPr>
          </w:p>
        </w:tc>
        <w:tc>
          <w:tcPr>
            <w:tcW w:w="1399" w:type="dxa"/>
            <w:tcBorders>
              <w:top w:val="nil"/>
              <w:left w:val="nil"/>
              <w:bottom w:val="nil"/>
              <w:right w:val="nil"/>
            </w:tcBorders>
            <w:shd w:val="clear" w:color="auto" w:fill="auto"/>
            <w:noWrap/>
            <w:vAlign w:val="bottom"/>
            <w:hideMark/>
          </w:tcPr>
          <w:p w14:paraId="367B4F26" w14:textId="77777777" w:rsidR="0028569E" w:rsidRPr="0028569E" w:rsidRDefault="0028569E" w:rsidP="0028569E">
            <w:pPr>
              <w:spacing w:after="0" w:line="240" w:lineRule="auto"/>
              <w:jc w:val="left"/>
              <w:rPr>
                <w:rFonts w:eastAsia="Times New Roman"/>
                <w:sz w:val="20"/>
                <w:szCs w:val="20"/>
              </w:rPr>
            </w:pPr>
          </w:p>
        </w:tc>
      </w:tr>
      <w:tr w:rsidR="0028569E" w:rsidRPr="0028569E" w14:paraId="11839B6C" w14:textId="77777777" w:rsidTr="0028569E">
        <w:trPr>
          <w:trHeight w:val="312"/>
        </w:trPr>
        <w:tc>
          <w:tcPr>
            <w:tcW w:w="6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38222A" w14:textId="77777777" w:rsidR="0028569E" w:rsidRPr="0028569E" w:rsidRDefault="0028569E" w:rsidP="0028569E">
            <w:pPr>
              <w:spacing w:after="0" w:line="240" w:lineRule="auto"/>
              <w:jc w:val="center"/>
              <w:rPr>
                <w:rFonts w:eastAsia="Times New Roman"/>
                <w:color w:val="000000"/>
              </w:rPr>
            </w:pPr>
            <w:r>
              <w:rPr>
                <w:rFonts w:eastAsia="Times New Roman"/>
                <w:color w:val="000000"/>
              </w:rPr>
              <w:lastRenderedPageBreak/>
              <w:t>Financial Position</w:t>
            </w:r>
          </w:p>
        </w:tc>
      </w:tr>
      <w:tr w:rsidR="0028569E" w:rsidRPr="0028569E" w14:paraId="4F8B070B" w14:textId="77777777" w:rsidTr="0028569E">
        <w:trPr>
          <w:trHeight w:val="312"/>
        </w:trPr>
        <w:tc>
          <w:tcPr>
            <w:tcW w:w="6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EE42F3" w14:textId="77777777" w:rsidR="0028569E" w:rsidRPr="0028569E" w:rsidRDefault="0028569E" w:rsidP="0028569E">
            <w:pPr>
              <w:spacing w:after="0" w:line="240" w:lineRule="auto"/>
              <w:jc w:val="center"/>
              <w:rPr>
                <w:rFonts w:eastAsia="Times New Roman"/>
                <w:color w:val="000000"/>
              </w:rPr>
            </w:pPr>
            <w:r w:rsidRPr="0028569E">
              <w:rPr>
                <w:rFonts w:eastAsia="Times New Roman"/>
                <w:color w:val="000000"/>
              </w:rPr>
              <w:t>as on 31st December 2020</w:t>
            </w:r>
          </w:p>
        </w:tc>
      </w:tr>
      <w:tr w:rsidR="0028569E" w:rsidRPr="0028569E" w14:paraId="1A0B0841"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239A15A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17" w:type="dxa"/>
            <w:tcBorders>
              <w:top w:val="nil"/>
              <w:left w:val="nil"/>
              <w:bottom w:val="single" w:sz="4" w:space="0" w:color="auto"/>
              <w:right w:val="single" w:sz="4" w:space="0" w:color="auto"/>
            </w:tcBorders>
            <w:shd w:val="clear" w:color="auto" w:fill="auto"/>
            <w:noWrap/>
            <w:vAlign w:val="bottom"/>
            <w:hideMark/>
          </w:tcPr>
          <w:p w14:paraId="693C7E41"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xml:space="preserve"> Amount (£) </w:t>
            </w:r>
          </w:p>
        </w:tc>
        <w:tc>
          <w:tcPr>
            <w:tcW w:w="1399" w:type="dxa"/>
            <w:tcBorders>
              <w:top w:val="nil"/>
              <w:left w:val="nil"/>
              <w:bottom w:val="single" w:sz="4" w:space="0" w:color="auto"/>
              <w:right w:val="single" w:sz="4" w:space="0" w:color="auto"/>
            </w:tcBorders>
            <w:shd w:val="clear" w:color="auto" w:fill="auto"/>
            <w:noWrap/>
            <w:vAlign w:val="bottom"/>
            <w:hideMark/>
          </w:tcPr>
          <w:p w14:paraId="50C4695D"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xml:space="preserve"> Amount (£) </w:t>
            </w:r>
          </w:p>
        </w:tc>
      </w:tr>
      <w:tr w:rsidR="0028569E" w:rsidRPr="0028569E" w14:paraId="48233785"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34485592" w14:textId="77777777" w:rsidR="0028569E" w:rsidRPr="0028569E" w:rsidRDefault="0028569E" w:rsidP="0028569E">
            <w:pPr>
              <w:spacing w:after="0" w:line="240" w:lineRule="auto"/>
              <w:jc w:val="center"/>
              <w:rPr>
                <w:rFonts w:eastAsia="Times New Roman"/>
                <w:b/>
                <w:bCs/>
                <w:color w:val="000000"/>
              </w:rPr>
            </w:pPr>
            <w:r w:rsidRPr="0028569E">
              <w:rPr>
                <w:rFonts w:eastAsia="Times New Roman"/>
                <w:b/>
                <w:bCs/>
                <w:color w:val="000000"/>
              </w:rPr>
              <w:t>ASSETS</w:t>
            </w:r>
          </w:p>
        </w:tc>
        <w:tc>
          <w:tcPr>
            <w:tcW w:w="1317" w:type="dxa"/>
            <w:tcBorders>
              <w:top w:val="nil"/>
              <w:left w:val="nil"/>
              <w:bottom w:val="single" w:sz="4" w:space="0" w:color="auto"/>
              <w:right w:val="single" w:sz="4" w:space="0" w:color="auto"/>
            </w:tcBorders>
            <w:shd w:val="clear" w:color="auto" w:fill="auto"/>
            <w:noWrap/>
            <w:vAlign w:val="bottom"/>
            <w:hideMark/>
          </w:tcPr>
          <w:p w14:paraId="56077F1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78A40A1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6D49262F"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0A15C136" w14:textId="77777777" w:rsidR="0028569E" w:rsidRPr="0028569E" w:rsidRDefault="0028569E" w:rsidP="0028569E">
            <w:pPr>
              <w:spacing w:after="0" w:line="240" w:lineRule="auto"/>
              <w:jc w:val="left"/>
              <w:rPr>
                <w:rFonts w:eastAsia="Times New Roman"/>
                <w:i/>
                <w:iCs/>
                <w:color w:val="000000"/>
              </w:rPr>
            </w:pPr>
            <w:r w:rsidRPr="0028569E">
              <w:rPr>
                <w:rFonts w:eastAsia="Times New Roman"/>
                <w:i/>
                <w:iCs/>
                <w:color w:val="000000"/>
              </w:rPr>
              <w:t>Non-current Assets</w:t>
            </w:r>
          </w:p>
        </w:tc>
        <w:tc>
          <w:tcPr>
            <w:tcW w:w="1317" w:type="dxa"/>
            <w:tcBorders>
              <w:top w:val="nil"/>
              <w:left w:val="nil"/>
              <w:bottom w:val="single" w:sz="4" w:space="0" w:color="auto"/>
              <w:right w:val="single" w:sz="4" w:space="0" w:color="auto"/>
            </w:tcBorders>
            <w:shd w:val="clear" w:color="auto" w:fill="auto"/>
            <w:noWrap/>
            <w:vAlign w:val="bottom"/>
            <w:hideMark/>
          </w:tcPr>
          <w:p w14:paraId="7FA1EA90"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01B08E2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74B33560"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2A4ABAA3"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Plant and equipment</w:t>
            </w:r>
          </w:p>
        </w:tc>
        <w:tc>
          <w:tcPr>
            <w:tcW w:w="1317" w:type="dxa"/>
            <w:tcBorders>
              <w:top w:val="nil"/>
              <w:left w:val="nil"/>
              <w:bottom w:val="single" w:sz="4" w:space="0" w:color="auto"/>
              <w:right w:val="single" w:sz="4" w:space="0" w:color="auto"/>
            </w:tcBorders>
            <w:shd w:val="clear" w:color="auto" w:fill="auto"/>
            <w:noWrap/>
            <w:vAlign w:val="bottom"/>
            <w:hideMark/>
          </w:tcPr>
          <w:p w14:paraId="0FE6B67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20F1BB8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632,730 </w:t>
            </w:r>
          </w:p>
        </w:tc>
      </w:tr>
      <w:tr w:rsidR="0028569E" w:rsidRPr="0028569E" w14:paraId="7319A72F"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A13AB33"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17" w:type="dxa"/>
            <w:tcBorders>
              <w:top w:val="nil"/>
              <w:left w:val="nil"/>
              <w:bottom w:val="single" w:sz="4" w:space="0" w:color="auto"/>
              <w:right w:val="single" w:sz="4" w:space="0" w:color="auto"/>
            </w:tcBorders>
            <w:shd w:val="clear" w:color="auto" w:fill="auto"/>
            <w:noWrap/>
            <w:vAlign w:val="bottom"/>
            <w:hideMark/>
          </w:tcPr>
          <w:p w14:paraId="7F9B78CC"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0A762FEF"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05F7FD93"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3A2F9B3A" w14:textId="77777777" w:rsidR="0028569E" w:rsidRPr="0028569E" w:rsidRDefault="0028569E" w:rsidP="0028569E">
            <w:pPr>
              <w:spacing w:after="0" w:line="240" w:lineRule="auto"/>
              <w:jc w:val="left"/>
              <w:rPr>
                <w:rFonts w:eastAsia="Times New Roman"/>
                <w:i/>
                <w:iCs/>
                <w:color w:val="000000"/>
              </w:rPr>
            </w:pPr>
            <w:r w:rsidRPr="0028569E">
              <w:rPr>
                <w:rFonts w:eastAsia="Times New Roman"/>
                <w:i/>
                <w:iCs/>
                <w:color w:val="000000"/>
              </w:rPr>
              <w:t>Current Assets</w:t>
            </w:r>
          </w:p>
        </w:tc>
        <w:tc>
          <w:tcPr>
            <w:tcW w:w="1317" w:type="dxa"/>
            <w:tcBorders>
              <w:top w:val="nil"/>
              <w:left w:val="nil"/>
              <w:bottom w:val="single" w:sz="4" w:space="0" w:color="auto"/>
              <w:right w:val="single" w:sz="4" w:space="0" w:color="auto"/>
            </w:tcBorders>
            <w:shd w:val="clear" w:color="auto" w:fill="auto"/>
            <w:noWrap/>
            <w:vAlign w:val="bottom"/>
            <w:hideMark/>
          </w:tcPr>
          <w:p w14:paraId="4F62E24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1F9082D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78A8B14C"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5C79BD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Stock</w:t>
            </w:r>
          </w:p>
        </w:tc>
        <w:tc>
          <w:tcPr>
            <w:tcW w:w="1317" w:type="dxa"/>
            <w:tcBorders>
              <w:top w:val="nil"/>
              <w:left w:val="nil"/>
              <w:bottom w:val="single" w:sz="4" w:space="0" w:color="auto"/>
              <w:right w:val="single" w:sz="4" w:space="0" w:color="auto"/>
            </w:tcBorders>
            <w:shd w:val="clear" w:color="auto" w:fill="auto"/>
            <w:noWrap/>
            <w:vAlign w:val="bottom"/>
            <w:hideMark/>
          </w:tcPr>
          <w:p w14:paraId="25B32E40"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330,600 </w:t>
            </w:r>
          </w:p>
        </w:tc>
        <w:tc>
          <w:tcPr>
            <w:tcW w:w="1399" w:type="dxa"/>
            <w:tcBorders>
              <w:top w:val="nil"/>
              <w:left w:val="nil"/>
              <w:bottom w:val="single" w:sz="4" w:space="0" w:color="auto"/>
              <w:right w:val="single" w:sz="4" w:space="0" w:color="auto"/>
            </w:tcBorders>
            <w:shd w:val="clear" w:color="auto" w:fill="auto"/>
            <w:noWrap/>
            <w:vAlign w:val="bottom"/>
            <w:hideMark/>
          </w:tcPr>
          <w:p w14:paraId="6602133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58D8A6F6"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7AA69BE7"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Debtors (170125 + 980)</w:t>
            </w:r>
          </w:p>
        </w:tc>
        <w:tc>
          <w:tcPr>
            <w:tcW w:w="1317" w:type="dxa"/>
            <w:tcBorders>
              <w:top w:val="nil"/>
              <w:left w:val="nil"/>
              <w:bottom w:val="single" w:sz="4" w:space="0" w:color="auto"/>
              <w:right w:val="single" w:sz="4" w:space="0" w:color="auto"/>
            </w:tcBorders>
            <w:shd w:val="clear" w:color="auto" w:fill="auto"/>
            <w:noWrap/>
            <w:vAlign w:val="bottom"/>
            <w:hideMark/>
          </w:tcPr>
          <w:p w14:paraId="64B7F150"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171,105 </w:t>
            </w:r>
          </w:p>
        </w:tc>
        <w:tc>
          <w:tcPr>
            <w:tcW w:w="1399" w:type="dxa"/>
            <w:tcBorders>
              <w:top w:val="nil"/>
              <w:left w:val="nil"/>
              <w:bottom w:val="single" w:sz="4" w:space="0" w:color="auto"/>
              <w:right w:val="single" w:sz="4" w:space="0" w:color="auto"/>
            </w:tcBorders>
            <w:shd w:val="clear" w:color="auto" w:fill="auto"/>
            <w:noWrap/>
            <w:vAlign w:val="bottom"/>
            <w:hideMark/>
          </w:tcPr>
          <w:p w14:paraId="7FB188C3"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13164C50"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0A8A0A9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Cash and bank</w:t>
            </w:r>
          </w:p>
        </w:tc>
        <w:tc>
          <w:tcPr>
            <w:tcW w:w="1317" w:type="dxa"/>
            <w:tcBorders>
              <w:top w:val="nil"/>
              <w:left w:val="nil"/>
              <w:bottom w:val="single" w:sz="4" w:space="0" w:color="auto"/>
              <w:right w:val="single" w:sz="4" w:space="0" w:color="auto"/>
            </w:tcBorders>
            <w:shd w:val="clear" w:color="auto" w:fill="auto"/>
            <w:noWrap/>
            <w:vAlign w:val="bottom"/>
            <w:hideMark/>
          </w:tcPr>
          <w:p w14:paraId="6CC58A9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12,900 </w:t>
            </w:r>
          </w:p>
        </w:tc>
        <w:tc>
          <w:tcPr>
            <w:tcW w:w="1399" w:type="dxa"/>
            <w:tcBorders>
              <w:top w:val="nil"/>
              <w:left w:val="nil"/>
              <w:bottom w:val="single" w:sz="4" w:space="0" w:color="auto"/>
              <w:right w:val="single" w:sz="4" w:space="0" w:color="auto"/>
            </w:tcBorders>
            <w:shd w:val="clear" w:color="auto" w:fill="auto"/>
            <w:noWrap/>
            <w:vAlign w:val="bottom"/>
            <w:hideMark/>
          </w:tcPr>
          <w:p w14:paraId="71638C9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514,605 </w:t>
            </w:r>
          </w:p>
        </w:tc>
      </w:tr>
      <w:tr w:rsidR="0028569E" w:rsidRPr="0028569E" w14:paraId="0CB3BFCB"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597A547B"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Total Assets</w:t>
            </w:r>
          </w:p>
        </w:tc>
        <w:tc>
          <w:tcPr>
            <w:tcW w:w="1317" w:type="dxa"/>
            <w:tcBorders>
              <w:top w:val="nil"/>
              <w:left w:val="nil"/>
              <w:bottom w:val="single" w:sz="4" w:space="0" w:color="auto"/>
              <w:right w:val="single" w:sz="4" w:space="0" w:color="auto"/>
            </w:tcBorders>
            <w:shd w:val="clear" w:color="auto" w:fill="auto"/>
            <w:noWrap/>
            <w:vAlign w:val="bottom"/>
            <w:hideMark/>
          </w:tcPr>
          <w:p w14:paraId="4507CE19"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77A5FA2"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xml:space="preserve">      1,147,335 </w:t>
            </w:r>
          </w:p>
        </w:tc>
      </w:tr>
      <w:tr w:rsidR="0028569E" w:rsidRPr="0028569E" w14:paraId="6214A493"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66D17E7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17" w:type="dxa"/>
            <w:tcBorders>
              <w:top w:val="nil"/>
              <w:left w:val="nil"/>
              <w:bottom w:val="single" w:sz="4" w:space="0" w:color="auto"/>
              <w:right w:val="single" w:sz="4" w:space="0" w:color="auto"/>
            </w:tcBorders>
            <w:shd w:val="clear" w:color="auto" w:fill="auto"/>
            <w:noWrap/>
            <w:vAlign w:val="bottom"/>
            <w:hideMark/>
          </w:tcPr>
          <w:p w14:paraId="0DEDDCD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793E3217"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0B584D56"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4CFA7DEF" w14:textId="77777777" w:rsidR="0028569E" w:rsidRPr="0028569E" w:rsidRDefault="0028569E" w:rsidP="0028569E">
            <w:pPr>
              <w:spacing w:after="0" w:line="240" w:lineRule="auto"/>
              <w:jc w:val="center"/>
              <w:rPr>
                <w:rFonts w:eastAsia="Times New Roman"/>
                <w:b/>
                <w:bCs/>
                <w:color w:val="000000"/>
              </w:rPr>
            </w:pPr>
            <w:r w:rsidRPr="0028569E">
              <w:rPr>
                <w:rFonts w:eastAsia="Times New Roman"/>
                <w:b/>
                <w:bCs/>
                <w:color w:val="000000"/>
              </w:rPr>
              <w:t>Equity and Liabilities</w:t>
            </w:r>
          </w:p>
        </w:tc>
        <w:tc>
          <w:tcPr>
            <w:tcW w:w="1317" w:type="dxa"/>
            <w:tcBorders>
              <w:top w:val="nil"/>
              <w:left w:val="nil"/>
              <w:bottom w:val="single" w:sz="4" w:space="0" w:color="auto"/>
              <w:right w:val="single" w:sz="4" w:space="0" w:color="auto"/>
            </w:tcBorders>
            <w:shd w:val="clear" w:color="auto" w:fill="auto"/>
            <w:noWrap/>
            <w:vAlign w:val="bottom"/>
            <w:hideMark/>
          </w:tcPr>
          <w:p w14:paraId="40BE0E3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6335BDF"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04C44893"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559B8F1E" w14:textId="77777777" w:rsidR="0028569E" w:rsidRPr="0028569E" w:rsidRDefault="0028569E" w:rsidP="0028569E">
            <w:pPr>
              <w:spacing w:after="0" w:line="240" w:lineRule="auto"/>
              <w:jc w:val="left"/>
              <w:rPr>
                <w:rFonts w:eastAsia="Times New Roman"/>
                <w:i/>
                <w:iCs/>
                <w:color w:val="000000"/>
              </w:rPr>
            </w:pPr>
            <w:r w:rsidRPr="0028569E">
              <w:rPr>
                <w:rFonts w:eastAsia="Times New Roman"/>
                <w:i/>
                <w:iCs/>
                <w:color w:val="000000"/>
              </w:rPr>
              <w:t>Non-current liabilities</w:t>
            </w:r>
          </w:p>
        </w:tc>
        <w:tc>
          <w:tcPr>
            <w:tcW w:w="1317" w:type="dxa"/>
            <w:tcBorders>
              <w:top w:val="nil"/>
              <w:left w:val="nil"/>
              <w:bottom w:val="single" w:sz="4" w:space="0" w:color="auto"/>
              <w:right w:val="single" w:sz="4" w:space="0" w:color="auto"/>
            </w:tcBorders>
            <w:shd w:val="clear" w:color="auto" w:fill="auto"/>
            <w:noWrap/>
            <w:vAlign w:val="bottom"/>
            <w:hideMark/>
          </w:tcPr>
          <w:p w14:paraId="4BCE588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4627ED3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5C9517EE"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7920F0F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Debentures</w:t>
            </w:r>
          </w:p>
        </w:tc>
        <w:tc>
          <w:tcPr>
            <w:tcW w:w="1317" w:type="dxa"/>
            <w:tcBorders>
              <w:top w:val="nil"/>
              <w:left w:val="nil"/>
              <w:bottom w:val="single" w:sz="4" w:space="0" w:color="auto"/>
              <w:right w:val="single" w:sz="4" w:space="0" w:color="auto"/>
            </w:tcBorders>
            <w:shd w:val="clear" w:color="auto" w:fill="auto"/>
            <w:noWrap/>
            <w:vAlign w:val="bottom"/>
            <w:hideMark/>
          </w:tcPr>
          <w:p w14:paraId="7FC90B1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EBB902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100,000 </w:t>
            </w:r>
          </w:p>
        </w:tc>
      </w:tr>
      <w:tr w:rsidR="0028569E" w:rsidRPr="0028569E" w14:paraId="20169397"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5EC3EC69" w14:textId="77777777" w:rsidR="0028569E" w:rsidRPr="0028569E" w:rsidRDefault="0028569E" w:rsidP="0028569E">
            <w:pPr>
              <w:spacing w:after="0" w:line="240" w:lineRule="auto"/>
              <w:jc w:val="center"/>
              <w:rPr>
                <w:rFonts w:eastAsia="Times New Roman"/>
                <w:color w:val="000000"/>
              </w:rPr>
            </w:pPr>
            <w:r w:rsidRPr="0028569E">
              <w:rPr>
                <w:rFonts w:eastAsia="Times New Roman"/>
                <w:color w:val="000000"/>
              </w:rPr>
              <w:t> </w:t>
            </w:r>
          </w:p>
        </w:tc>
        <w:tc>
          <w:tcPr>
            <w:tcW w:w="1317" w:type="dxa"/>
            <w:tcBorders>
              <w:top w:val="nil"/>
              <w:left w:val="nil"/>
              <w:bottom w:val="single" w:sz="4" w:space="0" w:color="auto"/>
              <w:right w:val="single" w:sz="4" w:space="0" w:color="auto"/>
            </w:tcBorders>
            <w:shd w:val="clear" w:color="auto" w:fill="auto"/>
            <w:noWrap/>
            <w:vAlign w:val="bottom"/>
            <w:hideMark/>
          </w:tcPr>
          <w:p w14:paraId="1D516804"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7101C3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5D217744"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D28D123" w14:textId="77777777" w:rsidR="0028569E" w:rsidRPr="0028569E" w:rsidRDefault="0028569E" w:rsidP="0028569E">
            <w:pPr>
              <w:spacing w:after="0" w:line="240" w:lineRule="auto"/>
              <w:jc w:val="left"/>
              <w:rPr>
                <w:rFonts w:eastAsia="Times New Roman"/>
                <w:i/>
                <w:iCs/>
                <w:color w:val="000000"/>
              </w:rPr>
            </w:pPr>
            <w:r w:rsidRPr="0028569E">
              <w:rPr>
                <w:rFonts w:eastAsia="Times New Roman"/>
                <w:i/>
                <w:iCs/>
                <w:color w:val="000000"/>
              </w:rPr>
              <w:t>Current liabilities</w:t>
            </w:r>
          </w:p>
        </w:tc>
        <w:tc>
          <w:tcPr>
            <w:tcW w:w="1317" w:type="dxa"/>
            <w:tcBorders>
              <w:top w:val="nil"/>
              <w:left w:val="nil"/>
              <w:bottom w:val="single" w:sz="4" w:space="0" w:color="auto"/>
              <w:right w:val="single" w:sz="4" w:space="0" w:color="auto"/>
            </w:tcBorders>
            <w:shd w:val="clear" w:color="auto" w:fill="auto"/>
            <w:noWrap/>
            <w:vAlign w:val="bottom"/>
            <w:hideMark/>
          </w:tcPr>
          <w:p w14:paraId="41EBF7E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1492C1CC"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6A685700"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67E9427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Deferred tax liability</w:t>
            </w:r>
          </w:p>
        </w:tc>
        <w:tc>
          <w:tcPr>
            <w:tcW w:w="1317" w:type="dxa"/>
            <w:tcBorders>
              <w:top w:val="nil"/>
              <w:left w:val="nil"/>
              <w:bottom w:val="single" w:sz="4" w:space="0" w:color="auto"/>
              <w:right w:val="single" w:sz="4" w:space="0" w:color="auto"/>
            </w:tcBorders>
            <w:shd w:val="clear" w:color="auto" w:fill="auto"/>
            <w:noWrap/>
            <w:vAlign w:val="bottom"/>
            <w:hideMark/>
          </w:tcPr>
          <w:p w14:paraId="7AA7DC7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68,000 </w:t>
            </w:r>
          </w:p>
        </w:tc>
        <w:tc>
          <w:tcPr>
            <w:tcW w:w="1399" w:type="dxa"/>
            <w:tcBorders>
              <w:top w:val="nil"/>
              <w:left w:val="nil"/>
              <w:bottom w:val="single" w:sz="4" w:space="0" w:color="auto"/>
              <w:right w:val="single" w:sz="4" w:space="0" w:color="auto"/>
            </w:tcBorders>
            <w:shd w:val="clear" w:color="auto" w:fill="auto"/>
            <w:noWrap/>
            <w:vAlign w:val="bottom"/>
            <w:hideMark/>
          </w:tcPr>
          <w:p w14:paraId="14C1D07F"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5F8614F6"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3FDE840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O/s commission</w:t>
            </w:r>
          </w:p>
        </w:tc>
        <w:tc>
          <w:tcPr>
            <w:tcW w:w="1317" w:type="dxa"/>
            <w:tcBorders>
              <w:top w:val="nil"/>
              <w:left w:val="nil"/>
              <w:bottom w:val="single" w:sz="4" w:space="0" w:color="auto"/>
              <w:right w:val="single" w:sz="4" w:space="0" w:color="auto"/>
            </w:tcBorders>
            <w:shd w:val="clear" w:color="auto" w:fill="auto"/>
            <w:noWrap/>
            <w:vAlign w:val="bottom"/>
            <w:hideMark/>
          </w:tcPr>
          <w:p w14:paraId="567CB386"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3,000 </w:t>
            </w:r>
          </w:p>
        </w:tc>
        <w:tc>
          <w:tcPr>
            <w:tcW w:w="1399" w:type="dxa"/>
            <w:tcBorders>
              <w:top w:val="nil"/>
              <w:left w:val="nil"/>
              <w:bottom w:val="single" w:sz="4" w:space="0" w:color="auto"/>
              <w:right w:val="single" w:sz="4" w:space="0" w:color="auto"/>
            </w:tcBorders>
            <w:shd w:val="clear" w:color="auto" w:fill="auto"/>
            <w:noWrap/>
            <w:vAlign w:val="bottom"/>
            <w:hideMark/>
          </w:tcPr>
          <w:p w14:paraId="08FFFC7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1D2C3B6F"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35DEFB22"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Trade creditors</w:t>
            </w:r>
          </w:p>
        </w:tc>
        <w:tc>
          <w:tcPr>
            <w:tcW w:w="1317" w:type="dxa"/>
            <w:tcBorders>
              <w:top w:val="nil"/>
              <w:left w:val="nil"/>
              <w:bottom w:val="single" w:sz="4" w:space="0" w:color="auto"/>
              <w:right w:val="single" w:sz="4" w:space="0" w:color="auto"/>
            </w:tcBorders>
            <w:shd w:val="clear" w:color="auto" w:fill="auto"/>
            <w:noWrap/>
            <w:vAlign w:val="bottom"/>
            <w:hideMark/>
          </w:tcPr>
          <w:p w14:paraId="4655120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171,355 </w:t>
            </w:r>
          </w:p>
        </w:tc>
        <w:tc>
          <w:tcPr>
            <w:tcW w:w="1399" w:type="dxa"/>
            <w:tcBorders>
              <w:top w:val="nil"/>
              <w:left w:val="nil"/>
              <w:bottom w:val="single" w:sz="4" w:space="0" w:color="auto"/>
              <w:right w:val="single" w:sz="4" w:space="0" w:color="auto"/>
            </w:tcBorders>
            <w:shd w:val="clear" w:color="auto" w:fill="auto"/>
            <w:noWrap/>
            <w:vAlign w:val="bottom"/>
            <w:hideMark/>
          </w:tcPr>
          <w:p w14:paraId="48A2809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242,355 </w:t>
            </w:r>
          </w:p>
        </w:tc>
      </w:tr>
      <w:tr w:rsidR="0028569E" w:rsidRPr="0028569E" w14:paraId="613076D4"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44F0E09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17" w:type="dxa"/>
            <w:tcBorders>
              <w:top w:val="nil"/>
              <w:left w:val="nil"/>
              <w:bottom w:val="single" w:sz="4" w:space="0" w:color="auto"/>
              <w:right w:val="single" w:sz="4" w:space="0" w:color="auto"/>
            </w:tcBorders>
            <w:shd w:val="clear" w:color="auto" w:fill="auto"/>
            <w:noWrap/>
            <w:vAlign w:val="bottom"/>
            <w:hideMark/>
          </w:tcPr>
          <w:p w14:paraId="67E52E2A"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5E28E044"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51A32FB1"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B4B92F6" w14:textId="77777777" w:rsidR="0028569E" w:rsidRPr="0028569E" w:rsidRDefault="0028569E" w:rsidP="0028569E">
            <w:pPr>
              <w:spacing w:after="0" w:line="240" w:lineRule="auto"/>
              <w:jc w:val="left"/>
              <w:rPr>
                <w:rFonts w:eastAsia="Times New Roman"/>
                <w:i/>
                <w:iCs/>
                <w:color w:val="000000"/>
              </w:rPr>
            </w:pPr>
            <w:r w:rsidRPr="0028569E">
              <w:rPr>
                <w:rFonts w:eastAsia="Times New Roman"/>
                <w:i/>
                <w:iCs/>
                <w:color w:val="000000"/>
              </w:rPr>
              <w:t>Equity</w:t>
            </w:r>
          </w:p>
        </w:tc>
        <w:tc>
          <w:tcPr>
            <w:tcW w:w="1317" w:type="dxa"/>
            <w:tcBorders>
              <w:top w:val="nil"/>
              <w:left w:val="nil"/>
              <w:bottom w:val="single" w:sz="4" w:space="0" w:color="auto"/>
              <w:right w:val="single" w:sz="4" w:space="0" w:color="auto"/>
            </w:tcBorders>
            <w:shd w:val="clear" w:color="auto" w:fill="auto"/>
            <w:noWrap/>
            <w:vAlign w:val="bottom"/>
            <w:hideMark/>
          </w:tcPr>
          <w:p w14:paraId="3D51A914"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00D04993"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4A544DC6"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7C698858"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Ordinary shares</w:t>
            </w:r>
          </w:p>
        </w:tc>
        <w:tc>
          <w:tcPr>
            <w:tcW w:w="1317" w:type="dxa"/>
            <w:tcBorders>
              <w:top w:val="nil"/>
              <w:left w:val="nil"/>
              <w:bottom w:val="single" w:sz="4" w:space="0" w:color="auto"/>
              <w:right w:val="single" w:sz="4" w:space="0" w:color="auto"/>
            </w:tcBorders>
            <w:shd w:val="clear" w:color="auto" w:fill="auto"/>
            <w:noWrap/>
            <w:vAlign w:val="bottom"/>
            <w:hideMark/>
          </w:tcPr>
          <w:p w14:paraId="77A0849D"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310,000 </w:t>
            </w:r>
          </w:p>
        </w:tc>
        <w:tc>
          <w:tcPr>
            <w:tcW w:w="1399" w:type="dxa"/>
            <w:tcBorders>
              <w:top w:val="nil"/>
              <w:left w:val="nil"/>
              <w:bottom w:val="single" w:sz="4" w:space="0" w:color="auto"/>
              <w:right w:val="single" w:sz="4" w:space="0" w:color="auto"/>
            </w:tcBorders>
            <w:shd w:val="clear" w:color="auto" w:fill="auto"/>
            <w:noWrap/>
            <w:vAlign w:val="bottom"/>
            <w:hideMark/>
          </w:tcPr>
          <w:p w14:paraId="640C638F"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1047196A"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F388331"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Preference shares</w:t>
            </w:r>
          </w:p>
        </w:tc>
        <w:tc>
          <w:tcPr>
            <w:tcW w:w="1317" w:type="dxa"/>
            <w:tcBorders>
              <w:top w:val="nil"/>
              <w:left w:val="nil"/>
              <w:bottom w:val="single" w:sz="4" w:space="0" w:color="auto"/>
              <w:right w:val="single" w:sz="4" w:space="0" w:color="auto"/>
            </w:tcBorders>
            <w:shd w:val="clear" w:color="auto" w:fill="auto"/>
            <w:noWrap/>
            <w:vAlign w:val="bottom"/>
            <w:hideMark/>
          </w:tcPr>
          <w:p w14:paraId="560DB59B"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300,000 </w:t>
            </w:r>
          </w:p>
        </w:tc>
        <w:tc>
          <w:tcPr>
            <w:tcW w:w="1399" w:type="dxa"/>
            <w:tcBorders>
              <w:top w:val="nil"/>
              <w:left w:val="nil"/>
              <w:bottom w:val="single" w:sz="4" w:space="0" w:color="auto"/>
              <w:right w:val="single" w:sz="4" w:space="0" w:color="auto"/>
            </w:tcBorders>
            <w:shd w:val="clear" w:color="auto" w:fill="auto"/>
            <w:noWrap/>
            <w:vAlign w:val="bottom"/>
            <w:hideMark/>
          </w:tcPr>
          <w:p w14:paraId="66FCEE1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w:t>
            </w:r>
          </w:p>
        </w:tc>
      </w:tr>
      <w:tr w:rsidR="0028569E" w:rsidRPr="0028569E" w14:paraId="14CE3908"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12A6B34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Retained earnings (132000 + 223505)</w:t>
            </w:r>
          </w:p>
        </w:tc>
        <w:tc>
          <w:tcPr>
            <w:tcW w:w="1317" w:type="dxa"/>
            <w:tcBorders>
              <w:top w:val="nil"/>
              <w:left w:val="nil"/>
              <w:bottom w:val="single" w:sz="4" w:space="0" w:color="auto"/>
              <w:right w:val="single" w:sz="4" w:space="0" w:color="auto"/>
            </w:tcBorders>
            <w:shd w:val="clear" w:color="auto" w:fill="auto"/>
            <w:noWrap/>
            <w:vAlign w:val="bottom"/>
            <w:hideMark/>
          </w:tcPr>
          <w:p w14:paraId="203968DE"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194,980 </w:t>
            </w:r>
          </w:p>
        </w:tc>
        <w:tc>
          <w:tcPr>
            <w:tcW w:w="1399" w:type="dxa"/>
            <w:tcBorders>
              <w:top w:val="nil"/>
              <w:left w:val="nil"/>
              <w:bottom w:val="single" w:sz="4" w:space="0" w:color="auto"/>
              <w:right w:val="single" w:sz="4" w:space="0" w:color="auto"/>
            </w:tcBorders>
            <w:shd w:val="clear" w:color="auto" w:fill="auto"/>
            <w:noWrap/>
            <w:vAlign w:val="bottom"/>
            <w:hideMark/>
          </w:tcPr>
          <w:p w14:paraId="5578C299" w14:textId="77777777" w:rsidR="0028569E" w:rsidRPr="0028569E" w:rsidRDefault="0028569E" w:rsidP="0028569E">
            <w:pPr>
              <w:spacing w:after="0" w:line="240" w:lineRule="auto"/>
              <w:jc w:val="left"/>
              <w:rPr>
                <w:rFonts w:eastAsia="Times New Roman"/>
                <w:color w:val="000000"/>
              </w:rPr>
            </w:pPr>
            <w:r w:rsidRPr="0028569E">
              <w:rPr>
                <w:rFonts w:eastAsia="Times New Roman"/>
                <w:color w:val="000000"/>
              </w:rPr>
              <w:t xml:space="preserve">         804,980 </w:t>
            </w:r>
          </w:p>
        </w:tc>
      </w:tr>
      <w:tr w:rsidR="0028569E" w:rsidRPr="0028569E" w14:paraId="362BF28B" w14:textId="77777777" w:rsidTr="0028569E">
        <w:trPr>
          <w:trHeight w:val="312"/>
        </w:trPr>
        <w:tc>
          <w:tcPr>
            <w:tcW w:w="3904" w:type="dxa"/>
            <w:tcBorders>
              <w:top w:val="nil"/>
              <w:left w:val="single" w:sz="4" w:space="0" w:color="auto"/>
              <w:bottom w:val="single" w:sz="4" w:space="0" w:color="auto"/>
              <w:right w:val="single" w:sz="4" w:space="0" w:color="auto"/>
            </w:tcBorders>
            <w:shd w:val="clear" w:color="auto" w:fill="auto"/>
            <w:noWrap/>
            <w:vAlign w:val="bottom"/>
            <w:hideMark/>
          </w:tcPr>
          <w:p w14:paraId="466EAC64"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Total equity and liabilities</w:t>
            </w:r>
          </w:p>
        </w:tc>
        <w:tc>
          <w:tcPr>
            <w:tcW w:w="1317" w:type="dxa"/>
            <w:tcBorders>
              <w:top w:val="nil"/>
              <w:left w:val="nil"/>
              <w:bottom w:val="single" w:sz="4" w:space="0" w:color="auto"/>
              <w:right w:val="single" w:sz="4" w:space="0" w:color="auto"/>
            </w:tcBorders>
            <w:shd w:val="clear" w:color="auto" w:fill="auto"/>
            <w:noWrap/>
            <w:vAlign w:val="bottom"/>
            <w:hideMark/>
          </w:tcPr>
          <w:p w14:paraId="1ED852EB"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w:t>
            </w:r>
          </w:p>
        </w:tc>
        <w:tc>
          <w:tcPr>
            <w:tcW w:w="1399" w:type="dxa"/>
            <w:tcBorders>
              <w:top w:val="nil"/>
              <w:left w:val="nil"/>
              <w:bottom w:val="single" w:sz="4" w:space="0" w:color="auto"/>
              <w:right w:val="single" w:sz="4" w:space="0" w:color="auto"/>
            </w:tcBorders>
            <w:shd w:val="clear" w:color="auto" w:fill="auto"/>
            <w:noWrap/>
            <w:vAlign w:val="bottom"/>
            <w:hideMark/>
          </w:tcPr>
          <w:p w14:paraId="6BF1CBFF" w14:textId="77777777" w:rsidR="0028569E" w:rsidRPr="0028569E" w:rsidRDefault="0028569E" w:rsidP="0028569E">
            <w:pPr>
              <w:spacing w:after="0" w:line="240" w:lineRule="auto"/>
              <w:jc w:val="left"/>
              <w:rPr>
                <w:rFonts w:eastAsia="Times New Roman"/>
                <w:b/>
                <w:bCs/>
                <w:color w:val="000000"/>
              </w:rPr>
            </w:pPr>
            <w:r w:rsidRPr="0028569E">
              <w:rPr>
                <w:rFonts w:eastAsia="Times New Roman"/>
                <w:b/>
                <w:bCs/>
                <w:color w:val="000000"/>
              </w:rPr>
              <w:t xml:space="preserve">      1,147,335 </w:t>
            </w:r>
          </w:p>
        </w:tc>
      </w:tr>
    </w:tbl>
    <w:p w14:paraId="4F04908B" w14:textId="77777777" w:rsidR="0092684E" w:rsidRDefault="0092684E" w:rsidP="00E52980"/>
    <w:p w14:paraId="7D29FA5C" w14:textId="77777777" w:rsidR="00886E29" w:rsidRDefault="00886E29" w:rsidP="00E52980">
      <w:pPr>
        <w:rPr>
          <w:b/>
        </w:rPr>
      </w:pPr>
      <w:r>
        <w:rPr>
          <w:b/>
        </w:rPr>
        <w:t xml:space="preserve">b. </w:t>
      </w:r>
      <w:r w:rsidR="00284DF4">
        <w:rPr>
          <w:b/>
        </w:rPr>
        <w:t>Balancing of financial position</w:t>
      </w:r>
    </w:p>
    <w:p w14:paraId="4E76A1C5" w14:textId="77777777" w:rsidR="00E008BD" w:rsidRDefault="00E008BD" w:rsidP="00E008BD">
      <w:r>
        <w:lastRenderedPageBreak/>
        <w:t>Therefore, the asset report is divided into several aspects (or areas). The left hand side of the accounting report represents a set of agency resources. On the right, the asset report monitors the group's responsibilities and investor values. Resources and liabilities are grouped into two categories: current assets / liabilities and non-current assets / liabilities (long range). More floating records, such as inventory, cash, and trade payments, are placed in the current section before illicit (or absent) accounts such as plant, property and equipment (PP&amp;E) and long-term debt. The accounting condition is seen as establishing a two-pronged accounting structure. On an organization’s cash register, it is like nothing more than that an organization’s total assets are equal to the amount of the organization’s liabilities and the value of the investors. Despite this dual cross-sectoral framework, the accounting position ensures that the balance sheet remains “adjusted” and that every step taken should have a comparative (or inclusive) section. on the debt side of the credit side.</w:t>
      </w:r>
    </w:p>
    <w:p w14:paraId="3828D045" w14:textId="77777777" w:rsidR="00E008BD" w:rsidRDefault="00E008BD" w:rsidP="00E008BD">
      <w:r>
        <w:t>The main explanation is that the cash register governs the two-step accounting system, which has evolved over the years from the basic T accounts used in medieval Italy. For each step a control section is created, safeguarding the balance. The reason for this picture is that assets are listed at cost of their adverse costs - the cost for which they were purchased - which means that an increase in the market estimate in the market is not considered. asset report. In addition to financing exercises, the value of investors is only affected by income or disposals and profit or loss is offset by the increases or decreases in resources and liabilities.</w:t>
      </w:r>
    </w:p>
    <w:p w14:paraId="10CAA868" w14:textId="77777777" w:rsidR="00E008BD" w:rsidRDefault="00E008BD" w:rsidP="00E008BD">
      <w:r>
        <w:t xml:space="preserve">First, the accounting report for the first section of the quarterly tax summary is recalled. It provides a solid picture of the financial position of the organization when used. The cash register includes the assets, liabilities, and investor value of the organization that provide a unique view of their accounting estimate. It is certainly true that it is far from a reasonable sign if the responsibilities of the organization outweigh its resources as this means that its misfortunes have exceeded its capital. could dissolve the organization or its inability to try business. It is not just what the accounting report of the organization could clarify; it can also draw attention to the appropriate amount of accessible resources that will help expand its business through acquiring another organization or to promote another element or even withdraw to keep up with its action exercises. Examining the cash register empowers the lender to know if there are too many stocks, too many, due to the perception that the administration had a normal interest in the items. This </w:t>
      </w:r>
      <w:r>
        <w:lastRenderedPageBreak/>
        <w:t xml:space="preserve">could be a strong indication that the organization is managing its resources poorly. Although the numbers presented in the financial position reporting of organizations vary widely, the overall structure of the reporting of all groups is unified. It makes it possible to view the presentation of two groups in two specific areas. </w:t>
      </w:r>
    </w:p>
    <w:p w14:paraId="49AB603E" w14:textId="77777777" w:rsidR="00E008BD" w:rsidRDefault="00E008BD" w:rsidP="00E008BD">
      <w:r>
        <w:t>Financial position is usually determined when a company operates in a two-pronged accounting framework, as this approach accepts constant updates on resource, liability and value accounts. If there is an element instead of using a frame for solo pass accounting, there is no easy way to raise the charge, which is usually physically assembled. In addition, validation provides more important data when sorted using basic accounting standards dictated by accounting structures, such as correct accounting rules or world currency naming principles.</w:t>
      </w:r>
    </w:p>
    <w:p w14:paraId="4E9808C8" w14:textId="77777777" w:rsidR="00E008BD" w:rsidRDefault="00E008BD" w:rsidP="00E008BD">
      <w:r>
        <w:t xml:space="preserve">The investor's value is reported in the organization's cash flow report. An investor's value rises to the deducted funds offered as offerings in addition to unrecorded benefits, which relate to income retained and reinstated with the group. They are not given to investors. For simplicity, investor value funds the organization's business. The greater the value to investors, the greater the increase in the organization's own activity. The investor's value is determined in a cash register by deducting all liabilities from total assets. </w:t>
      </w:r>
    </w:p>
    <w:p w14:paraId="3995CDD4" w14:textId="77777777" w:rsidR="00560D7B" w:rsidRPr="00560D7B" w:rsidRDefault="00E008BD" w:rsidP="00E008BD">
      <w:r>
        <w:t>The financial position of any company, large or small, is determined based on two key components of the accounting relationship: assets and liabilities. The third part of the cash register is owner value, or investment value. The accounting position is a reflection of how these three important components relate to each other. An essential accounting condition is called an accounting position or accounting relationship position. While resources address important resources available to the organization, responsibilities address their commitments. Both the responsibility and the value of investment relate to how an organization's resources are funded. If funded through the obligation, it will present a risk, and if it is funded by offering value offers to lenders, it will demonstrate investment value. The accounting position helps to determine whether the transactions of the group are properly disclosed in its books and records.</w:t>
      </w:r>
    </w:p>
    <w:p w14:paraId="43060A71" w14:textId="77777777" w:rsidR="00284DF4" w:rsidRDefault="00AB21B1" w:rsidP="00AB21B1">
      <w:pPr>
        <w:pStyle w:val="Heading1"/>
      </w:pPr>
      <w:bookmarkStart w:id="1" w:name="_Toc76510445"/>
      <w:r>
        <w:t>Question 2</w:t>
      </w:r>
      <w:bookmarkEnd w:id="1"/>
    </w:p>
    <w:p w14:paraId="59CB7561" w14:textId="77777777" w:rsidR="00AB21B1" w:rsidRDefault="00D2222D" w:rsidP="00AB21B1">
      <w:pPr>
        <w:rPr>
          <w:b/>
        </w:rPr>
      </w:pPr>
      <w:r>
        <w:rPr>
          <w:b/>
        </w:rPr>
        <w:t>a. Ratio calculation</w:t>
      </w:r>
    </w:p>
    <w:p w14:paraId="6D62EC64" w14:textId="77777777" w:rsidR="00D2222D" w:rsidRDefault="00445213" w:rsidP="00AB21B1">
      <w:pPr>
        <w:rPr>
          <w:u w:val="single"/>
        </w:rPr>
      </w:pPr>
      <w:r>
        <w:rPr>
          <w:u w:val="single"/>
        </w:rPr>
        <w:lastRenderedPageBreak/>
        <w:t>1. ROCE</w:t>
      </w:r>
    </w:p>
    <w:tbl>
      <w:tblPr>
        <w:tblW w:w="5860" w:type="dxa"/>
        <w:tblLook w:val="04A0" w:firstRow="1" w:lastRow="0" w:firstColumn="1" w:lastColumn="0" w:noHBand="0" w:noVBand="1"/>
      </w:tblPr>
      <w:tblGrid>
        <w:gridCol w:w="400"/>
        <w:gridCol w:w="3100"/>
        <w:gridCol w:w="1120"/>
        <w:gridCol w:w="1240"/>
      </w:tblGrid>
      <w:tr w:rsidR="00952B5C" w:rsidRPr="00952B5C" w14:paraId="42A31E57"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13B69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1A504E8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ROCE</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15E0F65F" w14:textId="77777777" w:rsidR="00952B5C" w:rsidRPr="00952B5C" w:rsidRDefault="00952B5C" w:rsidP="00952B5C">
            <w:pPr>
              <w:spacing w:after="0" w:line="240" w:lineRule="auto"/>
              <w:jc w:val="right"/>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72585ADF" w14:textId="77777777" w:rsidR="00952B5C" w:rsidRPr="00952B5C" w:rsidRDefault="00952B5C" w:rsidP="00952B5C">
            <w:pPr>
              <w:spacing w:after="0" w:line="240" w:lineRule="auto"/>
              <w:jc w:val="right"/>
              <w:rPr>
                <w:rFonts w:eastAsia="Times New Roman"/>
                <w:b/>
                <w:bCs/>
                <w:color w:val="000000"/>
              </w:rPr>
            </w:pPr>
            <w:r w:rsidRPr="00952B5C">
              <w:rPr>
                <w:rFonts w:eastAsia="Times New Roman"/>
                <w:b/>
                <w:bCs/>
                <w:color w:val="000000"/>
              </w:rPr>
              <w:t>2019</w:t>
            </w:r>
          </w:p>
        </w:tc>
      </w:tr>
      <w:tr w:rsidR="00952B5C" w:rsidRPr="00952B5C" w14:paraId="7573FF41"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06CFB6DE"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69A70C2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Operating profit</w:t>
            </w:r>
          </w:p>
        </w:tc>
        <w:tc>
          <w:tcPr>
            <w:tcW w:w="1120" w:type="dxa"/>
            <w:tcBorders>
              <w:top w:val="nil"/>
              <w:left w:val="nil"/>
              <w:bottom w:val="single" w:sz="4" w:space="0" w:color="auto"/>
              <w:right w:val="single" w:sz="4" w:space="0" w:color="auto"/>
            </w:tcBorders>
            <w:shd w:val="clear" w:color="auto" w:fill="auto"/>
            <w:noWrap/>
            <w:vAlign w:val="bottom"/>
            <w:hideMark/>
          </w:tcPr>
          <w:p w14:paraId="488A4C7F"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620 </w:t>
            </w:r>
          </w:p>
        </w:tc>
        <w:tc>
          <w:tcPr>
            <w:tcW w:w="1240" w:type="dxa"/>
            <w:tcBorders>
              <w:top w:val="nil"/>
              <w:left w:val="nil"/>
              <w:bottom w:val="single" w:sz="4" w:space="0" w:color="auto"/>
              <w:right w:val="single" w:sz="4" w:space="0" w:color="auto"/>
            </w:tcBorders>
            <w:shd w:val="clear" w:color="auto" w:fill="auto"/>
            <w:noWrap/>
            <w:vAlign w:val="bottom"/>
            <w:hideMark/>
          </w:tcPr>
          <w:p w14:paraId="7CA5888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539 </w:t>
            </w:r>
          </w:p>
        </w:tc>
      </w:tr>
      <w:tr w:rsidR="00952B5C" w:rsidRPr="00952B5C" w14:paraId="3BDDBCC6"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7E145AD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6DED0E0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Capital employed:</w:t>
            </w:r>
          </w:p>
        </w:tc>
        <w:tc>
          <w:tcPr>
            <w:tcW w:w="1120" w:type="dxa"/>
            <w:tcBorders>
              <w:top w:val="nil"/>
              <w:left w:val="nil"/>
              <w:bottom w:val="single" w:sz="4" w:space="0" w:color="auto"/>
              <w:right w:val="single" w:sz="4" w:space="0" w:color="auto"/>
            </w:tcBorders>
            <w:shd w:val="clear" w:color="auto" w:fill="auto"/>
            <w:noWrap/>
            <w:vAlign w:val="bottom"/>
            <w:hideMark/>
          </w:tcPr>
          <w:p w14:paraId="3A3FA6A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1240" w:type="dxa"/>
            <w:tcBorders>
              <w:top w:val="nil"/>
              <w:left w:val="nil"/>
              <w:bottom w:val="single" w:sz="4" w:space="0" w:color="auto"/>
              <w:right w:val="single" w:sz="4" w:space="0" w:color="auto"/>
            </w:tcBorders>
            <w:shd w:val="clear" w:color="auto" w:fill="auto"/>
            <w:noWrap/>
            <w:vAlign w:val="bottom"/>
            <w:hideMark/>
          </w:tcPr>
          <w:p w14:paraId="36E9A14C"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r>
      <w:tr w:rsidR="00952B5C" w:rsidRPr="00952B5C" w14:paraId="501A1F92"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449FBB7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3EE6AAC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Total assets</w:t>
            </w:r>
          </w:p>
        </w:tc>
        <w:tc>
          <w:tcPr>
            <w:tcW w:w="1120" w:type="dxa"/>
            <w:tcBorders>
              <w:top w:val="nil"/>
              <w:left w:val="nil"/>
              <w:bottom w:val="single" w:sz="4" w:space="0" w:color="auto"/>
              <w:right w:val="single" w:sz="4" w:space="0" w:color="auto"/>
            </w:tcBorders>
            <w:shd w:val="clear" w:color="auto" w:fill="auto"/>
            <w:noWrap/>
            <w:vAlign w:val="bottom"/>
            <w:hideMark/>
          </w:tcPr>
          <w:p w14:paraId="32326E22"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9,736 </w:t>
            </w:r>
          </w:p>
        </w:tc>
        <w:tc>
          <w:tcPr>
            <w:tcW w:w="1240" w:type="dxa"/>
            <w:tcBorders>
              <w:top w:val="nil"/>
              <w:left w:val="nil"/>
              <w:bottom w:val="single" w:sz="4" w:space="0" w:color="auto"/>
              <w:right w:val="single" w:sz="4" w:space="0" w:color="auto"/>
            </w:tcBorders>
            <w:shd w:val="clear" w:color="auto" w:fill="auto"/>
            <w:noWrap/>
            <w:vAlign w:val="bottom"/>
            <w:hideMark/>
          </w:tcPr>
          <w:p w14:paraId="53B7E00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10,087 </w:t>
            </w:r>
          </w:p>
        </w:tc>
      </w:tr>
      <w:tr w:rsidR="00952B5C" w:rsidRPr="00952B5C" w14:paraId="0B1573F1"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1539F24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6B0FE67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Less: Total current liabilities</w:t>
            </w:r>
          </w:p>
        </w:tc>
        <w:tc>
          <w:tcPr>
            <w:tcW w:w="1120" w:type="dxa"/>
            <w:tcBorders>
              <w:top w:val="nil"/>
              <w:left w:val="nil"/>
              <w:bottom w:val="single" w:sz="4" w:space="0" w:color="auto"/>
              <w:right w:val="single" w:sz="4" w:space="0" w:color="auto"/>
            </w:tcBorders>
            <w:shd w:val="clear" w:color="auto" w:fill="auto"/>
            <w:noWrap/>
            <w:vAlign w:val="bottom"/>
            <w:hideMark/>
          </w:tcPr>
          <w:p w14:paraId="5C08E27B"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2,511 </w:t>
            </w:r>
          </w:p>
        </w:tc>
        <w:tc>
          <w:tcPr>
            <w:tcW w:w="1240" w:type="dxa"/>
            <w:tcBorders>
              <w:top w:val="nil"/>
              <w:left w:val="nil"/>
              <w:bottom w:val="single" w:sz="4" w:space="0" w:color="auto"/>
              <w:right w:val="single" w:sz="4" w:space="0" w:color="auto"/>
            </w:tcBorders>
            <w:shd w:val="clear" w:color="auto" w:fill="auto"/>
            <w:noWrap/>
            <w:vAlign w:val="bottom"/>
            <w:hideMark/>
          </w:tcPr>
          <w:p w14:paraId="5BE569B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3,046 </w:t>
            </w:r>
          </w:p>
        </w:tc>
      </w:tr>
      <w:tr w:rsidR="00952B5C" w:rsidRPr="00952B5C" w14:paraId="24AC9629"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510D8B9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0FB0EBB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w:t>
            </w:r>
          </w:p>
        </w:tc>
        <w:tc>
          <w:tcPr>
            <w:tcW w:w="1120" w:type="dxa"/>
            <w:tcBorders>
              <w:top w:val="nil"/>
              <w:left w:val="nil"/>
              <w:bottom w:val="single" w:sz="4" w:space="0" w:color="auto"/>
              <w:right w:val="single" w:sz="4" w:space="0" w:color="auto"/>
            </w:tcBorders>
            <w:shd w:val="clear" w:color="auto" w:fill="auto"/>
            <w:noWrap/>
            <w:vAlign w:val="bottom"/>
            <w:hideMark/>
          </w:tcPr>
          <w:p w14:paraId="114E6B8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0.09 </w:t>
            </w:r>
          </w:p>
        </w:tc>
        <w:tc>
          <w:tcPr>
            <w:tcW w:w="1240" w:type="dxa"/>
            <w:tcBorders>
              <w:top w:val="nil"/>
              <w:left w:val="nil"/>
              <w:bottom w:val="single" w:sz="4" w:space="0" w:color="auto"/>
              <w:right w:val="single" w:sz="4" w:space="0" w:color="auto"/>
            </w:tcBorders>
            <w:shd w:val="clear" w:color="auto" w:fill="auto"/>
            <w:noWrap/>
            <w:vAlign w:val="bottom"/>
            <w:hideMark/>
          </w:tcPr>
          <w:p w14:paraId="087FAA1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0.08 </w:t>
            </w:r>
          </w:p>
        </w:tc>
      </w:tr>
    </w:tbl>
    <w:p w14:paraId="0C097505" w14:textId="77777777" w:rsidR="00445213" w:rsidRDefault="00445213" w:rsidP="00AB21B1"/>
    <w:p w14:paraId="61DAF74A" w14:textId="77777777" w:rsidR="00952B5C" w:rsidRDefault="00952B5C" w:rsidP="00AB21B1">
      <w:pPr>
        <w:rPr>
          <w:u w:val="single"/>
        </w:rPr>
      </w:pPr>
      <w:r>
        <w:rPr>
          <w:u w:val="single"/>
        </w:rPr>
        <w:t>2. ROE</w:t>
      </w:r>
    </w:p>
    <w:tbl>
      <w:tblPr>
        <w:tblW w:w="5860" w:type="dxa"/>
        <w:tblLook w:val="04A0" w:firstRow="1" w:lastRow="0" w:firstColumn="1" w:lastColumn="0" w:noHBand="0" w:noVBand="1"/>
      </w:tblPr>
      <w:tblGrid>
        <w:gridCol w:w="400"/>
        <w:gridCol w:w="3100"/>
        <w:gridCol w:w="1120"/>
        <w:gridCol w:w="1240"/>
      </w:tblGrid>
      <w:tr w:rsidR="00952B5C" w:rsidRPr="00952B5C" w14:paraId="266BA6B3"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4DADBF"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470F4663"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ROE</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300C212D" w14:textId="77777777" w:rsidR="00952B5C" w:rsidRPr="00952B5C" w:rsidRDefault="00952B5C" w:rsidP="00952B5C">
            <w:pPr>
              <w:spacing w:after="0" w:line="240" w:lineRule="auto"/>
              <w:jc w:val="right"/>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5C6193B0" w14:textId="77777777" w:rsidR="00952B5C" w:rsidRPr="00952B5C" w:rsidRDefault="00952B5C" w:rsidP="00952B5C">
            <w:pPr>
              <w:spacing w:after="0" w:line="240" w:lineRule="auto"/>
              <w:jc w:val="right"/>
              <w:rPr>
                <w:rFonts w:eastAsia="Times New Roman"/>
                <w:b/>
                <w:bCs/>
                <w:color w:val="000000"/>
              </w:rPr>
            </w:pPr>
            <w:r w:rsidRPr="00952B5C">
              <w:rPr>
                <w:rFonts w:eastAsia="Times New Roman"/>
                <w:b/>
                <w:bCs/>
                <w:color w:val="000000"/>
              </w:rPr>
              <w:t>2019</w:t>
            </w:r>
          </w:p>
        </w:tc>
      </w:tr>
      <w:tr w:rsidR="00952B5C" w:rsidRPr="00952B5C" w14:paraId="1EE296D9"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0AE6D9C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553C617B"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Operating Profit</w:t>
            </w:r>
          </w:p>
        </w:tc>
        <w:tc>
          <w:tcPr>
            <w:tcW w:w="1120" w:type="dxa"/>
            <w:tcBorders>
              <w:top w:val="nil"/>
              <w:left w:val="nil"/>
              <w:bottom w:val="single" w:sz="4" w:space="0" w:color="auto"/>
              <w:right w:val="single" w:sz="4" w:space="0" w:color="auto"/>
            </w:tcBorders>
            <w:shd w:val="clear" w:color="auto" w:fill="auto"/>
            <w:noWrap/>
            <w:vAlign w:val="bottom"/>
            <w:hideMark/>
          </w:tcPr>
          <w:p w14:paraId="08749782"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620 </w:t>
            </w:r>
          </w:p>
        </w:tc>
        <w:tc>
          <w:tcPr>
            <w:tcW w:w="1240" w:type="dxa"/>
            <w:tcBorders>
              <w:top w:val="nil"/>
              <w:left w:val="nil"/>
              <w:bottom w:val="single" w:sz="4" w:space="0" w:color="auto"/>
              <w:right w:val="single" w:sz="4" w:space="0" w:color="auto"/>
            </w:tcBorders>
            <w:shd w:val="clear" w:color="auto" w:fill="auto"/>
            <w:noWrap/>
            <w:vAlign w:val="bottom"/>
            <w:hideMark/>
          </w:tcPr>
          <w:p w14:paraId="7BE5184F"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539 </w:t>
            </w:r>
          </w:p>
        </w:tc>
      </w:tr>
      <w:tr w:rsidR="00952B5C" w:rsidRPr="00952B5C" w14:paraId="1F067050"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75C1B7F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23BB038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Total equity</w:t>
            </w:r>
          </w:p>
        </w:tc>
        <w:tc>
          <w:tcPr>
            <w:tcW w:w="1120" w:type="dxa"/>
            <w:tcBorders>
              <w:top w:val="nil"/>
              <w:left w:val="nil"/>
              <w:bottom w:val="single" w:sz="4" w:space="0" w:color="auto"/>
              <w:right w:val="single" w:sz="4" w:space="0" w:color="auto"/>
            </w:tcBorders>
            <w:shd w:val="clear" w:color="auto" w:fill="auto"/>
            <w:noWrap/>
            <w:vAlign w:val="bottom"/>
            <w:hideMark/>
          </w:tcPr>
          <w:p w14:paraId="58831D7F"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3,088 </w:t>
            </w:r>
          </w:p>
        </w:tc>
        <w:tc>
          <w:tcPr>
            <w:tcW w:w="1240" w:type="dxa"/>
            <w:tcBorders>
              <w:top w:val="nil"/>
              <w:left w:val="nil"/>
              <w:bottom w:val="single" w:sz="4" w:space="0" w:color="auto"/>
              <w:right w:val="single" w:sz="4" w:space="0" w:color="auto"/>
            </w:tcBorders>
            <w:shd w:val="clear" w:color="auto" w:fill="auto"/>
            <w:noWrap/>
            <w:vAlign w:val="bottom"/>
            <w:hideMark/>
          </w:tcPr>
          <w:p w14:paraId="390F679B"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2,912 </w:t>
            </w:r>
          </w:p>
        </w:tc>
      </w:tr>
      <w:tr w:rsidR="00952B5C" w:rsidRPr="00952B5C" w14:paraId="6E7BD3B5"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550F801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4EB1895C"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w:t>
            </w:r>
          </w:p>
        </w:tc>
        <w:tc>
          <w:tcPr>
            <w:tcW w:w="1120" w:type="dxa"/>
            <w:tcBorders>
              <w:top w:val="nil"/>
              <w:left w:val="nil"/>
              <w:bottom w:val="single" w:sz="4" w:space="0" w:color="auto"/>
              <w:right w:val="single" w:sz="4" w:space="0" w:color="auto"/>
            </w:tcBorders>
            <w:shd w:val="clear" w:color="auto" w:fill="auto"/>
            <w:noWrap/>
            <w:vAlign w:val="bottom"/>
            <w:hideMark/>
          </w:tcPr>
          <w:p w14:paraId="0BEF5F33"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0.20 </w:t>
            </w:r>
          </w:p>
        </w:tc>
        <w:tc>
          <w:tcPr>
            <w:tcW w:w="1240" w:type="dxa"/>
            <w:tcBorders>
              <w:top w:val="nil"/>
              <w:left w:val="nil"/>
              <w:bottom w:val="single" w:sz="4" w:space="0" w:color="auto"/>
              <w:right w:val="single" w:sz="4" w:space="0" w:color="auto"/>
            </w:tcBorders>
            <w:shd w:val="clear" w:color="auto" w:fill="auto"/>
            <w:noWrap/>
            <w:vAlign w:val="bottom"/>
            <w:hideMark/>
          </w:tcPr>
          <w:p w14:paraId="7923D3A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0.19 </w:t>
            </w:r>
          </w:p>
        </w:tc>
      </w:tr>
    </w:tbl>
    <w:p w14:paraId="1F75B460" w14:textId="77777777" w:rsidR="00952B5C" w:rsidRDefault="00952B5C" w:rsidP="00AB21B1">
      <w:pPr>
        <w:rPr>
          <w:u w:val="single"/>
        </w:rPr>
      </w:pPr>
    </w:p>
    <w:p w14:paraId="019596D4" w14:textId="77777777" w:rsidR="00952B5C" w:rsidRDefault="00952B5C" w:rsidP="00AB21B1">
      <w:pPr>
        <w:rPr>
          <w:u w:val="single"/>
        </w:rPr>
      </w:pPr>
      <w:r>
        <w:rPr>
          <w:u w:val="single"/>
        </w:rPr>
        <w:t>3. Earnings per share</w:t>
      </w:r>
    </w:p>
    <w:tbl>
      <w:tblPr>
        <w:tblW w:w="5860" w:type="dxa"/>
        <w:tblLook w:val="04A0" w:firstRow="1" w:lastRow="0" w:firstColumn="1" w:lastColumn="0" w:noHBand="0" w:noVBand="1"/>
      </w:tblPr>
      <w:tblGrid>
        <w:gridCol w:w="400"/>
        <w:gridCol w:w="3100"/>
        <w:gridCol w:w="1120"/>
        <w:gridCol w:w="1240"/>
      </w:tblGrid>
      <w:tr w:rsidR="00952B5C" w:rsidRPr="00952B5C" w14:paraId="7DA4EC0A"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C7EF3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2B313DFE"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Earnings per share</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1B2407E0" w14:textId="77777777" w:rsidR="00952B5C" w:rsidRPr="00952B5C" w:rsidRDefault="00952B5C" w:rsidP="00952B5C">
            <w:pPr>
              <w:spacing w:after="0" w:line="240" w:lineRule="auto"/>
              <w:jc w:val="right"/>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504EE49B" w14:textId="77777777" w:rsidR="00952B5C" w:rsidRPr="00952B5C" w:rsidRDefault="00952B5C" w:rsidP="00952B5C">
            <w:pPr>
              <w:spacing w:after="0" w:line="240" w:lineRule="auto"/>
              <w:jc w:val="right"/>
              <w:rPr>
                <w:rFonts w:eastAsia="Times New Roman"/>
                <w:b/>
                <w:bCs/>
                <w:color w:val="000000"/>
              </w:rPr>
            </w:pPr>
            <w:r w:rsidRPr="00952B5C">
              <w:rPr>
                <w:rFonts w:eastAsia="Times New Roman"/>
                <w:b/>
                <w:bCs/>
                <w:color w:val="000000"/>
              </w:rPr>
              <w:t>2019</w:t>
            </w:r>
          </w:p>
        </w:tc>
      </w:tr>
      <w:tr w:rsidR="00952B5C" w:rsidRPr="00952B5C" w14:paraId="74B4FFB9"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3B0044C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145A632D"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Total earnings</w:t>
            </w:r>
          </w:p>
        </w:tc>
        <w:tc>
          <w:tcPr>
            <w:tcW w:w="1120" w:type="dxa"/>
            <w:tcBorders>
              <w:top w:val="nil"/>
              <w:left w:val="nil"/>
              <w:bottom w:val="single" w:sz="4" w:space="0" w:color="auto"/>
              <w:right w:val="single" w:sz="4" w:space="0" w:color="auto"/>
            </w:tcBorders>
            <w:shd w:val="clear" w:color="auto" w:fill="auto"/>
            <w:noWrap/>
            <w:vAlign w:val="bottom"/>
            <w:hideMark/>
          </w:tcPr>
          <w:p w14:paraId="6A9B7EA0" w14:textId="77777777" w:rsidR="00952B5C" w:rsidRPr="00952B5C" w:rsidRDefault="00952B5C" w:rsidP="00952B5C">
            <w:pPr>
              <w:spacing w:after="0" w:line="240" w:lineRule="auto"/>
              <w:jc w:val="right"/>
              <w:rPr>
                <w:rFonts w:eastAsia="Times New Roman"/>
                <w:color w:val="000000"/>
              </w:rPr>
            </w:pPr>
            <w:r w:rsidRPr="00952B5C">
              <w:rPr>
                <w:rFonts w:eastAsia="Times New Roman"/>
                <w:color w:val="000000"/>
              </w:rPr>
              <w:t>431</w:t>
            </w:r>
          </w:p>
        </w:tc>
        <w:tc>
          <w:tcPr>
            <w:tcW w:w="1240" w:type="dxa"/>
            <w:tcBorders>
              <w:top w:val="nil"/>
              <w:left w:val="nil"/>
              <w:bottom w:val="single" w:sz="4" w:space="0" w:color="auto"/>
              <w:right w:val="single" w:sz="4" w:space="0" w:color="auto"/>
            </w:tcBorders>
            <w:shd w:val="clear" w:color="auto" w:fill="auto"/>
            <w:noWrap/>
            <w:vAlign w:val="bottom"/>
            <w:hideMark/>
          </w:tcPr>
          <w:p w14:paraId="6A55B2B0" w14:textId="77777777" w:rsidR="00952B5C" w:rsidRPr="00952B5C" w:rsidRDefault="00952B5C" w:rsidP="00952B5C">
            <w:pPr>
              <w:spacing w:after="0" w:line="240" w:lineRule="auto"/>
              <w:jc w:val="right"/>
              <w:rPr>
                <w:rFonts w:eastAsia="Times New Roman"/>
                <w:color w:val="000000"/>
              </w:rPr>
            </w:pPr>
            <w:r w:rsidRPr="00952B5C">
              <w:rPr>
                <w:rFonts w:eastAsia="Times New Roman"/>
                <w:color w:val="000000"/>
              </w:rPr>
              <w:t>366</w:t>
            </w:r>
          </w:p>
        </w:tc>
      </w:tr>
      <w:tr w:rsidR="00952B5C" w:rsidRPr="00952B5C" w14:paraId="18A6C48B"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5EC34AB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0516986B"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Outstanding shares</w:t>
            </w:r>
          </w:p>
        </w:tc>
        <w:tc>
          <w:tcPr>
            <w:tcW w:w="1120" w:type="dxa"/>
            <w:tcBorders>
              <w:top w:val="nil"/>
              <w:left w:val="nil"/>
              <w:bottom w:val="single" w:sz="4" w:space="0" w:color="auto"/>
              <w:right w:val="single" w:sz="4" w:space="0" w:color="auto"/>
            </w:tcBorders>
            <w:shd w:val="clear" w:color="auto" w:fill="auto"/>
            <w:noWrap/>
            <w:vAlign w:val="bottom"/>
            <w:hideMark/>
          </w:tcPr>
          <w:p w14:paraId="4EE1E1FD" w14:textId="77777777" w:rsidR="00952B5C" w:rsidRPr="00952B5C" w:rsidRDefault="00952B5C" w:rsidP="00952B5C">
            <w:pPr>
              <w:spacing w:after="0" w:line="240" w:lineRule="auto"/>
              <w:jc w:val="right"/>
              <w:rPr>
                <w:rFonts w:eastAsia="Times New Roman"/>
                <w:color w:val="000000"/>
              </w:rPr>
            </w:pPr>
            <w:r w:rsidRPr="00952B5C">
              <w:rPr>
                <w:rFonts w:eastAsia="Times New Roman"/>
                <w:color w:val="000000"/>
              </w:rPr>
              <w:t>300</w:t>
            </w:r>
          </w:p>
        </w:tc>
        <w:tc>
          <w:tcPr>
            <w:tcW w:w="1240" w:type="dxa"/>
            <w:tcBorders>
              <w:top w:val="nil"/>
              <w:left w:val="nil"/>
              <w:bottom w:val="single" w:sz="4" w:space="0" w:color="auto"/>
              <w:right w:val="single" w:sz="4" w:space="0" w:color="auto"/>
            </w:tcBorders>
            <w:shd w:val="clear" w:color="auto" w:fill="auto"/>
            <w:noWrap/>
            <w:vAlign w:val="bottom"/>
            <w:hideMark/>
          </w:tcPr>
          <w:p w14:paraId="4AA78BB0" w14:textId="77777777" w:rsidR="00952B5C" w:rsidRPr="00952B5C" w:rsidRDefault="00952B5C" w:rsidP="00952B5C">
            <w:pPr>
              <w:spacing w:after="0" w:line="240" w:lineRule="auto"/>
              <w:jc w:val="right"/>
              <w:rPr>
                <w:rFonts w:eastAsia="Times New Roman"/>
                <w:color w:val="000000"/>
              </w:rPr>
            </w:pPr>
            <w:r w:rsidRPr="00952B5C">
              <w:rPr>
                <w:rFonts w:eastAsia="Times New Roman"/>
                <w:color w:val="000000"/>
              </w:rPr>
              <w:t>300</w:t>
            </w:r>
          </w:p>
        </w:tc>
      </w:tr>
      <w:tr w:rsidR="00952B5C" w:rsidRPr="00952B5C" w14:paraId="2460318C"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50CEC7A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27CE7CF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w:t>
            </w:r>
          </w:p>
        </w:tc>
        <w:tc>
          <w:tcPr>
            <w:tcW w:w="1120" w:type="dxa"/>
            <w:tcBorders>
              <w:top w:val="nil"/>
              <w:left w:val="nil"/>
              <w:bottom w:val="single" w:sz="4" w:space="0" w:color="auto"/>
              <w:right w:val="single" w:sz="4" w:space="0" w:color="auto"/>
            </w:tcBorders>
            <w:shd w:val="clear" w:color="auto" w:fill="auto"/>
            <w:noWrap/>
            <w:vAlign w:val="bottom"/>
            <w:hideMark/>
          </w:tcPr>
          <w:p w14:paraId="379C7F52"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1.44 </w:t>
            </w:r>
          </w:p>
        </w:tc>
        <w:tc>
          <w:tcPr>
            <w:tcW w:w="1240" w:type="dxa"/>
            <w:tcBorders>
              <w:top w:val="nil"/>
              <w:left w:val="nil"/>
              <w:bottom w:val="single" w:sz="4" w:space="0" w:color="auto"/>
              <w:right w:val="single" w:sz="4" w:space="0" w:color="auto"/>
            </w:tcBorders>
            <w:shd w:val="clear" w:color="auto" w:fill="auto"/>
            <w:noWrap/>
            <w:vAlign w:val="bottom"/>
            <w:hideMark/>
          </w:tcPr>
          <w:p w14:paraId="09CD4F1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1.22 </w:t>
            </w:r>
          </w:p>
        </w:tc>
      </w:tr>
    </w:tbl>
    <w:p w14:paraId="19599BEE" w14:textId="77777777" w:rsidR="00952B5C" w:rsidRDefault="00952B5C" w:rsidP="00AB21B1">
      <w:pPr>
        <w:rPr>
          <w:u w:val="single"/>
        </w:rPr>
      </w:pPr>
    </w:p>
    <w:p w14:paraId="1DBFCBA9" w14:textId="77777777" w:rsidR="00952B5C" w:rsidRDefault="00952B5C" w:rsidP="00AB21B1">
      <w:pPr>
        <w:rPr>
          <w:u w:val="single"/>
        </w:rPr>
      </w:pPr>
      <w:r>
        <w:rPr>
          <w:u w:val="single"/>
        </w:rPr>
        <w:t>4. Net profit margin</w:t>
      </w:r>
    </w:p>
    <w:tbl>
      <w:tblPr>
        <w:tblW w:w="5860" w:type="dxa"/>
        <w:tblLook w:val="04A0" w:firstRow="1" w:lastRow="0" w:firstColumn="1" w:lastColumn="0" w:noHBand="0" w:noVBand="1"/>
      </w:tblPr>
      <w:tblGrid>
        <w:gridCol w:w="400"/>
        <w:gridCol w:w="3100"/>
        <w:gridCol w:w="1120"/>
        <w:gridCol w:w="1240"/>
      </w:tblGrid>
      <w:tr w:rsidR="00952B5C" w:rsidRPr="00952B5C" w14:paraId="19B676D6"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F4CFD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07D61C7D"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Net Profit Margin</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3C0F8F6C"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3BFDFBED"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2019</w:t>
            </w:r>
          </w:p>
        </w:tc>
      </w:tr>
      <w:tr w:rsidR="00952B5C" w:rsidRPr="00952B5C" w14:paraId="082595CC"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07F9AB0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10225F92"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Net Profit  </w:t>
            </w:r>
          </w:p>
        </w:tc>
        <w:tc>
          <w:tcPr>
            <w:tcW w:w="1120" w:type="dxa"/>
            <w:tcBorders>
              <w:top w:val="nil"/>
              <w:left w:val="nil"/>
              <w:bottom w:val="single" w:sz="4" w:space="0" w:color="auto"/>
              <w:right w:val="single" w:sz="4" w:space="0" w:color="auto"/>
            </w:tcBorders>
            <w:shd w:val="clear" w:color="auto" w:fill="auto"/>
            <w:noWrap/>
            <w:vAlign w:val="bottom"/>
            <w:hideMark/>
          </w:tcPr>
          <w:p w14:paraId="11B9107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431 </w:t>
            </w:r>
          </w:p>
        </w:tc>
        <w:tc>
          <w:tcPr>
            <w:tcW w:w="1240" w:type="dxa"/>
            <w:tcBorders>
              <w:top w:val="nil"/>
              <w:left w:val="nil"/>
              <w:bottom w:val="single" w:sz="4" w:space="0" w:color="auto"/>
              <w:right w:val="single" w:sz="4" w:space="0" w:color="auto"/>
            </w:tcBorders>
            <w:shd w:val="clear" w:color="auto" w:fill="auto"/>
            <w:noWrap/>
            <w:vAlign w:val="bottom"/>
            <w:hideMark/>
          </w:tcPr>
          <w:p w14:paraId="03B9C0C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366 </w:t>
            </w:r>
          </w:p>
        </w:tc>
      </w:tr>
      <w:tr w:rsidR="00952B5C" w:rsidRPr="00952B5C" w14:paraId="429F5876"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24F05E1F"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345788C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Net Sales</w:t>
            </w:r>
          </w:p>
        </w:tc>
        <w:tc>
          <w:tcPr>
            <w:tcW w:w="1120" w:type="dxa"/>
            <w:tcBorders>
              <w:top w:val="nil"/>
              <w:left w:val="nil"/>
              <w:bottom w:val="single" w:sz="4" w:space="0" w:color="auto"/>
              <w:right w:val="single" w:sz="4" w:space="0" w:color="auto"/>
            </w:tcBorders>
            <w:shd w:val="clear" w:color="auto" w:fill="auto"/>
            <w:noWrap/>
            <w:vAlign w:val="bottom"/>
            <w:hideMark/>
          </w:tcPr>
          <w:p w14:paraId="1D27190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6,738 </w:t>
            </w:r>
          </w:p>
        </w:tc>
        <w:tc>
          <w:tcPr>
            <w:tcW w:w="1240" w:type="dxa"/>
            <w:tcBorders>
              <w:top w:val="nil"/>
              <w:left w:val="nil"/>
              <w:bottom w:val="single" w:sz="4" w:space="0" w:color="auto"/>
              <w:right w:val="single" w:sz="4" w:space="0" w:color="auto"/>
            </w:tcBorders>
            <w:shd w:val="clear" w:color="auto" w:fill="auto"/>
            <w:noWrap/>
            <w:vAlign w:val="bottom"/>
            <w:hideMark/>
          </w:tcPr>
          <w:p w14:paraId="7FF7059D"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6,441 </w:t>
            </w:r>
          </w:p>
        </w:tc>
      </w:tr>
      <w:tr w:rsidR="00952B5C" w:rsidRPr="00952B5C" w14:paraId="4924BCB7"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76118D9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1A71DB2F"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 * 100</w:t>
            </w:r>
          </w:p>
        </w:tc>
        <w:tc>
          <w:tcPr>
            <w:tcW w:w="1120" w:type="dxa"/>
            <w:tcBorders>
              <w:top w:val="nil"/>
              <w:left w:val="nil"/>
              <w:bottom w:val="single" w:sz="4" w:space="0" w:color="auto"/>
              <w:right w:val="single" w:sz="4" w:space="0" w:color="auto"/>
            </w:tcBorders>
            <w:shd w:val="clear" w:color="auto" w:fill="auto"/>
            <w:noWrap/>
            <w:vAlign w:val="bottom"/>
            <w:hideMark/>
          </w:tcPr>
          <w:p w14:paraId="1CF26155" w14:textId="77777777" w:rsidR="00952B5C" w:rsidRPr="00952B5C" w:rsidRDefault="00952B5C" w:rsidP="00952B5C">
            <w:pPr>
              <w:spacing w:after="0" w:line="240" w:lineRule="auto"/>
              <w:jc w:val="right"/>
              <w:rPr>
                <w:rFonts w:eastAsia="Times New Roman"/>
                <w:color w:val="000000"/>
              </w:rPr>
            </w:pPr>
            <w:r w:rsidRPr="00952B5C">
              <w:rPr>
                <w:rFonts w:eastAsia="Times New Roman"/>
                <w:color w:val="000000"/>
              </w:rPr>
              <w:t>6.40%</w:t>
            </w:r>
          </w:p>
        </w:tc>
        <w:tc>
          <w:tcPr>
            <w:tcW w:w="1240" w:type="dxa"/>
            <w:tcBorders>
              <w:top w:val="nil"/>
              <w:left w:val="nil"/>
              <w:bottom w:val="single" w:sz="4" w:space="0" w:color="auto"/>
              <w:right w:val="single" w:sz="4" w:space="0" w:color="auto"/>
            </w:tcBorders>
            <w:shd w:val="clear" w:color="auto" w:fill="auto"/>
            <w:noWrap/>
            <w:vAlign w:val="bottom"/>
            <w:hideMark/>
          </w:tcPr>
          <w:p w14:paraId="198CC9C1" w14:textId="77777777" w:rsidR="00952B5C" w:rsidRPr="00952B5C" w:rsidRDefault="00952B5C" w:rsidP="00952B5C">
            <w:pPr>
              <w:spacing w:after="0" w:line="240" w:lineRule="auto"/>
              <w:jc w:val="right"/>
              <w:rPr>
                <w:rFonts w:eastAsia="Times New Roman"/>
                <w:color w:val="000000"/>
              </w:rPr>
            </w:pPr>
            <w:r w:rsidRPr="00952B5C">
              <w:rPr>
                <w:rFonts w:eastAsia="Times New Roman"/>
                <w:color w:val="000000"/>
              </w:rPr>
              <w:t>5.68%</w:t>
            </w:r>
          </w:p>
        </w:tc>
      </w:tr>
    </w:tbl>
    <w:p w14:paraId="21689CE3" w14:textId="77777777" w:rsidR="00952B5C" w:rsidRDefault="00952B5C" w:rsidP="00AB21B1">
      <w:pPr>
        <w:rPr>
          <w:u w:val="single"/>
        </w:rPr>
      </w:pPr>
    </w:p>
    <w:p w14:paraId="4557733A" w14:textId="77777777" w:rsidR="00952B5C" w:rsidRDefault="00952B5C" w:rsidP="00AB21B1">
      <w:pPr>
        <w:rPr>
          <w:u w:val="single"/>
        </w:rPr>
      </w:pPr>
      <w:r>
        <w:rPr>
          <w:u w:val="single"/>
        </w:rPr>
        <w:lastRenderedPageBreak/>
        <w:t>5. Asset turnover</w:t>
      </w:r>
    </w:p>
    <w:tbl>
      <w:tblPr>
        <w:tblW w:w="5860" w:type="dxa"/>
        <w:tblLook w:val="04A0" w:firstRow="1" w:lastRow="0" w:firstColumn="1" w:lastColumn="0" w:noHBand="0" w:noVBand="1"/>
      </w:tblPr>
      <w:tblGrid>
        <w:gridCol w:w="400"/>
        <w:gridCol w:w="3100"/>
        <w:gridCol w:w="1120"/>
        <w:gridCol w:w="1240"/>
      </w:tblGrid>
      <w:tr w:rsidR="00952B5C" w:rsidRPr="00952B5C" w14:paraId="0CF3C809"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EC4BD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722653C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Asset Turnover</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436960AC" w14:textId="77777777" w:rsidR="00952B5C" w:rsidRPr="00952B5C" w:rsidRDefault="00952B5C" w:rsidP="00952B5C">
            <w:pPr>
              <w:spacing w:after="0" w:line="240" w:lineRule="auto"/>
              <w:jc w:val="center"/>
              <w:rPr>
                <w:rFonts w:eastAsia="Times New Roman"/>
                <w:b/>
                <w:color w:val="000000"/>
              </w:rPr>
            </w:pPr>
            <w:r w:rsidRPr="00952B5C">
              <w:rPr>
                <w:rFonts w:eastAsia="Times New Roman"/>
                <w:b/>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3CAE7CBA" w14:textId="77777777" w:rsidR="00952B5C" w:rsidRPr="00952B5C" w:rsidRDefault="00952B5C" w:rsidP="00952B5C">
            <w:pPr>
              <w:spacing w:after="0" w:line="240" w:lineRule="auto"/>
              <w:jc w:val="center"/>
              <w:rPr>
                <w:rFonts w:eastAsia="Times New Roman"/>
                <w:b/>
                <w:color w:val="000000"/>
              </w:rPr>
            </w:pPr>
            <w:r w:rsidRPr="00952B5C">
              <w:rPr>
                <w:rFonts w:eastAsia="Times New Roman"/>
                <w:b/>
                <w:color w:val="000000"/>
              </w:rPr>
              <w:t>2019</w:t>
            </w:r>
          </w:p>
        </w:tc>
      </w:tr>
      <w:tr w:rsidR="00952B5C" w:rsidRPr="00952B5C" w14:paraId="1C5BF8F1"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7F4DBA4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63F08B7D"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Net Sales</w:t>
            </w:r>
          </w:p>
        </w:tc>
        <w:tc>
          <w:tcPr>
            <w:tcW w:w="1120" w:type="dxa"/>
            <w:tcBorders>
              <w:top w:val="nil"/>
              <w:left w:val="nil"/>
              <w:bottom w:val="single" w:sz="4" w:space="0" w:color="auto"/>
              <w:right w:val="single" w:sz="4" w:space="0" w:color="auto"/>
            </w:tcBorders>
            <w:shd w:val="clear" w:color="auto" w:fill="auto"/>
            <w:noWrap/>
            <w:vAlign w:val="bottom"/>
            <w:hideMark/>
          </w:tcPr>
          <w:p w14:paraId="1E2415C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6,738 </w:t>
            </w:r>
          </w:p>
        </w:tc>
        <w:tc>
          <w:tcPr>
            <w:tcW w:w="1240" w:type="dxa"/>
            <w:tcBorders>
              <w:top w:val="nil"/>
              <w:left w:val="nil"/>
              <w:bottom w:val="single" w:sz="4" w:space="0" w:color="auto"/>
              <w:right w:val="single" w:sz="4" w:space="0" w:color="auto"/>
            </w:tcBorders>
            <w:shd w:val="clear" w:color="auto" w:fill="auto"/>
            <w:noWrap/>
            <w:vAlign w:val="bottom"/>
            <w:hideMark/>
          </w:tcPr>
          <w:p w14:paraId="69632A5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6,441 </w:t>
            </w:r>
          </w:p>
        </w:tc>
      </w:tr>
      <w:tr w:rsidR="00952B5C" w:rsidRPr="00952B5C" w14:paraId="3264D8EF"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0F69E4E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6C7F6A53"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Average total assets</w:t>
            </w:r>
          </w:p>
        </w:tc>
        <w:tc>
          <w:tcPr>
            <w:tcW w:w="1120" w:type="dxa"/>
            <w:tcBorders>
              <w:top w:val="nil"/>
              <w:left w:val="nil"/>
              <w:bottom w:val="single" w:sz="4" w:space="0" w:color="auto"/>
              <w:right w:val="single" w:sz="4" w:space="0" w:color="auto"/>
            </w:tcBorders>
            <w:shd w:val="clear" w:color="auto" w:fill="auto"/>
            <w:noWrap/>
            <w:vAlign w:val="bottom"/>
            <w:hideMark/>
          </w:tcPr>
          <w:p w14:paraId="6F1EEE62"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9,736 </w:t>
            </w:r>
          </w:p>
        </w:tc>
        <w:tc>
          <w:tcPr>
            <w:tcW w:w="1240" w:type="dxa"/>
            <w:tcBorders>
              <w:top w:val="nil"/>
              <w:left w:val="nil"/>
              <w:bottom w:val="single" w:sz="4" w:space="0" w:color="auto"/>
              <w:right w:val="single" w:sz="4" w:space="0" w:color="auto"/>
            </w:tcBorders>
            <w:shd w:val="clear" w:color="auto" w:fill="auto"/>
            <w:noWrap/>
            <w:vAlign w:val="bottom"/>
            <w:hideMark/>
          </w:tcPr>
          <w:p w14:paraId="10AC05BD"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10,087 </w:t>
            </w:r>
          </w:p>
        </w:tc>
      </w:tr>
      <w:tr w:rsidR="00952B5C" w:rsidRPr="00952B5C" w14:paraId="79151A29"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61E3284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628D3BB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w:t>
            </w:r>
          </w:p>
        </w:tc>
        <w:tc>
          <w:tcPr>
            <w:tcW w:w="1120" w:type="dxa"/>
            <w:tcBorders>
              <w:top w:val="nil"/>
              <w:left w:val="nil"/>
              <w:bottom w:val="single" w:sz="4" w:space="0" w:color="auto"/>
              <w:right w:val="single" w:sz="4" w:space="0" w:color="auto"/>
            </w:tcBorders>
            <w:shd w:val="clear" w:color="auto" w:fill="auto"/>
            <w:noWrap/>
            <w:vAlign w:val="bottom"/>
            <w:hideMark/>
          </w:tcPr>
          <w:p w14:paraId="5F394C2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0.69 </w:t>
            </w:r>
          </w:p>
        </w:tc>
        <w:tc>
          <w:tcPr>
            <w:tcW w:w="1240" w:type="dxa"/>
            <w:tcBorders>
              <w:top w:val="nil"/>
              <w:left w:val="nil"/>
              <w:bottom w:val="single" w:sz="4" w:space="0" w:color="auto"/>
              <w:right w:val="single" w:sz="4" w:space="0" w:color="auto"/>
            </w:tcBorders>
            <w:shd w:val="clear" w:color="auto" w:fill="auto"/>
            <w:noWrap/>
            <w:vAlign w:val="bottom"/>
            <w:hideMark/>
          </w:tcPr>
          <w:p w14:paraId="342B382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0.64 </w:t>
            </w:r>
          </w:p>
        </w:tc>
      </w:tr>
    </w:tbl>
    <w:p w14:paraId="39997E5F" w14:textId="77777777" w:rsidR="00952B5C" w:rsidRDefault="00952B5C" w:rsidP="00AB21B1">
      <w:pPr>
        <w:rPr>
          <w:u w:val="single"/>
        </w:rPr>
      </w:pPr>
    </w:p>
    <w:p w14:paraId="5091D681" w14:textId="77777777" w:rsidR="00952B5C" w:rsidRDefault="00952B5C" w:rsidP="00AB21B1">
      <w:pPr>
        <w:rPr>
          <w:u w:val="single"/>
        </w:rPr>
      </w:pPr>
      <w:r>
        <w:rPr>
          <w:u w:val="single"/>
        </w:rPr>
        <w:t>6. Stock holding days</w:t>
      </w:r>
    </w:p>
    <w:tbl>
      <w:tblPr>
        <w:tblW w:w="5860" w:type="dxa"/>
        <w:tblLook w:val="04A0" w:firstRow="1" w:lastRow="0" w:firstColumn="1" w:lastColumn="0" w:noHBand="0" w:noVBand="1"/>
      </w:tblPr>
      <w:tblGrid>
        <w:gridCol w:w="400"/>
        <w:gridCol w:w="3100"/>
        <w:gridCol w:w="1120"/>
        <w:gridCol w:w="1240"/>
      </w:tblGrid>
      <w:tr w:rsidR="00952B5C" w:rsidRPr="00952B5C" w14:paraId="223AA9A0"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DF047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57BABE1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Stock holding days</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321A698B"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3A4FCB65"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2019</w:t>
            </w:r>
          </w:p>
        </w:tc>
      </w:tr>
      <w:tr w:rsidR="00952B5C" w:rsidRPr="00952B5C" w14:paraId="166AFB46"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3F8A20FD"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312056C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Average inventory</w:t>
            </w:r>
          </w:p>
        </w:tc>
        <w:tc>
          <w:tcPr>
            <w:tcW w:w="1120" w:type="dxa"/>
            <w:tcBorders>
              <w:top w:val="nil"/>
              <w:left w:val="nil"/>
              <w:bottom w:val="single" w:sz="4" w:space="0" w:color="auto"/>
              <w:right w:val="single" w:sz="4" w:space="0" w:color="auto"/>
            </w:tcBorders>
            <w:shd w:val="clear" w:color="auto" w:fill="auto"/>
            <w:noWrap/>
            <w:vAlign w:val="bottom"/>
            <w:hideMark/>
          </w:tcPr>
          <w:p w14:paraId="40AE44CC"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708 </w:t>
            </w:r>
          </w:p>
        </w:tc>
        <w:tc>
          <w:tcPr>
            <w:tcW w:w="1240" w:type="dxa"/>
            <w:tcBorders>
              <w:top w:val="nil"/>
              <w:left w:val="nil"/>
              <w:bottom w:val="single" w:sz="4" w:space="0" w:color="auto"/>
              <w:right w:val="single" w:sz="4" w:space="0" w:color="auto"/>
            </w:tcBorders>
            <w:shd w:val="clear" w:color="auto" w:fill="auto"/>
            <w:noWrap/>
            <w:vAlign w:val="bottom"/>
            <w:hideMark/>
          </w:tcPr>
          <w:p w14:paraId="78920F8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659 </w:t>
            </w:r>
          </w:p>
        </w:tc>
      </w:tr>
      <w:tr w:rsidR="00952B5C" w:rsidRPr="00952B5C" w14:paraId="252D0C85"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213673B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4100F6D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Cost of Sales</w:t>
            </w:r>
          </w:p>
        </w:tc>
        <w:tc>
          <w:tcPr>
            <w:tcW w:w="1120" w:type="dxa"/>
            <w:tcBorders>
              <w:top w:val="nil"/>
              <w:left w:val="nil"/>
              <w:bottom w:val="single" w:sz="4" w:space="0" w:color="auto"/>
              <w:right w:val="single" w:sz="4" w:space="0" w:color="auto"/>
            </w:tcBorders>
            <w:shd w:val="clear" w:color="auto" w:fill="auto"/>
            <w:noWrap/>
            <w:vAlign w:val="bottom"/>
            <w:hideMark/>
          </w:tcPr>
          <w:p w14:paraId="5D09552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3,235 </w:t>
            </w:r>
          </w:p>
        </w:tc>
        <w:tc>
          <w:tcPr>
            <w:tcW w:w="1240" w:type="dxa"/>
            <w:tcBorders>
              <w:top w:val="nil"/>
              <w:left w:val="nil"/>
              <w:bottom w:val="single" w:sz="4" w:space="0" w:color="auto"/>
              <w:right w:val="single" w:sz="4" w:space="0" w:color="auto"/>
            </w:tcBorders>
            <w:shd w:val="clear" w:color="auto" w:fill="auto"/>
            <w:noWrap/>
            <w:vAlign w:val="bottom"/>
            <w:hideMark/>
          </w:tcPr>
          <w:p w14:paraId="4A1510A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3,096 </w:t>
            </w:r>
          </w:p>
        </w:tc>
      </w:tr>
      <w:tr w:rsidR="00952B5C" w:rsidRPr="00952B5C" w14:paraId="5E3FC677"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4C461E1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38FD0EAE"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 * 365</w:t>
            </w:r>
          </w:p>
        </w:tc>
        <w:tc>
          <w:tcPr>
            <w:tcW w:w="1120" w:type="dxa"/>
            <w:tcBorders>
              <w:top w:val="nil"/>
              <w:left w:val="nil"/>
              <w:bottom w:val="single" w:sz="4" w:space="0" w:color="auto"/>
              <w:right w:val="single" w:sz="4" w:space="0" w:color="auto"/>
            </w:tcBorders>
            <w:shd w:val="clear" w:color="auto" w:fill="auto"/>
            <w:noWrap/>
            <w:vAlign w:val="bottom"/>
            <w:hideMark/>
          </w:tcPr>
          <w:p w14:paraId="5F28F723"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79.88 </w:t>
            </w:r>
          </w:p>
        </w:tc>
        <w:tc>
          <w:tcPr>
            <w:tcW w:w="1240" w:type="dxa"/>
            <w:tcBorders>
              <w:top w:val="nil"/>
              <w:left w:val="nil"/>
              <w:bottom w:val="single" w:sz="4" w:space="0" w:color="auto"/>
              <w:right w:val="single" w:sz="4" w:space="0" w:color="auto"/>
            </w:tcBorders>
            <w:shd w:val="clear" w:color="auto" w:fill="auto"/>
            <w:noWrap/>
            <w:vAlign w:val="bottom"/>
            <w:hideMark/>
          </w:tcPr>
          <w:p w14:paraId="419DCFF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77.69 </w:t>
            </w:r>
          </w:p>
        </w:tc>
      </w:tr>
    </w:tbl>
    <w:p w14:paraId="4FADA29D" w14:textId="77777777" w:rsidR="00952B5C" w:rsidRDefault="00952B5C" w:rsidP="00AB21B1">
      <w:pPr>
        <w:rPr>
          <w:u w:val="single"/>
        </w:rPr>
      </w:pPr>
    </w:p>
    <w:p w14:paraId="534443A4" w14:textId="77777777" w:rsidR="00952B5C" w:rsidRDefault="00952B5C" w:rsidP="00AB21B1">
      <w:pPr>
        <w:rPr>
          <w:u w:val="single"/>
        </w:rPr>
      </w:pPr>
      <w:r>
        <w:rPr>
          <w:u w:val="single"/>
        </w:rPr>
        <w:t>7. Debtors collection period</w:t>
      </w:r>
    </w:p>
    <w:tbl>
      <w:tblPr>
        <w:tblW w:w="5860" w:type="dxa"/>
        <w:tblLook w:val="04A0" w:firstRow="1" w:lastRow="0" w:firstColumn="1" w:lastColumn="0" w:noHBand="0" w:noVBand="1"/>
      </w:tblPr>
      <w:tblGrid>
        <w:gridCol w:w="400"/>
        <w:gridCol w:w="3100"/>
        <w:gridCol w:w="1120"/>
        <w:gridCol w:w="1240"/>
      </w:tblGrid>
      <w:tr w:rsidR="00952B5C" w:rsidRPr="00952B5C" w14:paraId="664C5E36"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E3C5E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492C8BF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Debtors collection period</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4D0209D9"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6240AD7C"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2019</w:t>
            </w:r>
          </w:p>
        </w:tc>
      </w:tr>
      <w:tr w:rsidR="00952B5C" w:rsidRPr="00952B5C" w14:paraId="5D191846"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1AC73A9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681FD88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Total debtors</w:t>
            </w:r>
          </w:p>
        </w:tc>
        <w:tc>
          <w:tcPr>
            <w:tcW w:w="1120" w:type="dxa"/>
            <w:tcBorders>
              <w:top w:val="nil"/>
              <w:left w:val="nil"/>
              <w:bottom w:val="single" w:sz="4" w:space="0" w:color="auto"/>
              <w:right w:val="single" w:sz="4" w:space="0" w:color="auto"/>
            </w:tcBorders>
            <w:shd w:val="clear" w:color="auto" w:fill="auto"/>
            <w:noWrap/>
            <w:vAlign w:val="bottom"/>
            <w:hideMark/>
          </w:tcPr>
          <w:p w14:paraId="28C2577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1,249 </w:t>
            </w:r>
          </w:p>
        </w:tc>
        <w:tc>
          <w:tcPr>
            <w:tcW w:w="1240" w:type="dxa"/>
            <w:tcBorders>
              <w:top w:val="nil"/>
              <w:left w:val="nil"/>
              <w:bottom w:val="single" w:sz="4" w:space="0" w:color="auto"/>
              <w:right w:val="single" w:sz="4" w:space="0" w:color="auto"/>
            </w:tcBorders>
            <w:shd w:val="clear" w:color="auto" w:fill="auto"/>
            <w:noWrap/>
            <w:vAlign w:val="bottom"/>
            <w:hideMark/>
          </w:tcPr>
          <w:p w14:paraId="42A207FC"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1,287 </w:t>
            </w:r>
          </w:p>
        </w:tc>
      </w:tr>
      <w:tr w:rsidR="00952B5C" w:rsidRPr="00952B5C" w14:paraId="4FB9BBB8"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26C52B72"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75206B1C"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Net Sales</w:t>
            </w:r>
          </w:p>
        </w:tc>
        <w:tc>
          <w:tcPr>
            <w:tcW w:w="1120" w:type="dxa"/>
            <w:tcBorders>
              <w:top w:val="nil"/>
              <w:left w:val="nil"/>
              <w:bottom w:val="single" w:sz="4" w:space="0" w:color="auto"/>
              <w:right w:val="single" w:sz="4" w:space="0" w:color="auto"/>
            </w:tcBorders>
            <w:shd w:val="clear" w:color="auto" w:fill="auto"/>
            <w:noWrap/>
            <w:vAlign w:val="bottom"/>
            <w:hideMark/>
          </w:tcPr>
          <w:p w14:paraId="77BA01F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6,738 </w:t>
            </w:r>
          </w:p>
        </w:tc>
        <w:tc>
          <w:tcPr>
            <w:tcW w:w="1240" w:type="dxa"/>
            <w:tcBorders>
              <w:top w:val="nil"/>
              <w:left w:val="nil"/>
              <w:bottom w:val="single" w:sz="4" w:space="0" w:color="auto"/>
              <w:right w:val="single" w:sz="4" w:space="0" w:color="auto"/>
            </w:tcBorders>
            <w:shd w:val="clear" w:color="auto" w:fill="auto"/>
            <w:noWrap/>
            <w:vAlign w:val="bottom"/>
            <w:hideMark/>
          </w:tcPr>
          <w:p w14:paraId="35E93C4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6,441 </w:t>
            </w:r>
          </w:p>
        </w:tc>
      </w:tr>
      <w:tr w:rsidR="00952B5C" w:rsidRPr="00952B5C" w14:paraId="046E1730"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2363527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345F8A2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 * 365</w:t>
            </w:r>
          </w:p>
        </w:tc>
        <w:tc>
          <w:tcPr>
            <w:tcW w:w="1120" w:type="dxa"/>
            <w:tcBorders>
              <w:top w:val="nil"/>
              <w:left w:val="nil"/>
              <w:bottom w:val="single" w:sz="4" w:space="0" w:color="auto"/>
              <w:right w:val="single" w:sz="4" w:space="0" w:color="auto"/>
            </w:tcBorders>
            <w:shd w:val="clear" w:color="auto" w:fill="auto"/>
            <w:noWrap/>
            <w:vAlign w:val="bottom"/>
            <w:hideMark/>
          </w:tcPr>
          <w:p w14:paraId="5043DBB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67.66 </w:t>
            </w:r>
          </w:p>
        </w:tc>
        <w:tc>
          <w:tcPr>
            <w:tcW w:w="1240" w:type="dxa"/>
            <w:tcBorders>
              <w:top w:val="nil"/>
              <w:left w:val="nil"/>
              <w:bottom w:val="single" w:sz="4" w:space="0" w:color="auto"/>
              <w:right w:val="single" w:sz="4" w:space="0" w:color="auto"/>
            </w:tcBorders>
            <w:shd w:val="clear" w:color="auto" w:fill="auto"/>
            <w:noWrap/>
            <w:vAlign w:val="bottom"/>
            <w:hideMark/>
          </w:tcPr>
          <w:p w14:paraId="5651351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72.93 </w:t>
            </w:r>
          </w:p>
        </w:tc>
      </w:tr>
    </w:tbl>
    <w:p w14:paraId="0E7C3487" w14:textId="77777777" w:rsidR="00952B5C" w:rsidRDefault="00952B5C" w:rsidP="00AB21B1">
      <w:pPr>
        <w:rPr>
          <w:u w:val="single"/>
        </w:rPr>
      </w:pPr>
    </w:p>
    <w:p w14:paraId="4DF7D956" w14:textId="77777777" w:rsidR="00952B5C" w:rsidRDefault="00952B5C" w:rsidP="00AB21B1">
      <w:pPr>
        <w:rPr>
          <w:u w:val="single"/>
        </w:rPr>
      </w:pPr>
      <w:r>
        <w:rPr>
          <w:u w:val="single"/>
        </w:rPr>
        <w:t>8. Current ratio</w:t>
      </w:r>
    </w:p>
    <w:tbl>
      <w:tblPr>
        <w:tblW w:w="5860" w:type="dxa"/>
        <w:tblLook w:val="04A0" w:firstRow="1" w:lastRow="0" w:firstColumn="1" w:lastColumn="0" w:noHBand="0" w:noVBand="1"/>
      </w:tblPr>
      <w:tblGrid>
        <w:gridCol w:w="400"/>
        <w:gridCol w:w="3100"/>
        <w:gridCol w:w="1120"/>
        <w:gridCol w:w="1240"/>
      </w:tblGrid>
      <w:tr w:rsidR="00952B5C" w:rsidRPr="00952B5C" w14:paraId="22234E9F"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599E3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6117AC5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Current Ratio</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643BC2A6"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63A73EDB"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2019</w:t>
            </w:r>
          </w:p>
        </w:tc>
      </w:tr>
      <w:tr w:rsidR="00952B5C" w:rsidRPr="00952B5C" w14:paraId="155B45B1"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3F8BF54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774DF55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Current Assets</w:t>
            </w:r>
          </w:p>
        </w:tc>
        <w:tc>
          <w:tcPr>
            <w:tcW w:w="1120" w:type="dxa"/>
            <w:tcBorders>
              <w:top w:val="nil"/>
              <w:left w:val="nil"/>
              <w:bottom w:val="single" w:sz="4" w:space="0" w:color="auto"/>
              <w:right w:val="single" w:sz="4" w:space="0" w:color="auto"/>
            </w:tcBorders>
            <w:shd w:val="clear" w:color="auto" w:fill="auto"/>
            <w:noWrap/>
            <w:vAlign w:val="bottom"/>
            <w:hideMark/>
          </w:tcPr>
          <w:p w14:paraId="04C911AD"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2,303 </w:t>
            </w:r>
          </w:p>
        </w:tc>
        <w:tc>
          <w:tcPr>
            <w:tcW w:w="1240" w:type="dxa"/>
            <w:tcBorders>
              <w:top w:val="nil"/>
              <w:left w:val="nil"/>
              <w:bottom w:val="single" w:sz="4" w:space="0" w:color="auto"/>
              <w:right w:val="single" w:sz="4" w:space="0" w:color="auto"/>
            </w:tcBorders>
            <w:shd w:val="clear" w:color="auto" w:fill="auto"/>
            <w:noWrap/>
            <w:vAlign w:val="bottom"/>
            <w:hideMark/>
          </w:tcPr>
          <w:p w14:paraId="30B7C70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2,355 </w:t>
            </w:r>
          </w:p>
        </w:tc>
      </w:tr>
      <w:tr w:rsidR="00952B5C" w:rsidRPr="00952B5C" w14:paraId="31EC5840"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698D4B39"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6C8BC53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Current Liabilities</w:t>
            </w:r>
          </w:p>
        </w:tc>
        <w:tc>
          <w:tcPr>
            <w:tcW w:w="1120" w:type="dxa"/>
            <w:tcBorders>
              <w:top w:val="nil"/>
              <w:left w:val="nil"/>
              <w:bottom w:val="single" w:sz="4" w:space="0" w:color="auto"/>
              <w:right w:val="single" w:sz="4" w:space="0" w:color="auto"/>
            </w:tcBorders>
            <w:shd w:val="clear" w:color="auto" w:fill="auto"/>
            <w:noWrap/>
            <w:vAlign w:val="bottom"/>
            <w:hideMark/>
          </w:tcPr>
          <w:p w14:paraId="4918A97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2,511 </w:t>
            </w:r>
          </w:p>
        </w:tc>
        <w:tc>
          <w:tcPr>
            <w:tcW w:w="1240" w:type="dxa"/>
            <w:tcBorders>
              <w:top w:val="nil"/>
              <w:left w:val="nil"/>
              <w:bottom w:val="single" w:sz="4" w:space="0" w:color="auto"/>
              <w:right w:val="single" w:sz="4" w:space="0" w:color="auto"/>
            </w:tcBorders>
            <w:shd w:val="clear" w:color="auto" w:fill="auto"/>
            <w:noWrap/>
            <w:vAlign w:val="bottom"/>
            <w:hideMark/>
          </w:tcPr>
          <w:p w14:paraId="522A0AC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3,046 </w:t>
            </w:r>
          </w:p>
        </w:tc>
      </w:tr>
      <w:tr w:rsidR="00952B5C" w:rsidRPr="00952B5C" w14:paraId="098A8ADB"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53024E9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1A8CD6D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w:t>
            </w:r>
          </w:p>
        </w:tc>
        <w:tc>
          <w:tcPr>
            <w:tcW w:w="1120" w:type="dxa"/>
            <w:tcBorders>
              <w:top w:val="nil"/>
              <w:left w:val="nil"/>
              <w:bottom w:val="single" w:sz="4" w:space="0" w:color="auto"/>
              <w:right w:val="single" w:sz="4" w:space="0" w:color="auto"/>
            </w:tcBorders>
            <w:shd w:val="clear" w:color="auto" w:fill="auto"/>
            <w:noWrap/>
            <w:vAlign w:val="bottom"/>
            <w:hideMark/>
          </w:tcPr>
          <w:p w14:paraId="28199DA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0.92 </w:t>
            </w:r>
          </w:p>
        </w:tc>
        <w:tc>
          <w:tcPr>
            <w:tcW w:w="1240" w:type="dxa"/>
            <w:tcBorders>
              <w:top w:val="nil"/>
              <w:left w:val="nil"/>
              <w:bottom w:val="single" w:sz="4" w:space="0" w:color="auto"/>
              <w:right w:val="single" w:sz="4" w:space="0" w:color="auto"/>
            </w:tcBorders>
            <w:shd w:val="clear" w:color="auto" w:fill="auto"/>
            <w:noWrap/>
            <w:vAlign w:val="bottom"/>
            <w:hideMark/>
          </w:tcPr>
          <w:p w14:paraId="79C1594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0.77 </w:t>
            </w:r>
          </w:p>
        </w:tc>
      </w:tr>
    </w:tbl>
    <w:p w14:paraId="22FD9E7F" w14:textId="77777777" w:rsidR="00952B5C" w:rsidRDefault="00952B5C" w:rsidP="00AB21B1">
      <w:pPr>
        <w:rPr>
          <w:u w:val="single"/>
        </w:rPr>
      </w:pPr>
    </w:p>
    <w:p w14:paraId="76B624AE" w14:textId="77777777" w:rsidR="00952B5C" w:rsidRDefault="00952B5C" w:rsidP="00AB21B1">
      <w:pPr>
        <w:rPr>
          <w:u w:val="single"/>
        </w:rPr>
      </w:pPr>
      <w:r>
        <w:rPr>
          <w:u w:val="single"/>
        </w:rPr>
        <w:lastRenderedPageBreak/>
        <w:t>9. Gearing ratio</w:t>
      </w:r>
    </w:p>
    <w:tbl>
      <w:tblPr>
        <w:tblW w:w="5860" w:type="dxa"/>
        <w:tblLook w:val="04A0" w:firstRow="1" w:lastRow="0" w:firstColumn="1" w:lastColumn="0" w:noHBand="0" w:noVBand="1"/>
      </w:tblPr>
      <w:tblGrid>
        <w:gridCol w:w="400"/>
        <w:gridCol w:w="3100"/>
        <w:gridCol w:w="1120"/>
        <w:gridCol w:w="1240"/>
      </w:tblGrid>
      <w:tr w:rsidR="00952B5C" w:rsidRPr="00952B5C" w14:paraId="560B66B8"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AA306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500FCFBC"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Gearing Ratio</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09A143DB"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0AB4D2E6"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2019</w:t>
            </w:r>
          </w:p>
        </w:tc>
      </w:tr>
      <w:tr w:rsidR="00952B5C" w:rsidRPr="00952B5C" w14:paraId="7F0D4247"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0E707E48"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0CA9570B"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Total debt</w:t>
            </w:r>
          </w:p>
        </w:tc>
        <w:tc>
          <w:tcPr>
            <w:tcW w:w="1120" w:type="dxa"/>
            <w:tcBorders>
              <w:top w:val="nil"/>
              <w:left w:val="nil"/>
              <w:bottom w:val="single" w:sz="4" w:space="0" w:color="auto"/>
              <w:right w:val="single" w:sz="4" w:space="0" w:color="auto"/>
            </w:tcBorders>
            <w:shd w:val="clear" w:color="auto" w:fill="auto"/>
            <w:noWrap/>
            <w:vAlign w:val="bottom"/>
            <w:hideMark/>
          </w:tcPr>
          <w:p w14:paraId="577CEE0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4,137 </w:t>
            </w:r>
          </w:p>
        </w:tc>
        <w:tc>
          <w:tcPr>
            <w:tcW w:w="1240" w:type="dxa"/>
            <w:tcBorders>
              <w:top w:val="nil"/>
              <w:left w:val="nil"/>
              <w:bottom w:val="single" w:sz="4" w:space="0" w:color="auto"/>
              <w:right w:val="single" w:sz="4" w:space="0" w:color="auto"/>
            </w:tcBorders>
            <w:shd w:val="clear" w:color="auto" w:fill="auto"/>
            <w:noWrap/>
            <w:vAlign w:val="bottom"/>
            <w:hideMark/>
          </w:tcPr>
          <w:p w14:paraId="6EC462C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4,129 </w:t>
            </w:r>
          </w:p>
        </w:tc>
      </w:tr>
      <w:tr w:rsidR="00952B5C" w:rsidRPr="00952B5C" w14:paraId="06CAA285"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3AB4989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3D4F1AB2"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Total shareholder's equity</w:t>
            </w:r>
          </w:p>
        </w:tc>
        <w:tc>
          <w:tcPr>
            <w:tcW w:w="1120" w:type="dxa"/>
            <w:tcBorders>
              <w:top w:val="nil"/>
              <w:left w:val="nil"/>
              <w:bottom w:val="single" w:sz="4" w:space="0" w:color="auto"/>
              <w:right w:val="single" w:sz="4" w:space="0" w:color="auto"/>
            </w:tcBorders>
            <w:shd w:val="clear" w:color="auto" w:fill="auto"/>
            <w:noWrap/>
            <w:vAlign w:val="bottom"/>
            <w:hideMark/>
          </w:tcPr>
          <w:p w14:paraId="1EBFF4D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3,088 </w:t>
            </w:r>
          </w:p>
        </w:tc>
        <w:tc>
          <w:tcPr>
            <w:tcW w:w="1240" w:type="dxa"/>
            <w:tcBorders>
              <w:top w:val="nil"/>
              <w:left w:val="nil"/>
              <w:bottom w:val="single" w:sz="4" w:space="0" w:color="auto"/>
              <w:right w:val="single" w:sz="4" w:space="0" w:color="auto"/>
            </w:tcBorders>
            <w:shd w:val="clear" w:color="auto" w:fill="auto"/>
            <w:noWrap/>
            <w:vAlign w:val="bottom"/>
            <w:hideMark/>
          </w:tcPr>
          <w:p w14:paraId="452064DF"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2,912 </w:t>
            </w:r>
          </w:p>
        </w:tc>
      </w:tr>
      <w:tr w:rsidR="00952B5C" w:rsidRPr="00952B5C" w14:paraId="28DF45C2"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26C9843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1BE0DDF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w:t>
            </w:r>
          </w:p>
        </w:tc>
        <w:tc>
          <w:tcPr>
            <w:tcW w:w="1120" w:type="dxa"/>
            <w:tcBorders>
              <w:top w:val="nil"/>
              <w:left w:val="nil"/>
              <w:bottom w:val="single" w:sz="4" w:space="0" w:color="auto"/>
              <w:right w:val="single" w:sz="4" w:space="0" w:color="auto"/>
            </w:tcBorders>
            <w:shd w:val="clear" w:color="auto" w:fill="auto"/>
            <w:noWrap/>
            <w:vAlign w:val="bottom"/>
            <w:hideMark/>
          </w:tcPr>
          <w:p w14:paraId="1CAEF204"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1.34 </w:t>
            </w:r>
          </w:p>
        </w:tc>
        <w:tc>
          <w:tcPr>
            <w:tcW w:w="1240" w:type="dxa"/>
            <w:tcBorders>
              <w:top w:val="nil"/>
              <w:left w:val="nil"/>
              <w:bottom w:val="single" w:sz="4" w:space="0" w:color="auto"/>
              <w:right w:val="single" w:sz="4" w:space="0" w:color="auto"/>
            </w:tcBorders>
            <w:shd w:val="clear" w:color="auto" w:fill="auto"/>
            <w:noWrap/>
            <w:vAlign w:val="bottom"/>
            <w:hideMark/>
          </w:tcPr>
          <w:p w14:paraId="7E87554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1.42 </w:t>
            </w:r>
          </w:p>
        </w:tc>
      </w:tr>
    </w:tbl>
    <w:p w14:paraId="1883E98A" w14:textId="77777777" w:rsidR="00952B5C" w:rsidRDefault="00952B5C" w:rsidP="00AB21B1">
      <w:pPr>
        <w:rPr>
          <w:u w:val="single"/>
        </w:rPr>
      </w:pPr>
    </w:p>
    <w:p w14:paraId="17A3003E" w14:textId="77777777" w:rsidR="00952B5C" w:rsidRDefault="00952B5C" w:rsidP="00AB21B1">
      <w:pPr>
        <w:rPr>
          <w:u w:val="single"/>
        </w:rPr>
      </w:pPr>
      <w:r>
        <w:rPr>
          <w:u w:val="single"/>
        </w:rPr>
        <w:t>10. Interest coverage ratio</w:t>
      </w:r>
    </w:p>
    <w:tbl>
      <w:tblPr>
        <w:tblW w:w="5860" w:type="dxa"/>
        <w:tblLook w:val="04A0" w:firstRow="1" w:lastRow="0" w:firstColumn="1" w:lastColumn="0" w:noHBand="0" w:noVBand="1"/>
      </w:tblPr>
      <w:tblGrid>
        <w:gridCol w:w="400"/>
        <w:gridCol w:w="3100"/>
        <w:gridCol w:w="1120"/>
        <w:gridCol w:w="1240"/>
      </w:tblGrid>
      <w:tr w:rsidR="00952B5C" w:rsidRPr="00952B5C" w14:paraId="08376C62" w14:textId="77777777" w:rsidTr="00952B5C">
        <w:trPr>
          <w:trHeight w:val="312"/>
        </w:trPr>
        <w:tc>
          <w:tcPr>
            <w:tcW w:w="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4D0B5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14:paraId="1DB8C0A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Interest coverage ratio</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53C39B69"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2020</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22DF5B2" w14:textId="77777777" w:rsidR="00952B5C" w:rsidRPr="00952B5C" w:rsidRDefault="00952B5C" w:rsidP="00952B5C">
            <w:pPr>
              <w:spacing w:after="0" w:line="240" w:lineRule="auto"/>
              <w:jc w:val="center"/>
              <w:rPr>
                <w:rFonts w:eastAsia="Times New Roman"/>
                <w:b/>
                <w:bCs/>
                <w:color w:val="000000"/>
              </w:rPr>
            </w:pPr>
            <w:r w:rsidRPr="00952B5C">
              <w:rPr>
                <w:rFonts w:eastAsia="Times New Roman"/>
                <w:b/>
                <w:bCs/>
                <w:color w:val="000000"/>
              </w:rPr>
              <w:t>2019</w:t>
            </w:r>
          </w:p>
        </w:tc>
      </w:tr>
      <w:tr w:rsidR="00952B5C" w:rsidRPr="00952B5C" w14:paraId="3A60471E"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5145A05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w:t>
            </w:r>
          </w:p>
        </w:tc>
        <w:tc>
          <w:tcPr>
            <w:tcW w:w="3100" w:type="dxa"/>
            <w:tcBorders>
              <w:top w:val="nil"/>
              <w:left w:val="nil"/>
              <w:bottom w:val="single" w:sz="4" w:space="0" w:color="auto"/>
              <w:right w:val="single" w:sz="4" w:space="0" w:color="auto"/>
            </w:tcBorders>
            <w:shd w:val="clear" w:color="auto" w:fill="auto"/>
            <w:noWrap/>
            <w:vAlign w:val="bottom"/>
            <w:hideMark/>
          </w:tcPr>
          <w:p w14:paraId="772571BC"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Operating profit</w:t>
            </w:r>
          </w:p>
        </w:tc>
        <w:tc>
          <w:tcPr>
            <w:tcW w:w="1120" w:type="dxa"/>
            <w:tcBorders>
              <w:top w:val="nil"/>
              <w:left w:val="nil"/>
              <w:bottom w:val="single" w:sz="4" w:space="0" w:color="auto"/>
              <w:right w:val="single" w:sz="4" w:space="0" w:color="auto"/>
            </w:tcBorders>
            <w:shd w:val="clear" w:color="auto" w:fill="auto"/>
            <w:noWrap/>
            <w:vAlign w:val="bottom"/>
            <w:hideMark/>
          </w:tcPr>
          <w:p w14:paraId="72893FB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620 </w:t>
            </w:r>
          </w:p>
        </w:tc>
        <w:tc>
          <w:tcPr>
            <w:tcW w:w="1240" w:type="dxa"/>
            <w:tcBorders>
              <w:top w:val="nil"/>
              <w:left w:val="nil"/>
              <w:bottom w:val="single" w:sz="4" w:space="0" w:color="auto"/>
              <w:right w:val="single" w:sz="4" w:space="0" w:color="auto"/>
            </w:tcBorders>
            <w:shd w:val="clear" w:color="auto" w:fill="auto"/>
            <w:noWrap/>
            <w:vAlign w:val="bottom"/>
            <w:hideMark/>
          </w:tcPr>
          <w:p w14:paraId="165E4A9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539 </w:t>
            </w:r>
          </w:p>
        </w:tc>
      </w:tr>
      <w:tr w:rsidR="00952B5C" w:rsidRPr="00952B5C" w14:paraId="6C9538BD"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1A950F96"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B</w:t>
            </w:r>
          </w:p>
        </w:tc>
        <w:tc>
          <w:tcPr>
            <w:tcW w:w="3100" w:type="dxa"/>
            <w:tcBorders>
              <w:top w:val="nil"/>
              <w:left w:val="nil"/>
              <w:bottom w:val="single" w:sz="4" w:space="0" w:color="auto"/>
              <w:right w:val="single" w:sz="4" w:space="0" w:color="auto"/>
            </w:tcBorders>
            <w:shd w:val="clear" w:color="auto" w:fill="auto"/>
            <w:noWrap/>
            <w:vAlign w:val="bottom"/>
            <w:hideMark/>
          </w:tcPr>
          <w:p w14:paraId="63839E1E"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Interest expense</w:t>
            </w:r>
          </w:p>
        </w:tc>
        <w:tc>
          <w:tcPr>
            <w:tcW w:w="1120" w:type="dxa"/>
            <w:tcBorders>
              <w:top w:val="nil"/>
              <w:left w:val="nil"/>
              <w:bottom w:val="single" w:sz="4" w:space="0" w:color="auto"/>
              <w:right w:val="single" w:sz="4" w:space="0" w:color="auto"/>
            </w:tcBorders>
            <w:shd w:val="clear" w:color="auto" w:fill="auto"/>
            <w:noWrap/>
            <w:vAlign w:val="bottom"/>
            <w:hideMark/>
          </w:tcPr>
          <w:p w14:paraId="4B55E0AE"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226 </w:t>
            </w:r>
          </w:p>
        </w:tc>
        <w:tc>
          <w:tcPr>
            <w:tcW w:w="1240" w:type="dxa"/>
            <w:tcBorders>
              <w:top w:val="nil"/>
              <w:left w:val="nil"/>
              <w:bottom w:val="single" w:sz="4" w:space="0" w:color="auto"/>
              <w:right w:val="single" w:sz="4" w:space="0" w:color="auto"/>
            </w:tcBorders>
            <w:shd w:val="clear" w:color="auto" w:fill="auto"/>
            <w:noWrap/>
            <w:vAlign w:val="bottom"/>
            <w:hideMark/>
          </w:tcPr>
          <w:p w14:paraId="38994FC0"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181 </w:t>
            </w:r>
          </w:p>
        </w:tc>
      </w:tr>
      <w:tr w:rsidR="00952B5C" w:rsidRPr="00952B5C" w14:paraId="775E7446" w14:textId="77777777" w:rsidTr="00952B5C">
        <w:trPr>
          <w:trHeight w:val="312"/>
        </w:trPr>
        <w:tc>
          <w:tcPr>
            <w:tcW w:w="400" w:type="dxa"/>
            <w:tcBorders>
              <w:top w:val="nil"/>
              <w:left w:val="single" w:sz="4" w:space="0" w:color="auto"/>
              <w:bottom w:val="single" w:sz="4" w:space="0" w:color="auto"/>
              <w:right w:val="single" w:sz="4" w:space="0" w:color="auto"/>
            </w:tcBorders>
            <w:shd w:val="clear" w:color="auto" w:fill="auto"/>
            <w:noWrap/>
            <w:vAlign w:val="bottom"/>
            <w:hideMark/>
          </w:tcPr>
          <w:p w14:paraId="33AE8925"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w:t>
            </w:r>
          </w:p>
        </w:tc>
        <w:tc>
          <w:tcPr>
            <w:tcW w:w="3100" w:type="dxa"/>
            <w:tcBorders>
              <w:top w:val="nil"/>
              <w:left w:val="nil"/>
              <w:bottom w:val="single" w:sz="4" w:space="0" w:color="auto"/>
              <w:right w:val="single" w:sz="4" w:space="0" w:color="auto"/>
            </w:tcBorders>
            <w:shd w:val="clear" w:color="auto" w:fill="auto"/>
            <w:noWrap/>
            <w:vAlign w:val="bottom"/>
            <w:hideMark/>
          </w:tcPr>
          <w:p w14:paraId="49D02C3A"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A/B</w:t>
            </w:r>
          </w:p>
        </w:tc>
        <w:tc>
          <w:tcPr>
            <w:tcW w:w="1120" w:type="dxa"/>
            <w:tcBorders>
              <w:top w:val="nil"/>
              <w:left w:val="nil"/>
              <w:bottom w:val="single" w:sz="4" w:space="0" w:color="auto"/>
              <w:right w:val="single" w:sz="4" w:space="0" w:color="auto"/>
            </w:tcBorders>
            <w:shd w:val="clear" w:color="auto" w:fill="auto"/>
            <w:noWrap/>
            <w:vAlign w:val="bottom"/>
            <w:hideMark/>
          </w:tcPr>
          <w:p w14:paraId="523D9A77"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2.74 </w:t>
            </w:r>
          </w:p>
        </w:tc>
        <w:tc>
          <w:tcPr>
            <w:tcW w:w="1240" w:type="dxa"/>
            <w:tcBorders>
              <w:top w:val="nil"/>
              <w:left w:val="nil"/>
              <w:bottom w:val="single" w:sz="4" w:space="0" w:color="auto"/>
              <w:right w:val="single" w:sz="4" w:space="0" w:color="auto"/>
            </w:tcBorders>
            <w:shd w:val="clear" w:color="auto" w:fill="auto"/>
            <w:noWrap/>
            <w:vAlign w:val="bottom"/>
            <w:hideMark/>
          </w:tcPr>
          <w:p w14:paraId="205BA891" w14:textId="77777777" w:rsidR="00952B5C" w:rsidRPr="00952B5C" w:rsidRDefault="00952B5C" w:rsidP="00952B5C">
            <w:pPr>
              <w:spacing w:after="0" w:line="240" w:lineRule="auto"/>
              <w:jc w:val="left"/>
              <w:rPr>
                <w:rFonts w:eastAsia="Times New Roman"/>
                <w:color w:val="000000"/>
              </w:rPr>
            </w:pPr>
            <w:r w:rsidRPr="00952B5C">
              <w:rPr>
                <w:rFonts w:eastAsia="Times New Roman"/>
                <w:color w:val="000000"/>
              </w:rPr>
              <w:t xml:space="preserve">           2.98 </w:t>
            </w:r>
          </w:p>
        </w:tc>
      </w:tr>
    </w:tbl>
    <w:p w14:paraId="7D9FAB12" w14:textId="77777777" w:rsidR="00952B5C" w:rsidRPr="00952B5C" w:rsidRDefault="00952B5C" w:rsidP="00AB21B1">
      <w:pPr>
        <w:rPr>
          <w:u w:val="single"/>
        </w:rPr>
      </w:pPr>
    </w:p>
    <w:p w14:paraId="7172C54D" w14:textId="77777777" w:rsidR="00886E29" w:rsidRDefault="00952B5C" w:rsidP="00E52980">
      <w:pPr>
        <w:rPr>
          <w:b/>
        </w:rPr>
      </w:pPr>
      <w:r>
        <w:rPr>
          <w:b/>
        </w:rPr>
        <w:t>b.</w:t>
      </w:r>
      <w:r w:rsidR="00307D28">
        <w:rPr>
          <w:b/>
        </w:rPr>
        <w:t xml:space="preserve"> Financial performance and position</w:t>
      </w:r>
      <w:r>
        <w:rPr>
          <w:b/>
        </w:rPr>
        <w:t xml:space="preserve"> Interpretation</w:t>
      </w:r>
    </w:p>
    <w:p w14:paraId="5B080D3D" w14:textId="77777777" w:rsidR="004D6176" w:rsidRDefault="004D6176" w:rsidP="00560D7B">
      <w:pPr>
        <w:rPr>
          <w:i/>
        </w:rPr>
      </w:pPr>
      <w:r>
        <w:rPr>
          <w:i/>
        </w:rPr>
        <w:t>Profitability</w:t>
      </w:r>
    </w:p>
    <w:p w14:paraId="5EF0B726" w14:textId="77777777" w:rsidR="00745225" w:rsidRDefault="00745225" w:rsidP="00745225">
      <w:r>
        <w:t xml:space="preserve"> Measures of cash return on value (ROE) and return on capital employed (ROCE) are important tools for examining an organization's performance potential and potential for future development. They are often used together to fully evaluate financial performance. ROE is the definition of an organization's net profit, as it is returned as value to investors. This recipe allows lenders and researchers of a select portion of the organization's productivity and to discover the potential of an organization to create profit, using the funds invested by the res investors. In the event of a situation, the net profit is included in what is received on a regular basis, excluding all costs and expenses. It includes payments made to preferred investors, but not profits paid to ordinary investors (and evaluating the overall investor value avoids preferred stock offers). For the most part, a higher ROE ratio means that the organization uses more productive financial support money to renew business performance and allow it to grow and expand to create expansion benefits.</w:t>
      </w:r>
    </w:p>
    <w:p w14:paraId="53AF0C6A" w14:textId="77777777" w:rsidR="004D6176" w:rsidRDefault="00745225" w:rsidP="00560D7B">
      <w:pPr>
        <w:rPr>
          <w:i/>
        </w:rPr>
      </w:pPr>
      <w:r>
        <w:lastRenderedPageBreak/>
        <w:t>A perceived shortcoming of ROE as a demonstration measure lies in how an unbalanced level of organizational responsibility results in a lower value measure, with these lines creating a higher ROE than a fixed amount of net profit. Therefore, it is very appropriate to see compliance with ROE adapt to other measures of money productivity. ROE considers the benefits created on investor value, but ROCE is the essential component of how effectively an organization uses all accessible funds to provide additional benefits. It tends to be more strongly broken down by ROE by including an overall gain for EBIT in the valuation for ROCE. ROCE works great when looking at the presentation of organizations in capitalized areas, such as facilities and telecommunications, as unlike various essentials, ROCE also thinks about different roles and responsibilities. This provides a better indicator of financial performance for organizations with critical responsibility. To obtain a common representation of ROCE, modifications may be required. An organization may from time to time have money that is not used in the business. As a result, it could be deducted from the Capital figure employed to obtain a more secure share of the ROCE. The ROCE processing is also an important indicator of performance. In general, lenders support organizations with stable and growing ROCE numbers compared to organizations where ROCE is volatile year on year.</w:t>
      </w:r>
      <w:r w:rsidR="004D6176">
        <w:rPr>
          <w:i/>
        </w:rPr>
        <w:t xml:space="preserve"> </w:t>
      </w:r>
    </w:p>
    <w:p w14:paraId="7D7C0FA7" w14:textId="77777777" w:rsidR="00745225" w:rsidRDefault="00D9379C" w:rsidP="00560D7B">
      <w:r w:rsidRPr="00D9379C">
        <w:t>Total net income, or essentially net margin, measures the amount of total compensation or profit considered as the level of income. The proportion of net revenue benefits a business organization or a cookie. Net income is usually reported as a rate, but it can also be treated in a decimal structure. Total net income represents the amount of every dollar of income an organization collects turns into profit. Total net income can be the main indicator of an organization's financial well-being. By tracking the increases and decreases in its net income, an organization can assess whether current practices are working and consider the benefits of revenue dependency. Since organizations express net income as a rate relative to a dollar sum, it is possible to think of the productivity of at least two groups that do not take long to estimate. Net income can affect one-time things like a resource supply, which would help short-term benefits. Net income does not focus on contracts or revenue development, nor does it provide information on whether executives are meeting creation costs.</w:t>
      </w:r>
    </w:p>
    <w:p w14:paraId="1B716F02" w14:textId="77777777" w:rsidR="0053035E" w:rsidRDefault="0053035E" w:rsidP="00560D7B">
      <w:pPr>
        <w:rPr>
          <w:i/>
        </w:rPr>
      </w:pPr>
      <w:r>
        <w:rPr>
          <w:i/>
        </w:rPr>
        <w:t xml:space="preserve">Efficiency </w:t>
      </w:r>
    </w:p>
    <w:p w14:paraId="69BC6495" w14:textId="77777777" w:rsidR="0019395A" w:rsidRDefault="0019395A" w:rsidP="0019395A">
      <w:r>
        <w:lastRenderedPageBreak/>
        <w:t xml:space="preserve">Capability ratios, also known as mobility ratios, measure how well organizations use their resources to make payments. Expert ratios regularly look at how long it takes for organizations to raise money from clients or the time it takes for organizations to turn shares into cash, overall, doing business. These allowances will be used by the board to help work for the organization as well as external lenders and tenants who look at the funds for the benefit of the organization. Capacity building rates fluctuate with productivity rates. Consistently, when organizations are efficient with their resources, they become profitable. Wal-Mart is a true model. Wal-Mart is apt to sell low-priced products at high prices. At the end of the day, they are able to change their funds. Although they do not bring much benefit to all businesses, they do carry a huge business burden. </w:t>
      </w:r>
    </w:p>
    <w:p w14:paraId="7B6BA58E" w14:textId="77777777" w:rsidR="0019395A" w:rsidRDefault="0019395A" w:rsidP="0019395A">
      <w:r>
        <w:t xml:space="preserve">The Accounts receivable turnover of a record is a production or movement allowance that works as often as a company can convert its available records into cash over time. Therefore, the available portion of records is an estimate of how often a company can collect its standard records during the year. This refers to whenever an organization collects its usual receipts. This proportion demonstrates an organization's productivity in collecting credit agreements from customers. Some organizations collect receipts from customers in 90 days and others take up to six months to collect from customers. Here and there the available turnover can also be seen as a share of liquidity. The earlier organizations are able, the faster they can turn their receipts into cash. The explanation is that net credit agreements are used instead of net credit agreements that are not due. Revenue is based solely on credit agreements, so cash contracts are avoided in the calculation. Net contracts mainly concern the management of reduced returns and discounted contracts. Net credit terms are usually found in the organization's payroll definition for the year, although not all entities independently report cash and credit agreements. Standard revenue is determined by issuing goodwill receipts for the year and dividing by two. Probably, this is a rough estimate of normal income for the year. </w:t>
      </w:r>
    </w:p>
    <w:p w14:paraId="6BBB3B55" w14:textId="77777777" w:rsidR="0019395A" w:rsidRDefault="0019395A" w:rsidP="0019395A">
      <w:r>
        <w:t>An asset turnover ratio is a ratio of yield that affects an organization’s ability to create contracts from its resources by comparing net contracts with full normal resources. At the end of the day, this installment shows how smart an organization can use its resources to do business. The full share of resource conversion shows net offers as a resource level to show the number of offers made per dollar of the organization’s resources.</w:t>
      </w:r>
    </w:p>
    <w:p w14:paraId="08E02ABC" w14:textId="77777777" w:rsidR="0053035E" w:rsidRDefault="0019395A" w:rsidP="0019395A">
      <w:r>
        <w:lastRenderedPageBreak/>
        <w:t>Day’s sales in stocktaking, also known as overstock days or just stock days, measure the days it takes for a group to sell all the stock. Overall, days of inventory-based tenders show how long an organization’s current supply will last. This is essential for tenants and lenders for three basic reasons. Both lenders and loan managers need to understand the importance of agency activities. More established and older stocks always deserve new stock and not just conventional stock. The days in stock bids show how fast the group is moving its inventory. So, it shows that the stock is new.</w:t>
      </w:r>
    </w:p>
    <w:p w14:paraId="1AD435B5" w14:textId="77777777" w:rsidR="0019395A" w:rsidRDefault="0019395A" w:rsidP="0019395A">
      <w:pPr>
        <w:rPr>
          <w:i/>
        </w:rPr>
      </w:pPr>
      <w:r>
        <w:rPr>
          <w:i/>
        </w:rPr>
        <w:t>Liquidity</w:t>
      </w:r>
    </w:p>
    <w:p w14:paraId="5A1D1833" w14:textId="77777777" w:rsidR="00E32963" w:rsidRDefault="00E32963" w:rsidP="00E32963">
      <w:r>
        <w:t>In terms of funding, liquidity is a key consideration to consider. In addition, liquidity allocation is a basic accounting tool used to determine the current obligation to repay a borrower. Directly, this allowance reflects whether an individual or business can perform the transferable functions without external financial assistance. Considering mobile structures, conventional cash commitments are examined to agree on the longest-lived positions of an organization.</w:t>
      </w:r>
    </w:p>
    <w:p w14:paraId="29364641" w14:textId="77777777" w:rsidR="00E32963" w:rsidRDefault="00E32963" w:rsidP="00E32963">
      <w:r>
        <w:t>The analysis of the liquidity shares helps to estimate the volatility of business trends. This means that it helps estimate an organization's ability to deliver on its positive commitments. Therefore, liquidity suggests how quickly an organization's assets are converted into cash. Furthermore, it is nothing more than the business continues to have money to meet current responsibilities. Likewise, liquidity implies that an organization has sufficient resources to carry out its daily business operations. Consequently, this suggests that the real shift from conventional resources to cash should be as swift as possible to ensure quotas are appropriate for the wreckers. In other words, most conventional resources should not be limited in investments and credit agreements (</w:t>
      </w:r>
      <w:proofErr w:type="spellStart"/>
      <w:r>
        <w:t>eg</w:t>
      </w:r>
      <w:proofErr w:type="spellEnd"/>
      <w:r>
        <w:t xml:space="preserve"> account receipts). Additionally, the organization will run out of funds to meet its current obligations. </w:t>
      </w:r>
    </w:p>
    <w:p w14:paraId="2231EA68" w14:textId="77777777" w:rsidR="0019395A" w:rsidRPr="0019395A" w:rsidRDefault="00E32963" w:rsidP="00E32963">
      <w:r>
        <w:t xml:space="preserve">The standard allowance includes a group cash limit for ordering customary commitments using its resources. Current assets here include cash, stocks, credits, upfront practices, attractive protections, shopping and so on. In addition, current liabilities include instant advances, financial liabilities, separate costs, tenancies, miscellaneous debts, and so on. Any standard allowance of less than 1 suggests the publication of negative monies for that company or individual. A current one-off allowance is part of a person's inability to meet financial commitments at this time with </w:t>
      </w:r>
      <w:r>
        <w:lastRenderedPageBreak/>
        <w:t>your own resources. However, the current proportion determines how flexible an organization is at a given time. Be that as it may, it does not give a complete picture of its liquidity. For example, an organization with a high percentage of electricity could be the result of an increase in appropriate invoices. This is due to the medium paying lenders. On the other hand, the inability to sell its shares is a high percentage of its impact.</w:t>
      </w:r>
    </w:p>
    <w:p w14:paraId="6FFA537F" w14:textId="77777777" w:rsidR="00560D7B" w:rsidRDefault="00560D7B" w:rsidP="00560D7B">
      <w:r>
        <w:t>The Group's foreign exchange performance was tough, with a marked improvement in operating margin and a 15% increase in candy store revenues to £ 5.4 billion. By limiting unfamiliar business return, core business revenue development was 7%, addressing natural development above the upper limit of our 4% -6% coverage target. They have expanded their costs to balance the recovery in input costs and have eliminated our cost base, essentially through the reduction of contracts, overhead and organizational costs and fixed costs. Subsequently, along with the significant revenue development, the organization has substantially expanded its benefits. The underlying operating margin increased from 10.1% in 2019 to 11.9% in 2020. Preventing unfamiliar trading, the improvement was in the margin of 150 bps. The Group achieved a satisfactory performance in FY20 with revenues of £ 132.5 million and a 14% improvement over FY19. Profit before costs was improved by 11% to £ 14.1 million. The Board is content to recommend a final profit of 1.2 pence per share, bringing the full year profit to 1.8 pence per share. Once confirmed by the investors at AGM 2020, it will be paid by 2020 to the investors registered in the register as of November 22, 2020.</w:t>
      </w:r>
    </w:p>
    <w:p w14:paraId="7162266B" w14:textId="77777777" w:rsidR="00560D7B" w:rsidRPr="00307D28" w:rsidRDefault="00560D7B" w:rsidP="00560D7B">
      <w:r>
        <w:t>The published income for 52 weeks ending 2020 was £ 132.5 million. Revenue increased 14% from 52 weeks ending in 2019. New US provinces generated £ 0.5m contracts in their first year, after opening the past year of no return to take advantage of the ruling from time to time. The United States recorded a focus rate of 0.5% on the development of the group on an annual basis, while the rest of the Group recorded a development of 13.5%. Net profit as a percentage of contracts reduces 250 premise targets from 68.4% to 65.9%. Improved creation efficiency and purchase benefits of + 40 bps. Inexperienced trading impacted the confirmed cost of imported raw materials, which reduced the margin by -20 bps.</w:t>
      </w:r>
    </w:p>
    <w:p w14:paraId="5D68DDAA" w14:textId="77777777" w:rsidR="00952B5C" w:rsidRPr="00952B5C" w:rsidRDefault="00952B5C" w:rsidP="00E52980"/>
    <w:sectPr w:rsidR="00952B5C" w:rsidRPr="00952B5C" w:rsidSect="00EF0D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_sansregular">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52980"/>
    <w:rsid w:val="0019395A"/>
    <w:rsid w:val="00284DF4"/>
    <w:rsid w:val="0028569E"/>
    <w:rsid w:val="00307D28"/>
    <w:rsid w:val="00445213"/>
    <w:rsid w:val="004D6176"/>
    <w:rsid w:val="0053035E"/>
    <w:rsid w:val="00560D7B"/>
    <w:rsid w:val="00611D41"/>
    <w:rsid w:val="00663328"/>
    <w:rsid w:val="006866D7"/>
    <w:rsid w:val="006C3C80"/>
    <w:rsid w:val="00745225"/>
    <w:rsid w:val="00886E29"/>
    <w:rsid w:val="009230D8"/>
    <w:rsid w:val="0092684E"/>
    <w:rsid w:val="00952B5C"/>
    <w:rsid w:val="00A37504"/>
    <w:rsid w:val="00AB21B1"/>
    <w:rsid w:val="00B7448F"/>
    <w:rsid w:val="00D00161"/>
    <w:rsid w:val="00D2222D"/>
    <w:rsid w:val="00D9379C"/>
    <w:rsid w:val="00E008BD"/>
    <w:rsid w:val="00E32963"/>
    <w:rsid w:val="00E52980"/>
    <w:rsid w:val="00EF0DF1"/>
    <w:rsid w:val="00EF6346"/>
    <w:rsid w:val="00F744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2B80A"/>
  <w15:docId w15:val="{53AB5A67-3AAC-3F4F-AA79-9BD8394DA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DF1"/>
  </w:style>
  <w:style w:type="paragraph" w:styleId="Heading1">
    <w:name w:val="heading 1"/>
    <w:basedOn w:val="Normal"/>
    <w:next w:val="Normal"/>
    <w:link w:val="Heading1Char"/>
    <w:uiPriority w:val="9"/>
    <w:qFormat/>
    <w:rsid w:val="00E529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98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F6346"/>
    <w:pPr>
      <w:spacing w:line="259" w:lineRule="auto"/>
      <w:jc w:val="left"/>
      <w:outlineLvl w:val="9"/>
    </w:pPr>
  </w:style>
  <w:style w:type="paragraph" w:styleId="TOC1">
    <w:name w:val="toc 1"/>
    <w:basedOn w:val="Normal"/>
    <w:next w:val="Normal"/>
    <w:autoRedefine/>
    <w:uiPriority w:val="39"/>
    <w:unhideWhenUsed/>
    <w:rsid w:val="00EF6346"/>
    <w:pPr>
      <w:spacing w:after="100"/>
    </w:pPr>
  </w:style>
  <w:style w:type="character" w:styleId="Hyperlink">
    <w:name w:val="Hyperlink"/>
    <w:basedOn w:val="DefaultParagraphFont"/>
    <w:uiPriority w:val="99"/>
    <w:unhideWhenUsed/>
    <w:rsid w:val="00EF6346"/>
    <w:rPr>
      <w:color w:val="0563C1" w:themeColor="hyperlink"/>
      <w:u w:val="single"/>
    </w:rPr>
  </w:style>
  <w:style w:type="paragraph" w:styleId="BalloonText">
    <w:name w:val="Balloon Text"/>
    <w:basedOn w:val="Normal"/>
    <w:link w:val="BalloonTextChar"/>
    <w:uiPriority w:val="99"/>
    <w:semiHidden/>
    <w:unhideWhenUsed/>
    <w:rsid w:val="00611D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D41"/>
    <w:rPr>
      <w:rFonts w:ascii="Tahoma" w:hAnsi="Tahoma" w:cs="Tahoma"/>
      <w:sz w:val="16"/>
      <w:szCs w:val="16"/>
    </w:rPr>
  </w:style>
  <w:style w:type="paragraph" w:styleId="BodyText">
    <w:name w:val="Body Text"/>
    <w:basedOn w:val="Normal"/>
    <w:link w:val="BodyTextChar"/>
    <w:rsid w:val="006866D7"/>
    <w:pPr>
      <w:suppressAutoHyphens/>
      <w:spacing w:after="0"/>
    </w:pPr>
    <w:rPr>
      <w:rFonts w:eastAsia="Calibri"/>
      <w:color w:val="000000"/>
      <w:szCs w:val="22"/>
      <w:lang w:val="en-GB" w:eastAsia="zh-CN"/>
    </w:rPr>
  </w:style>
  <w:style w:type="character" w:customStyle="1" w:styleId="BodyTextChar">
    <w:name w:val="Body Text Char"/>
    <w:basedOn w:val="DefaultParagraphFont"/>
    <w:link w:val="BodyText"/>
    <w:rsid w:val="006866D7"/>
    <w:rPr>
      <w:rFonts w:eastAsia="Calibri"/>
      <w:color w:val="000000"/>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4101">
      <w:bodyDiv w:val="1"/>
      <w:marLeft w:val="0"/>
      <w:marRight w:val="0"/>
      <w:marTop w:val="0"/>
      <w:marBottom w:val="0"/>
      <w:divBdr>
        <w:top w:val="none" w:sz="0" w:space="0" w:color="auto"/>
        <w:left w:val="none" w:sz="0" w:space="0" w:color="auto"/>
        <w:bottom w:val="none" w:sz="0" w:space="0" w:color="auto"/>
        <w:right w:val="none" w:sz="0" w:space="0" w:color="auto"/>
      </w:divBdr>
    </w:div>
    <w:div w:id="94904088">
      <w:bodyDiv w:val="1"/>
      <w:marLeft w:val="0"/>
      <w:marRight w:val="0"/>
      <w:marTop w:val="0"/>
      <w:marBottom w:val="0"/>
      <w:divBdr>
        <w:top w:val="none" w:sz="0" w:space="0" w:color="auto"/>
        <w:left w:val="none" w:sz="0" w:space="0" w:color="auto"/>
        <w:bottom w:val="none" w:sz="0" w:space="0" w:color="auto"/>
        <w:right w:val="none" w:sz="0" w:space="0" w:color="auto"/>
      </w:divBdr>
    </w:div>
    <w:div w:id="108089410">
      <w:bodyDiv w:val="1"/>
      <w:marLeft w:val="0"/>
      <w:marRight w:val="0"/>
      <w:marTop w:val="0"/>
      <w:marBottom w:val="0"/>
      <w:divBdr>
        <w:top w:val="none" w:sz="0" w:space="0" w:color="auto"/>
        <w:left w:val="none" w:sz="0" w:space="0" w:color="auto"/>
        <w:bottom w:val="none" w:sz="0" w:space="0" w:color="auto"/>
        <w:right w:val="none" w:sz="0" w:space="0" w:color="auto"/>
      </w:divBdr>
    </w:div>
    <w:div w:id="614943626">
      <w:bodyDiv w:val="1"/>
      <w:marLeft w:val="0"/>
      <w:marRight w:val="0"/>
      <w:marTop w:val="0"/>
      <w:marBottom w:val="0"/>
      <w:divBdr>
        <w:top w:val="none" w:sz="0" w:space="0" w:color="auto"/>
        <w:left w:val="none" w:sz="0" w:space="0" w:color="auto"/>
        <w:bottom w:val="none" w:sz="0" w:space="0" w:color="auto"/>
        <w:right w:val="none" w:sz="0" w:space="0" w:color="auto"/>
      </w:divBdr>
    </w:div>
    <w:div w:id="778643998">
      <w:bodyDiv w:val="1"/>
      <w:marLeft w:val="0"/>
      <w:marRight w:val="0"/>
      <w:marTop w:val="0"/>
      <w:marBottom w:val="0"/>
      <w:divBdr>
        <w:top w:val="none" w:sz="0" w:space="0" w:color="auto"/>
        <w:left w:val="none" w:sz="0" w:space="0" w:color="auto"/>
        <w:bottom w:val="none" w:sz="0" w:space="0" w:color="auto"/>
        <w:right w:val="none" w:sz="0" w:space="0" w:color="auto"/>
      </w:divBdr>
    </w:div>
    <w:div w:id="824080496">
      <w:bodyDiv w:val="1"/>
      <w:marLeft w:val="0"/>
      <w:marRight w:val="0"/>
      <w:marTop w:val="0"/>
      <w:marBottom w:val="0"/>
      <w:divBdr>
        <w:top w:val="none" w:sz="0" w:space="0" w:color="auto"/>
        <w:left w:val="none" w:sz="0" w:space="0" w:color="auto"/>
        <w:bottom w:val="none" w:sz="0" w:space="0" w:color="auto"/>
        <w:right w:val="none" w:sz="0" w:space="0" w:color="auto"/>
      </w:divBdr>
    </w:div>
    <w:div w:id="890920790">
      <w:bodyDiv w:val="1"/>
      <w:marLeft w:val="0"/>
      <w:marRight w:val="0"/>
      <w:marTop w:val="0"/>
      <w:marBottom w:val="0"/>
      <w:divBdr>
        <w:top w:val="none" w:sz="0" w:space="0" w:color="auto"/>
        <w:left w:val="none" w:sz="0" w:space="0" w:color="auto"/>
        <w:bottom w:val="none" w:sz="0" w:space="0" w:color="auto"/>
        <w:right w:val="none" w:sz="0" w:space="0" w:color="auto"/>
      </w:divBdr>
    </w:div>
    <w:div w:id="1356692331">
      <w:bodyDiv w:val="1"/>
      <w:marLeft w:val="0"/>
      <w:marRight w:val="0"/>
      <w:marTop w:val="0"/>
      <w:marBottom w:val="0"/>
      <w:divBdr>
        <w:top w:val="none" w:sz="0" w:space="0" w:color="auto"/>
        <w:left w:val="none" w:sz="0" w:space="0" w:color="auto"/>
        <w:bottom w:val="none" w:sz="0" w:space="0" w:color="auto"/>
        <w:right w:val="none" w:sz="0" w:space="0" w:color="auto"/>
      </w:divBdr>
    </w:div>
    <w:div w:id="1467311695">
      <w:bodyDiv w:val="1"/>
      <w:marLeft w:val="0"/>
      <w:marRight w:val="0"/>
      <w:marTop w:val="0"/>
      <w:marBottom w:val="0"/>
      <w:divBdr>
        <w:top w:val="none" w:sz="0" w:space="0" w:color="auto"/>
        <w:left w:val="none" w:sz="0" w:space="0" w:color="auto"/>
        <w:bottom w:val="none" w:sz="0" w:space="0" w:color="auto"/>
        <w:right w:val="none" w:sz="0" w:space="0" w:color="auto"/>
      </w:divBdr>
    </w:div>
    <w:div w:id="1583292435">
      <w:bodyDiv w:val="1"/>
      <w:marLeft w:val="0"/>
      <w:marRight w:val="0"/>
      <w:marTop w:val="0"/>
      <w:marBottom w:val="0"/>
      <w:divBdr>
        <w:top w:val="none" w:sz="0" w:space="0" w:color="auto"/>
        <w:left w:val="none" w:sz="0" w:space="0" w:color="auto"/>
        <w:bottom w:val="none" w:sz="0" w:space="0" w:color="auto"/>
        <w:right w:val="none" w:sz="0" w:space="0" w:color="auto"/>
      </w:divBdr>
    </w:div>
    <w:div w:id="1957133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E1E16-26E4-4FB9-AAB6-97D174E42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13</Pages>
  <Words>3051</Words>
  <Characters>17394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DESKTOP</dc:creator>
  <cp:keywords/>
  <dc:description/>
  <cp:lastModifiedBy>sandu bumbuc</cp:lastModifiedBy>
  <cp:revision>24</cp:revision>
  <dcterms:created xsi:type="dcterms:W3CDTF">2021-07-06T16:37:00Z</dcterms:created>
  <dcterms:modified xsi:type="dcterms:W3CDTF">2021-07-07T07:13:00Z</dcterms:modified>
</cp:coreProperties>
</file>