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61A2" w:rsidRDefault="002D5962">
      <w:pPr>
        <w:spacing w:before="200" w:after="200"/>
        <w:jc w:val="center"/>
      </w:pPr>
      <w:r>
        <w:rPr>
          <w:noProof/>
        </w:rPr>
        <w:drawing>
          <wp:inline distT="0" distB="0" distL="0" distR="0">
            <wp:extent cx="1714500" cy="685800"/>
            <wp:effectExtent l="0" t="0" r="0" b="0"/>
            <wp:docPr id="1" name="logo" descr="University of Wales Trinity Saint David logo" title="Universit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1714500" cy="685800"/>
                    </a:xfrm>
                    <a:prstGeom prst="rect">
                      <a:avLst/>
                    </a:prstGeom>
                  </pic:spPr>
                </pic:pic>
              </a:graphicData>
            </a:graphic>
          </wp:inline>
        </w:drawing>
      </w:r>
    </w:p>
    <w:p w:rsidR="00BE61A2" w:rsidRDefault="00BF562C">
      <w:pPr>
        <w:spacing w:before="200" w:after="60" w:line="360" w:lineRule="auto"/>
        <w:jc w:val="center"/>
      </w:pPr>
      <w:r>
        <w:rPr>
          <w:rFonts w:cs="Arial"/>
          <w:b/>
          <w:bCs/>
          <w:color w:val="1F3864"/>
        </w:rPr>
        <w:t>University of Wales Trinity Saint David</w:t>
      </w:r>
    </w:p>
    <w:p w:rsidR="00BE61A2" w:rsidRDefault="00BF562C">
      <w:pPr>
        <w:spacing w:before="60" w:after="60" w:line="360" w:lineRule="auto"/>
        <w:jc w:val="center"/>
      </w:pPr>
      <w:r>
        <w:rPr>
          <w:rFonts w:cs="Arial"/>
          <w:color w:val="595959"/>
        </w:rPr>
        <w:t>(</w:t>
      </w:r>
      <w:r w:rsidR="002D5962">
        <w:rPr>
          <w:rFonts w:cs="Arial"/>
          <w:color w:val="595959"/>
        </w:rPr>
        <w:t>Birmingham</w:t>
      </w:r>
      <w:r>
        <w:rPr>
          <w:rFonts w:cs="Arial"/>
          <w:color w:val="595959"/>
        </w:rPr>
        <w:t>)</w:t>
      </w:r>
    </w:p>
    <w:p w:rsidR="00BE61A2" w:rsidRDefault="00BE61A2">
      <w:pPr>
        <w:pBdr>
          <w:bottom w:val="single" w:sz="12" w:space="1" w:color="C9A227"/>
        </w:pBdr>
        <w:spacing w:before="120" w:after="120"/>
      </w:pPr>
    </w:p>
    <w:p w:rsidR="00BE61A2" w:rsidRPr="00714738" w:rsidRDefault="00BF562C">
      <w:pPr>
        <w:spacing w:before="240" w:after="60" w:line="360" w:lineRule="auto"/>
        <w:jc w:val="center"/>
        <w:rPr>
          <w:sz w:val="28"/>
          <w:szCs w:val="28"/>
        </w:rPr>
      </w:pPr>
      <w:r>
        <w:rPr>
          <w:rFonts w:cs="Arial"/>
          <w:b/>
          <w:bCs/>
          <w:color w:val="2E5496"/>
          <w:sz w:val="28"/>
          <w:szCs w:val="28"/>
        </w:rPr>
        <w:t>MBA INTERNATIONAL BUSINESS</w:t>
      </w:r>
    </w:p>
    <w:p w:rsidR="00BE61A2" w:rsidRPr="00714738" w:rsidRDefault="002D5962">
      <w:pPr>
        <w:spacing w:before="60" w:after="60" w:line="360" w:lineRule="auto"/>
        <w:jc w:val="center"/>
        <w:rPr>
          <w:sz w:val="28"/>
          <w:szCs w:val="28"/>
        </w:rPr>
      </w:pPr>
      <w:r w:rsidRPr="00714738">
        <w:rPr>
          <w:rFonts w:cs="Arial"/>
          <w:color w:val="595959"/>
          <w:sz w:val="28"/>
          <w:szCs w:val="28"/>
        </w:rPr>
        <w:t>Hu</w:t>
      </w:r>
      <w:r w:rsidR="00BF562C">
        <w:rPr>
          <w:rFonts w:cs="Arial"/>
          <w:color w:val="595959"/>
          <w:sz w:val="28"/>
          <w:szCs w:val="28"/>
        </w:rPr>
        <w:t>man-Capital Management (</w:t>
      </w:r>
      <w:r w:rsidRPr="00714738">
        <w:rPr>
          <w:rFonts w:cs="Arial"/>
          <w:color w:val="595959"/>
          <w:sz w:val="28"/>
          <w:szCs w:val="28"/>
        </w:rPr>
        <w:t>LCMB7023</w:t>
      </w:r>
      <w:r w:rsidR="00BF562C">
        <w:rPr>
          <w:rFonts w:cs="Arial"/>
          <w:color w:val="595959"/>
          <w:sz w:val="28"/>
          <w:szCs w:val="28"/>
        </w:rPr>
        <w:t>)</w:t>
      </w:r>
    </w:p>
    <w:p w:rsidR="00BE61A2" w:rsidRPr="00714738" w:rsidRDefault="002D5962">
      <w:pPr>
        <w:spacing w:before="300" w:after="60" w:line="360" w:lineRule="auto"/>
        <w:jc w:val="center"/>
        <w:rPr>
          <w:sz w:val="28"/>
          <w:szCs w:val="28"/>
        </w:rPr>
      </w:pPr>
      <w:r w:rsidRPr="00714738">
        <w:rPr>
          <w:rFonts w:cs="Arial"/>
          <w:b/>
          <w:bCs/>
          <w:color w:val="2E5496"/>
          <w:sz w:val="28"/>
          <w:szCs w:val="28"/>
        </w:rPr>
        <w:t>Assessment Component 1: Individual Report</w:t>
      </w:r>
    </w:p>
    <w:p w:rsidR="00BE61A2" w:rsidRDefault="00714738" w:rsidP="00714738">
      <w:pPr>
        <w:spacing w:after="360"/>
        <w:jc w:val="center"/>
      </w:pPr>
      <w:r>
        <w:rPr>
          <w:rFonts w:cs="Arial"/>
          <w:b/>
          <w:bCs/>
          <w:sz w:val="28"/>
          <w:szCs w:val="28"/>
        </w:rPr>
        <w:t>Innovating New Working Practices and Breeding an Environment Where Talent May Grow</w:t>
      </w:r>
    </w:p>
    <w:tbl>
      <w:tblPr>
        <w:tblW w:w="68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723"/>
        <w:gridCol w:w="4084"/>
      </w:tblGrid>
      <w:tr w:rsidR="00BE61A2">
        <w:trPr>
          <w:trHeight w:val="600"/>
          <w:jc w:val="center"/>
        </w:trPr>
        <w:tc>
          <w:tcPr>
            <w:tcW w:w="2723" w:type="dxa"/>
            <w:tcBorders>
              <w:top w:val="single" w:sz="2" w:space="0" w:color="AAAAAA"/>
              <w:left w:val="single" w:sz="2" w:space="0" w:color="AAAAAA"/>
              <w:bottom w:val="single" w:sz="2" w:space="0" w:color="AAAAAA"/>
              <w:right w:val="single" w:sz="2" w:space="0" w:color="AAAAAA"/>
            </w:tcBorders>
            <w:shd w:val="clear" w:color="auto" w:fill="E8EEF7"/>
            <w:tcMar>
              <w:top w:w="80" w:type="dxa"/>
              <w:left w:w="120" w:type="dxa"/>
              <w:bottom w:w="80" w:type="dxa"/>
              <w:right w:w="120" w:type="dxa"/>
            </w:tcMar>
            <w:vAlign w:val="center"/>
          </w:tcPr>
          <w:p w:rsidR="00BE61A2" w:rsidRDefault="002D5962">
            <w:r>
              <w:rPr>
                <w:rFonts w:cs="Arial"/>
                <w:b/>
                <w:bCs/>
                <w:sz w:val="22"/>
                <w:szCs w:val="22"/>
              </w:rPr>
              <w:t>Student Name:</w:t>
            </w:r>
          </w:p>
        </w:tc>
        <w:tc>
          <w:tcPr>
            <w:tcW w:w="4084" w:type="dxa"/>
            <w:tcBorders>
              <w:top w:val="single" w:sz="2" w:space="0" w:color="AAAAAA"/>
              <w:left w:val="single" w:sz="2" w:space="0" w:color="AAAAAA"/>
              <w:bottom w:val="single" w:sz="2" w:space="0" w:color="AAAAAA"/>
              <w:right w:val="single" w:sz="2" w:space="0" w:color="AAAAAA"/>
            </w:tcBorders>
            <w:tcMar>
              <w:top w:w="80" w:type="dxa"/>
              <w:left w:w="120" w:type="dxa"/>
              <w:bottom w:w="80" w:type="dxa"/>
              <w:right w:w="120" w:type="dxa"/>
            </w:tcMar>
            <w:vAlign w:val="center"/>
          </w:tcPr>
          <w:p w:rsidR="00BE61A2" w:rsidRDefault="00F220A2">
            <w:r>
              <w:rPr>
                <w:rFonts w:cs="Arial"/>
                <w:sz w:val="22"/>
                <w:szCs w:val="22"/>
              </w:rPr>
              <w:t>Hetvi</w:t>
            </w:r>
            <w:r w:rsidR="002D5962">
              <w:rPr>
                <w:rFonts w:cs="Arial"/>
                <w:sz w:val="22"/>
                <w:szCs w:val="22"/>
              </w:rPr>
              <w:t xml:space="preserve"> Patel</w:t>
            </w:r>
          </w:p>
        </w:tc>
      </w:tr>
      <w:tr w:rsidR="00BE61A2">
        <w:trPr>
          <w:trHeight w:val="600"/>
          <w:jc w:val="center"/>
        </w:trPr>
        <w:tc>
          <w:tcPr>
            <w:tcW w:w="2723" w:type="dxa"/>
            <w:tcBorders>
              <w:top w:val="single" w:sz="2" w:space="0" w:color="AAAAAA"/>
              <w:left w:val="single" w:sz="2" w:space="0" w:color="AAAAAA"/>
              <w:bottom w:val="single" w:sz="2" w:space="0" w:color="AAAAAA"/>
              <w:right w:val="single" w:sz="2" w:space="0" w:color="AAAAAA"/>
            </w:tcBorders>
            <w:shd w:val="clear" w:color="auto" w:fill="E8EEF7"/>
            <w:tcMar>
              <w:top w:w="80" w:type="dxa"/>
              <w:left w:w="120" w:type="dxa"/>
              <w:bottom w:w="80" w:type="dxa"/>
              <w:right w:w="120" w:type="dxa"/>
            </w:tcMar>
            <w:vAlign w:val="center"/>
          </w:tcPr>
          <w:p w:rsidR="00BE61A2" w:rsidRDefault="00BF562C" w:rsidP="00BF562C">
            <w:r>
              <w:rPr>
                <w:rFonts w:cs="Arial"/>
                <w:b/>
                <w:bCs/>
                <w:sz w:val="22"/>
                <w:szCs w:val="22"/>
              </w:rPr>
              <w:t>Student ID</w:t>
            </w:r>
            <w:r w:rsidR="002D5962">
              <w:rPr>
                <w:rFonts w:cs="Arial"/>
                <w:b/>
                <w:bCs/>
                <w:sz w:val="22"/>
                <w:szCs w:val="22"/>
              </w:rPr>
              <w:t>:</w:t>
            </w:r>
          </w:p>
        </w:tc>
        <w:tc>
          <w:tcPr>
            <w:tcW w:w="4084" w:type="dxa"/>
            <w:tcBorders>
              <w:top w:val="single" w:sz="2" w:space="0" w:color="AAAAAA"/>
              <w:left w:val="single" w:sz="2" w:space="0" w:color="AAAAAA"/>
              <w:bottom w:val="single" w:sz="2" w:space="0" w:color="AAAAAA"/>
              <w:right w:val="single" w:sz="2" w:space="0" w:color="AAAAAA"/>
            </w:tcBorders>
            <w:tcMar>
              <w:top w:w="80" w:type="dxa"/>
              <w:left w:w="120" w:type="dxa"/>
              <w:bottom w:w="80" w:type="dxa"/>
              <w:right w:w="120" w:type="dxa"/>
            </w:tcMar>
            <w:vAlign w:val="center"/>
          </w:tcPr>
          <w:p w:rsidR="00BE61A2" w:rsidRDefault="00F220A2">
            <w:r>
              <w:rPr>
                <w:rFonts w:cs="Arial"/>
                <w:sz w:val="22"/>
                <w:szCs w:val="22"/>
              </w:rPr>
              <w:t>2520131</w:t>
            </w:r>
          </w:p>
        </w:tc>
      </w:tr>
      <w:tr w:rsidR="00BE61A2">
        <w:trPr>
          <w:trHeight w:val="600"/>
          <w:jc w:val="center"/>
        </w:trPr>
        <w:tc>
          <w:tcPr>
            <w:tcW w:w="2723" w:type="dxa"/>
            <w:tcBorders>
              <w:top w:val="single" w:sz="2" w:space="0" w:color="AAAAAA"/>
              <w:left w:val="single" w:sz="2" w:space="0" w:color="AAAAAA"/>
              <w:bottom w:val="single" w:sz="2" w:space="0" w:color="AAAAAA"/>
              <w:right w:val="single" w:sz="2" w:space="0" w:color="AAAAAA"/>
            </w:tcBorders>
            <w:shd w:val="clear" w:color="auto" w:fill="E8EEF7"/>
            <w:tcMar>
              <w:top w:w="80" w:type="dxa"/>
              <w:left w:w="120" w:type="dxa"/>
              <w:bottom w:w="80" w:type="dxa"/>
              <w:right w:w="120" w:type="dxa"/>
            </w:tcMar>
            <w:vAlign w:val="center"/>
          </w:tcPr>
          <w:p w:rsidR="00BE61A2" w:rsidRDefault="002D5962">
            <w:r>
              <w:rPr>
                <w:rFonts w:cs="Arial"/>
                <w:b/>
                <w:bCs/>
                <w:sz w:val="22"/>
                <w:szCs w:val="22"/>
              </w:rPr>
              <w:t>Programme:</w:t>
            </w:r>
          </w:p>
        </w:tc>
        <w:tc>
          <w:tcPr>
            <w:tcW w:w="4084" w:type="dxa"/>
            <w:tcBorders>
              <w:top w:val="single" w:sz="2" w:space="0" w:color="AAAAAA"/>
              <w:left w:val="single" w:sz="2" w:space="0" w:color="AAAAAA"/>
              <w:bottom w:val="single" w:sz="2" w:space="0" w:color="AAAAAA"/>
              <w:right w:val="single" w:sz="2" w:space="0" w:color="AAAAAA"/>
            </w:tcBorders>
            <w:tcMar>
              <w:top w:w="80" w:type="dxa"/>
              <w:left w:w="120" w:type="dxa"/>
              <w:bottom w:w="80" w:type="dxa"/>
              <w:right w:w="120" w:type="dxa"/>
            </w:tcMar>
            <w:vAlign w:val="center"/>
          </w:tcPr>
          <w:p w:rsidR="00BE61A2" w:rsidRDefault="002D5962">
            <w:r>
              <w:rPr>
                <w:rFonts w:cs="Arial"/>
                <w:sz w:val="22"/>
                <w:szCs w:val="22"/>
              </w:rPr>
              <w:t>M</w:t>
            </w:r>
            <w:r w:rsidR="00BF562C">
              <w:rPr>
                <w:rFonts w:cs="Arial"/>
                <w:sz w:val="22"/>
                <w:szCs w:val="22"/>
              </w:rPr>
              <w:t>BA International Business</w:t>
            </w:r>
          </w:p>
        </w:tc>
      </w:tr>
      <w:tr w:rsidR="00BE61A2">
        <w:trPr>
          <w:trHeight w:val="600"/>
          <w:jc w:val="center"/>
        </w:trPr>
        <w:tc>
          <w:tcPr>
            <w:tcW w:w="2723" w:type="dxa"/>
            <w:tcBorders>
              <w:top w:val="single" w:sz="2" w:space="0" w:color="AAAAAA"/>
              <w:left w:val="single" w:sz="2" w:space="0" w:color="AAAAAA"/>
              <w:bottom w:val="single" w:sz="2" w:space="0" w:color="AAAAAA"/>
              <w:right w:val="single" w:sz="2" w:space="0" w:color="AAAAAA"/>
            </w:tcBorders>
            <w:shd w:val="clear" w:color="auto" w:fill="E8EEF7"/>
            <w:tcMar>
              <w:top w:w="80" w:type="dxa"/>
              <w:left w:w="120" w:type="dxa"/>
              <w:bottom w:w="80" w:type="dxa"/>
              <w:right w:w="120" w:type="dxa"/>
            </w:tcMar>
            <w:vAlign w:val="center"/>
          </w:tcPr>
          <w:p w:rsidR="00BE61A2" w:rsidRDefault="002D5962">
            <w:r>
              <w:rPr>
                <w:rFonts w:cs="Arial"/>
                <w:b/>
                <w:bCs/>
                <w:sz w:val="22"/>
                <w:szCs w:val="22"/>
              </w:rPr>
              <w:t>Module:</w:t>
            </w:r>
          </w:p>
        </w:tc>
        <w:tc>
          <w:tcPr>
            <w:tcW w:w="4084" w:type="dxa"/>
            <w:tcBorders>
              <w:top w:val="single" w:sz="2" w:space="0" w:color="AAAAAA"/>
              <w:left w:val="single" w:sz="2" w:space="0" w:color="AAAAAA"/>
              <w:bottom w:val="single" w:sz="2" w:space="0" w:color="AAAAAA"/>
              <w:right w:val="single" w:sz="2" w:space="0" w:color="AAAAAA"/>
            </w:tcBorders>
            <w:tcMar>
              <w:top w:w="80" w:type="dxa"/>
              <w:left w:w="120" w:type="dxa"/>
              <w:bottom w:w="80" w:type="dxa"/>
              <w:right w:w="120" w:type="dxa"/>
            </w:tcMar>
            <w:vAlign w:val="center"/>
          </w:tcPr>
          <w:p w:rsidR="00BE61A2" w:rsidRDefault="002D5962">
            <w:r>
              <w:rPr>
                <w:rFonts w:cs="Arial"/>
                <w:sz w:val="22"/>
                <w:szCs w:val="22"/>
              </w:rPr>
              <w:t>Human Capital Management</w:t>
            </w:r>
          </w:p>
        </w:tc>
      </w:tr>
      <w:tr w:rsidR="00BE61A2">
        <w:trPr>
          <w:trHeight w:val="600"/>
          <w:jc w:val="center"/>
        </w:trPr>
        <w:tc>
          <w:tcPr>
            <w:tcW w:w="2723" w:type="dxa"/>
            <w:tcBorders>
              <w:top w:val="single" w:sz="2" w:space="0" w:color="AAAAAA"/>
              <w:left w:val="single" w:sz="2" w:space="0" w:color="AAAAAA"/>
              <w:bottom w:val="single" w:sz="2" w:space="0" w:color="AAAAAA"/>
              <w:right w:val="single" w:sz="2" w:space="0" w:color="AAAAAA"/>
            </w:tcBorders>
            <w:shd w:val="clear" w:color="auto" w:fill="E8EEF7"/>
            <w:tcMar>
              <w:top w:w="80" w:type="dxa"/>
              <w:left w:w="120" w:type="dxa"/>
              <w:bottom w:w="80" w:type="dxa"/>
              <w:right w:w="120" w:type="dxa"/>
            </w:tcMar>
            <w:vAlign w:val="center"/>
          </w:tcPr>
          <w:p w:rsidR="00BE61A2" w:rsidRDefault="002D5962">
            <w:r>
              <w:rPr>
                <w:rFonts w:cs="Arial"/>
                <w:b/>
                <w:bCs/>
                <w:sz w:val="22"/>
                <w:szCs w:val="22"/>
              </w:rPr>
              <w:t>Lecturer:</w:t>
            </w:r>
          </w:p>
        </w:tc>
        <w:tc>
          <w:tcPr>
            <w:tcW w:w="4084" w:type="dxa"/>
            <w:tcBorders>
              <w:top w:val="single" w:sz="2" w:space="0" w:color="AAAAAA"/>
              <w:left w:val="single" w:sz="2" w:space="0" w:color="AAAAAA"/>
              <w:bottom w:val="single" w:sz="2" w:space="0" w:color="AAAAAA"/>
              <w:right w:val="single" w:sz="2" w:space="0" w:color="AAAAAA"/>
            </w:tcBorders>
            <w:tcMar>
              <w:top w:w="80" w:type="dxa"/>
              <w:left w:w="120" w:type="dxa"/>
              <w:bottom w:w="80" w:type="dxa"/>
              <w:right w:w="120" w:type="dxa"/>
            </w:tcMar>
            <w:vAlign w:val="center"/>
          </w:tcPr>
          <w:p w:rsidR="00BE61A2" w:rsidRDefault="002E7B18">
            <w:r>
              <w:rPr>
                <w:rFonts w:cs="Arial"/>
                <w:sz w:val="22"/>
                <w:szCs w:val="22"/>
              </w:rPr>
              <w:t xml:space="preserve">Dr </w:t>
            </w:r>
            <w:proofErr w:type="spellStart"/>
            <w:r>
              <w:rPr>
                <w:rFonts w:cs="Arial"/>
                <w:sz w:val="22"/>
                <w:szCs w:val="22"/>
              </w:rPr>
              <w:t>Eno</w:t>
            </w:r>
            <w:proofErr w:type="spellEnd"/>
            <w:r>
              <w:rPr>
                <w:rFonts w:cs="Arial"/>
                <w:sz w:val="22"/>
                <w:szCs w:val="22"/>
              </w:rPr>
              <w:t xml:space="preserve"> </w:t>
            </w:r>
            <w:proofErr w:type="spellStart"/>
            <w:r>
              <w:rPr>
                <w:rFonts w:cs="Arial"/>
                <w:sz w:val="22"/>
                <w:szCs w:val="22"/>
              </w:rPr>
              <w:t>Maycock</w:t>
            </w:r>
            <w:proofErr w:type="spellEnd"/>
          </w:p>
        </w:tc>
      </w:tr>
      <w:tr w:rsidR="00BE61A2">
        <w:trPr>
          <w:trHeight w:val="600"/>
          <w:jc w:val="center"/>
        </w:trPr>
        <w:tc>
          <w:tcPr>
            <w:tcW w:w="2723" w:type="dxa"/>
            <w:tcBorders>
              <w:top w:val="single" w:sz="2" w:space="0" w:color="AAAAAA"/>
              <w:left w:val="single" w:sz="2" w:space="0" w:color="AAAAAA"/>
              <w:bottom w:val="single" w:sz="2" w:space="0" w:color="AAAAAA"/>
              <w:right w:val="single" w:sz="2" w:space="0" w:color="AAAAAA"/>
            </w:tcBorders>
            <w:shd w:val="clear" w:color="auto" w:fill="E8EEF7"/>
            <w:tcMar>
              <w:top w:w="80" w:type="dxa"/>
              <w:left w:w="120" w:type="dxa"/>
              <w:bottom w:w="80" w:type="dxa"/>
              <w:right w:w="120" w:type="dxa"/>
            </w:tcMar>
            <w:vAlign w:val="center"/>
          </w:tcPr>
          <w:p w:rsidR="00BE61A2" w:rsidRDefault="002D5962">
            <w:r>
              <w:rPr>
                <w:rFonts w:cs="Arial"/>
                <w:b/>
                <w:bCs/>
                <w:sz w:val="22"/>
                <w:szCs w:val="22"/>
              </w:rPr>
              <w:t>Word Count:</w:t>
            </w:r>
          </w:p>
        </w:tc>
        <w:tc>
          <w:tcPr>
            <w:tcW w:w="4084" w:type="dxa"/>
            <w:tcBorders>
              <w:top w:val="single" w:sz="2" w:space="0" w:color="AAAAAA"/>
              <w:left w:val="single" w:sz="2" w:space="0" w:color="AAAAAA"/>
              <w:bottom w:val="single" w:sz="2" w:space="0" w:color="AAAAAA"/>
              <w:right w:val="single" w:sz="2" w:space="0" w:color="AAAAAA"/>
            </w:tcBorders>
            <w:tcMar>
              <w:top w:w="80" w:type="dxa"/>
              <w:left w:w="120" w:type="dxa"/>
              <w:bottom w:w="80" w:type="dxa"/>
              <w:right w:w="120" w:type="dxa"/>
            </w:tcMar>
            <w:vAlign w:val="center"/>
          </w:tcPr>
          <w:p w:rsidR="00BE61A2" w:rsidRDefault="00EA7452">
            <w:r>
              <w:rPr>
                <w:rFonts w:cs="Arial"/>
                <w:sz w:val="22"/>
                <w:szCs w:val="22"/>
              </w:rPr>
              <w:t>2649</w:t>
            </w:r>
            <w:r w:rsidR="002D5962">
              <w:rPr>
                <w:rFonts w:cs="Arial"/>
                <w:sz w:val="22"/>
                <w:szCs w:val="22"/>
              </w:rPr>
              <w:t xml:space="preserve"> words</w:t>
            </w:r>
          </w:p>
        </w:tc>
      </w:tr>
      <w:tr w:rsidR="00BE61A2">
        <w:trPr>
          <w:trHeight w:val="600"/>
          <w:jc w:val="center"/>
        </w:trPr>
        <w:tc>
          <w:tcPr>
            <w:tcW w:w="2723" w:type="dxa"/>
            <w:tcBorders>
              <w:top w:val="single" w:sz="2" w:space="0" w:color="AAAAAA"/>
              <w:left w:val="single" w:sz="2" w:space="0" w:color="AAAAAA"/>
              <w:bottom w:val="single" w:sz="2" w:space="0" w:color="AAAAAA"/>
              <w:right w:val="single" w:sz="2" w:space="0" w:color="AAAAAA"/>
            </w:tcBorders>
            <w:shd w:val="clear" w:color="auto" w:fill="E8EEF7"/>
            <w:tcMar>
              <w:top w:w="80" w:type="dxa"/>
              <w:left w:w="120" w:type="dxa"/>
              <w:bottom w:w="80" w:type="dxa"/>
              <w:right w:w="120" w:type="dxa"/>
            </w:tcMar>
            <w:vAlign w:val="center"/>
          </w:tcPr>
          <w:p w:rsidR="00BE61A2" w:rsidRDefault="002D5962">
            <w:r>
              <w:rPr>
                <w:rFonts w:cs="Arial"/>
                <w:b/>
                <w:bCs/>
                <w:sz w:val="22"/>
                <w:szCs w:val="22"/>
              </w:rPr>
              <w:t>Submitted on:</w:t>
            </w:r>
          </w:p>
        </w:tc>
        <w:tc>
          <w:tcPr>
            <w:tcW w:w="4084" w:type="dxa"/>
            <w:tcBorders>
              <w:top w:val="single" w:sz="2" w:space="0" w:color="AAAAAA"/>
              <w:left w:val="single" w:sz="2" w:space="0" w:color="AAAAAA"/>
              <w:bottom w:val="single" w:sz="2" w:space="0" w:color="AAAAAA"/>
              <w:right w:val="single" w:sz="2" w:space="0" w:color="AAAAAA"/>
            </w:tcBorders>
            <w:tcMar>
              <w:top w:w="80" w:type="dxa"/>
              <w:left w:w="120" w:type="dxa"/>
              <w:bottom w:w="80" w:type="dxa"/>
              <w:right w:w="120" w:type="dxa"/>
            </w:tcMar>
            <w:vAlign w:val="center"/>
          </w:tcPr>
          <w:p w:rsidR="00BE61A2" w:rsidRDefault="00490B0E">
            <w:r>
              <w:rPr>
                <w:rFonts w:cs="Arial"/>
                <w:sz w:val="22"/>
                <w:szCs w:val="22"/>
              </w:rPr>
              <w:t>10</w:t>
            </w:r>
            <w:bookmarkStart w:id="0" w:name="_GoBack"/>
            <w:bookmarkEnd w:id="0"/>
            <w:r w:rsidR="0092407E">
              <w:rPr>
                <w:rFonts w:cs="Arial"/>
                <w:sz w:val="22"/>
                <w:szCs w:val="22"/>
              </w:rPr>
              <w:t>/1</w:t>
            </w:r>
            <w:r w:rsidR="005F6075">
              <w:rPr>
                <w:rFonts w:cs="Arial"/>
                <w:sz w:val="22"/>
                <w:szCs w:val="22"/>
              </w:rPr>
              <w:t>4</w:t>
            </w:r>
            <w:r w:rsidR="00BF562C">
              <w:rPr>
                <w:rFonts w:cs="Arial"/>
                <w:sz w:val="22"/>
                <w:szCs w:val="22"/>
              </w:rPr>
              <w:t xml:space="preserve">/2026 </w:t>
            </w:r>
          </w:p>
        </w:tc>
      </w:tr>
    </w:tbl>
    <w:p w:rsidR="00A84BF0" w:rsidRDefault="00A84BF0">
      <w:pPr>
        <w:pStyle w:val="TOCHeading"/>
      </w:pPr>
      <w:bookmarkStart w:id="1" w:name="abbr"/>
    </w:p>
    <w:p w:rsidR="00A84BF0" w:rsidRDefault="00A84BF0" w:rsidP="00A84BF0">
      <w:pPr>
        <w:rPr>
          <w:rFonts w:asciiTheme="majorHAnsi" w:eastAsiaTheme="majorEastAsia" w:hAnsiTheme="majorHAnsi" w:cstheme="majorBidi"/>
          <w:color w:val="2E74B5" w:themeColor="accent1" w:themeShade="BF"/>
          <w:sz w:val="32"/>
          <w:szCs w:val="32"/>
          <w:lang w:val="en-US" w:eastAsia="en-US" w:bidi="ar-SA"/>
        </w:rPr>
      </w:pPr>
      <w:r>
        <w:br w:type="page"/>
      </w:r>
    </w:p>
    <w:sdt>
      <w:sdtPr>
        <w:rPr>
          <w:rFonts w:ascii="Arial" w:eastAsia="Arial" w:hAnsi="Arial" w:cs="Arial"/>
          <w:color w:val="auto"/>
          <w:sz w:val="24"/>
          <w:szCs w:val="24"/>
          <w:lang w:val="en-IN" w:eastAsia="en-IN" w:bidi="gu-IN"/>
        </w:rPr>
        <w:id w:val="-764154615"/>
        <w:docPartObj>
          <w:docPartGallery w:val="Table of Contents"/>
          <w:docPartUnique/>
        </w:docPartObj>
      </w:sdtPr>
      <w:sdtEndPr>
        <w:rPr>
          <w:b/>
          <w:bCs/>
          <w:noProof/>
        </w:rPr>
      </w:sdtEndPr>
      <w:sdtContent>
        <w:p w:rsidR="00A84BF0" w:rsidRPr="007D2969" w:rsidRDefault="00A84BF0" w:rsidP="007D2969">
          <w:pPr>
            <w:pStyle w:val="TOCHeading"/>
            <w:spacing w:line="360" w:lineRule="auto"/>
            <w:rPr>
              <w:rFonts w:ascii="Arial" w:hAnsi="Arial" w:cs="Arial"/>
              <w:sz w:val="28"/>
              <w:szCs w:val="28"/>
            </w:rPr>
          </w:pPr>
          <w:r w:rsidRPr="007D2969">
            <w:rPr>
              <w:rFonts w:ascii="Arial" w:hAnsi="Arial" w:cs="Arial"/>
              <w:sz w:val="28"/>
              <w:szCs w:val="28"/>
            </w:rPr>
            <w:t>Table of Contents</w:t>
          </w:r>
        </w:p>
        <w:p w:rsidR="0092407E" w:rsidRPr="007D2969" w:rsidRDefault="00A84BF0" w:rsidP="007D2969">
          <w:pPr>
            <w:pStyle w:val="TOC1"/>
            <w:tabs>
              <w:tab w:val="right" w:leader="dot" w:pos="9736"/>
            </w:tabs>
            <w:spacing w:line="360" w:lineRule="auto"/>
            <w:rPr>
              <w:rFonts w:eastAsiaTheme="minorEastAsia" w:cs="Arial"/>
              <w:noProof/>
              <w:sz w:val="28"/>
              <w:szCs w:val="28"/>
            </w:rPr>
          </w:pPr>
          <w:r w:rsidRPr="007D2969">
            <w:rPr>
              <w:rFonts w:cs="Arial"/>
              <w:noProof/>
              <w:sz w:val="28"/>
              <w:szCs w:val="28"/>
            </w:rPr>
            <w:fldChar w:fldCharType="begin"/>
          </w:r>
          <w:r w:rsidRPr="007D2969">
            <w:rPr>
              <w:rFonts w:cs="Arial"/>
              <w:noProof/>
              <w:sz w:val="28"/>
              <w:szCs w:val="28"/>
            </w:rPr>
            <w:instrText xml:space="preserve"> TOC \o "1-3" \h \z \u </w:instrText>
          </w:r>
          <w:r w:rsidRPr="007D2969">
            <w:rPr>
              <w:rFonts w:cs="Arial"/>
              <w:noProof/>
              <w:sz w:val="28"/>
              <w:szCs w:val="28"/>
            </w:rPr>
            <w:fldChar w:fldCharType="separate"/>
          </w:r>
          <w:hyperlink w:anchor="_Toc242827549" w:history="1">
            <w:r w:rsidR="0092407E" w:rsidRPr="007D2969">
              <w:rPr>
                <w:rStyle w:val="Hyperlink"/>
                <w:rFonts w:cs="Arial"/>
                <w:noProof/>
                <w:sz w:val="28"/>
                <w:szCs w:val="28"/>
              </w:rPr>
              <w:t>Task A: Designing Innovative Working Practices</w:t>
            </w:r>
            <w:r w:rsidR="0092407E" w:rsidRPr="007D2969">
              <w:rPr>
                <w:rFonts w:cs="Arial"/>
                <w:noProof/>
                <w:webHidden/>
                <w:sz w:val="28"/>
                <w:szCs w:val="28"/>
              </w:rPr>
              <w:tab/>
            </w:r>
            <w:r w:rsidR="0092407E" w:rsidRPr="007D2969">
              <w:rPr>
                <w:rFonts w:cs="Arial"/>
                <w:noProof/>
                <w:webHidden/>
                <w:sz w:val="28"/>
                <w:szCs w:val="28"/>
              </w:rPr>
              <w:fldChar w:fldCharType="begin"/>
            </w:r>
            <w:r w:rsidR="0092407E" w:rsidRPr="007D2969">
              <w:rPr>
                <w:rFonts w:cs="Arial"/>
                <w:noProof/>
                <w:webHidden/>
                <w:sz w:val="28"/>
                <w:szCs w:val="28"/>
              </w:rPr>
              <w:instrText xml:space="preserve"> PAGEREF _Toc242827549 \h </w:instrText>
            </w:r>
            <w:r w:rsidR="0092407E" w:rsidRPr="007D2969">
              <w:rPr>
                <w:rFonts w:cs="Arial"/>
                <w:noProof/>
                <w:webHidden/>
                <w:sz w:val="28"/>
                <w:szCs w:val="28"/>
              </w:rPr>
            </w:r>
            <w:r w:rsidR="0092407E" w:rsidRPr="007D2969">
              <w:rPr>
                <w:rFonts w:cs="Arial"/>
                <w:noProof/>
                <w:webHidden/>
                <w:sz w:val="28"/>
                <w:szCs w:val="28"/>
              </w:rPr>
              <w:fldChar w:fldCharType="separate"/>
            </w:r>
            <w:r w:rsidR="007D2969">
              <w:rPr>
                <w:rFonts w:cs="Arial"/>
                <w:noProof/>
                <w:webHidden/>
                <w:sz w:val="28"/>
                <w:szCs w:val="28"/>
              </w:rPr>
              <w:t>6</w:t>
            </w:r>
            <w:r w:rsidR="0092407E" w:rsidRPr="007D2969">
              <w:rPr>
                <w:rFonts w:cs="Arial"/>
                <w:noProof/>
                <w:webHidden/>
                <w:sz w:val="28"/>
                <w:szCs w:val="28"/>
              </w:rPr>
              <w:fldChar w:fldCharType="end"/>
            </w:r>
          </w:hyperlink>
        </w:p>
        <w:p w:rsidR="0092407E" w:rsidRPr="007D2969" w:rsidRDefault="00153441" w:rsidP="007D2969">
          <w:pPr>
            <w:pStyle w:val="TOC2"/>
            <w:rPr>
              <w:rFonts w:eastAsiaTheme="minorEastAsia" w:cs="Arial"/>
              <w:noProof/>
              <w:sz w:val="28"/>
              <w:szCs w:val="28"/>
            </w:rPr>
          </w:pPr>
          <w:hyperlink w:anchor="_Toc242827550" w:history="1">
            <w:r w:rsidR="0092407E" w:rsidRPr="007D2969">
              <w:rPr>
                <w:rStyle w:val="Hyperlink"/>
                <w:rFonts w:cs="Arial"/>
                <w:noProof/>
                <w:sz w:val="28"/>
                <w:szCs w:val="28"/>
              </w:rPr>
              <w:t>1. Critical Evaluation: Traditional Work Design vs. Contemporary Innovative Working Practices</w:t>
            </w:r>
            <w:r w:rsidR="0092407E" w:rsidRPr="007D2969">
              <w:rPr>
                <w:rFonts w:cs="Arial"/>
                <w:noProof/>
                <w:webHidden/>
                <w:sz w:val="28"/>
                <w:szCs w:val="28"/>
              </w:rPr>
              <w:tab/>
            </w:r>
            <w:r w:rsidR="0092407E" w:rsidRPr="007D2969">
              <w:rPr>
                <w:rFonts w:cs="Arial"/>
                <w:noProof/>
                <w:webHidden/>
                <w:sz w:val="28"/>
                <w:szCs w:val="28"/>
              </w:rPr>
              <w:fldChar w:fldCharType="begin"/>
            </w:r>
            <w:r w:rsidR="0092407E" w:rsidRPr="007D2969">
              <w:rPr>
                <w:rFonts w:cs="Arial"/>
                <w:noProof/>
                <w:webHidden/>
                <w:sz w:val="28"/>
                <w:szCs w:val="28"/>
              </w:rPr>
              <w:instrText xml:space="preserve"> PAGEREF _Toc242827550 \h </w:instrText>
            </w:r>
            <w:r w:rsidR="0092407E" w:rsidRPr="007D2969">
              <w:rPr>
                <w:rFonts w:cs="Arial"/>
                <w:noProof/>
                <w:webHidden/>
                <w:sz w:val="28"/>
                <w:szCs w:val="28"/>
              </w:rPr>
            </w:r>
            <w:r w:rsidR="0092407E" w:rsidRPr="007D2969">
              <w:rPr>
                <w:rFonts w:cs="Arial"/>
                <w:noProof/>
                <w:webHidden/>
                <w:sz w:val="28"/>
                <w:szCs w:val="28"/>
              </w:rPr>
              <w:fldChar w:fldCharType="separate"/>
            </w:r>
            <w:r w:rsidR="007D2969">
              <w:rPr>
                <w:rFonts w:cs="Arial"/>
                <w:noProof/>
                <w:webHidden/>
                <w:sz w:val="28"/>
                <w:szCs w:val="28"/>
              </w:rPr>
              <w:t>6</w:t>
            </w:r>
            <w:r w:rsidR="0092407E" w:rsidRPr="007D2969">
              <w:rPr>
                <w:rFonts w:cs="Arial"/>
                <w:noProof/>
                <w:webHidden/>
                <w:sz w:val="28"/>
                <w:szCs w:val="28"/>
              </w:rPr>
              <w:fldChar w:fldCharType="end"/>
            </w:r>
          </w:hyperlink>
        </w:p>
        <w:p w:rsidR="0092407E" w:rsidRPr="007D2969" w:rsidRDefault="00153441" w:rsidP="007D2969">
          <w:pPr>
            <w:pStyle w:val="TOC2"/>
            <w:rPr>
              <w:rFonts w:eastAsiaTheme="minorEastAsia" w:cs="Arial"/>
              <w:noProof/>
              <w:sz w:val="28"/>
              <w:szCs w:val="28"/>
            </w:rPr>
          </w:pPr>
          <w:hyperlink w:anchor="_Toc242827551" w:history="1">
            <w:r w:rsidR="0092407E" w:rsidRPr="007D2969">
              <w:rPr>
                <w:rStyle w:val="Hyperlink"/>
                <w:rFonts w:cs="Arial"/>
                <w:noProof/>
                <w:sz w:val="28"/>
                <w:szCs w:val="28"/>
              </w:rPr>
              <w:t>2. Recommended Innovative Working Practices for NexSpace</w:t>
            </w:r>
            <w:r w:rsidR="0092407E" w:rsidRPr="007D2969">
              <w:rPr>
                <w:rFonts w:cs="Arial"/>
                <w:noProof/>
                <w:webHidden/>
                <w:sz w:val="28"/>
                <w:szCs w:val="28"/>
              </w:rPr>
              <w:tab/>
            </w:r>
            <w:r w:rsidR="0092407E" w:rsidRPr="007D2969">
              <w:rPr>
                <w:rFonts w:cs="Arial"/>
                <w:noProof/>
                <w:webHidden/>
                <w:sz w:val="28"/>
                <w:szCs w:val="28"/>
              </w:rPr>
              <w:fldChar w:fldCharType="begin"/>
            </w:r>
            <w:r w:rsidR="0092407E" w:rsidRPr="007D2969">
              <w:rPr>
                <w:rFonts w:cs="Arial"/>
                <w:noProof/>
                <w:webHidden/>
                <w:sz w:val="28"/>
                <w:szCs w:val="28"/>
              </w:rPr>
              <w:instrText xml:space="preserve"> PAGEREF _Toc242827551 \h </w:instrText>
            </w:r>
            <w:r w:rsidR="0092407E" w:rsidRPr="007D2969">
              <w:rPr>
                <w:rFonts w:cs="Arial"/>
                <w:noProof/>
                <w:webHidden/>
                <w:sz w:val="28"/>
                <w:szCs w:val="28"/>
              </w:rPr>
            </w:r>
            <w:r w:rsidR="0092407E" w:rsidRPr="007D2969">
              <w:rPr>
                <w:rFonts w:cs="Arial"/>
                <w:noProof/>
                <w:webHidden/>
                <w:sz w:val="28"/>
                <w:szCs w:val="28"/>
              </w:rPr>
              <w:fldChar w:fldCharType="separate"/>
            </w:r>
            <w:r w:rsidR="007D2969">
              <w:rPr>
                <w:rFonts w:cs="Arial"/>
                <w:noProof/>
                <w:webHidden/>
                <w:sz w:val="28"/>
                <w:szCs w:val="28"/>
              </w:rPr>
              <w:t>9</w:t>
            </w:r>
            <w:r w:rsidR="0092407E" w:rsidRPr="007D2969">
              <w:rPr>
                <w:rFonts w:cs="Arial"/>
                <w:noProof/>
                <w:webHidden/>
                <w:sz w:val="28"/>
                <w:szCs w:val="28"/>
              </w:rPr>
              <w:fldChar w:fldCharType="end"/>
            </w:r>
          </w:hyperlink>
        </w:p>
        <w:p w:rsidR="0092407E" w:rsidRPr="007D2969" w:rsidRDefault="00153441" w:rsidP="007D2969">
          <w:pPr>
            <w:pStyle w:val="TOC3"/>
            <w:tabs>
              <w:tab w:val="right" w:leader="dot" w:pos="9736"/>
            </w:tabs>
            <w:spacing w:line="360" w:lineRule="auto"/>
            <w:rPr>
              <w:rFonts w:eastAsiaTheme="minorEastAsia" w:cs="Arial"/>
              <w:noProof/>
              <w:sz w:val="28"/>
              <w:szCs w:val="28"/>
            </w:rPr>
          </w:pPr>
          <w:hyperlink w:anchor="_Toc242827552" w:history="1">
            <w:r w:rsidR="0092407E" w:rsidRPr="007D2969">
              <w:rPr>
                <w:rStyle w:val="Hyperlink"/>
                <w:rFonts w:cs="Arial"/>
                <w:noProof/>
                <w:sz w:val="28"/>
                <w:szCs w:val="28"/>
              </w:rPr>
              <w:t>Pillar 1: Flexible Working</w:t>
            </w:r>
            <w:r w:rsidR="0092407E" w:rsidRPr="007D2969">
              <w:rPr>
                <w:rFonts w:cs="Arial"/>
                <w:noProof/>
                <w:webHidden/>
                <w:sz w:val="28"/>
                <w:szCs w:val="28"/>
              </w:rPr>
              <w:tab/>
            </w:r>
            <w:r w:rsidR="0092407E" w:rsidRPr="007D2969">
              <w:rPr>
                <w:rFonts w:cs="Arial"/>
                <w:noProof/>
                <w:webHidden/>
                <w:sz w:val="28"/>
                <w:szCs w:val="28"/>
              </w:rPr>
              <w:fldChar w:fldCharType="begin"/>
            </w:r>
            <w:r w:rsidR="0092407E" w:rsidRPr="007D2969">
              <w:rPr>
                <w:rFonts w:cs="Arial"/>
                <w:noProof/>
                <w:webHidden/>
                <w:sz w:val="28"/>
                <w:szCs w:val="28"/>
              </w:rPr>
              <w:instrText xml:space="preserve"> PAGEREF _Toc242827552 \h </w:instrText>
            </w:r>
            <w:r w:rsidR="0092407E" w:rsidRPr="007D2969">
              <w:rPr>
                <w:rFonts w:cs="Arial"/>
                <w:noProof/>
                <w:webHidden/>
                <w:sz w:val="28"/>
                <w:szCs w:val="28"/>
              </w:rPr>
            </w:r>
            <w:r w:rsidR="0092407E" w:rsidRPr="007D2969">
              <w:rPr>
                <w:rFonts w:cs="Arial"/>
                <w:noProof/>
                <w:webHidden/>
                <w:sz w:val="28"/>
                <w:szCs w:val="28"/>
              </w:rPr>
              <w:fldChar w:fldCharType="separate"/>
            </w:r>
            <w:r w:rsidR="007D2969">
              <w:rPr>
                <w:rFonts w:cs="Arial"/>
                <w:noProof/>
                <w:webHidden/>
                <w:sz w:val="28"/>
                <w:szCs w:val="28"/>
              </w:rPr>
              <w:t>9</w:t>
            </w:r>
            <w:r w:rsidR="0092407E" w:rsidRPr="007D2969">
              <w:rPr>
                <w:rFonts w:cs="Arial"/>
                <w:noProof/>
                <w:webHidden/>
                <w:sz w:val="28"/>
                <w:szCs w:val="28"/>
              </w:rPr>
              <w:fldChar w:fldCharType="end"/>
            </w:r>
          </w:hyperlink>
        </w:p>
        <w:p w:rsidR="0092407E" w:rsidRPr="007D2969" w:rsidRDefault="00153441" w:rsidP="007D2969">
          <w:pPr>
            <w:pStyle w:val="TOC3"/>
            <w:tabs>
              <w:tab w:val="right" w:leader="dot" w:pos="9736"/>
            </w:tabs>
            <w:spacing w:line="360" w:lineRule="auto"/>
            <w:rPr>
              <w:rFonts w:eastAsiaTheme="minorEastAsia" w:cs="Arial"/>
              <w:noProof/>
              <w:sz w:val="28"/>
              <w:szCs w:val="28"/>
            </w:rPr>
          </w:pPr>
          <w:hyperlink w:anchor="_Toc242827553" w:history="1">
            <w:r w:rsidR="0092407E" w:rsidRPr="007D2969">
              <w:rPr>
                <w:rStyle w:val="Hyperlink"/>
                <w:rFonts w:cs="Arial"/>
                <w:noProof/>
                <w:sz w:val="28"/>
                <w:szCs w:val="28"/>
              </w:rPr>
              <w:t>Pillar 2: Cross-Functional Agile Teams</w:t>
            </w:r>
            <w:r w:rsidR="0092407E" w:rsidRPr="007D2969">
              <w:rPr>
                <w:rFonts w:cs="Arial"/>
                <w:noProof/>
                <w:webHidden/>
                <w:sz w:val="28"/>
                <w:szCs w:val="28"/>
              </w:rPr>
              <w:tab/>
            </w:r>
            <w:r w:rsidR="0092407E" w:rsidRPr="007D2969">
              <w:rPr>
                <w:rFonts w:cs="Arial"/>
                <w:noProof/>
                <w:webHidden/>
                <w:sz w:val="28"/>
                <w:szCs w:val="28"/>
              </w:rPr>
              <w:fldChar w:fldCharType="begin"/>
            </w:r>
            <w:r w:rsidR="0092407E" w:rsidRPr="007D2969">
              <w:rPr>
                <w:rFonts w:cs="Arial"/>
                <w:noProof/>
                <w:webHidden/>
                <w:sz w:val="28"/>
                <w:szCs w:val="28"/>
              </w:rPr>
              <w:instrText xml:space="preserve"> PAGEREF _Toc242827553 \h </w:instrText>
            </w:r>
            <w:r w:rsidR="0092407E" w:rsidRPr="007D2969">
              <w:rPr>
                <w:rFonts w:cs="Arial"/>
                <w:noProof/>
                <w:webHidden/>
                <w:sz w:val="28"/>
                <w:szCs w:val="28"/>
              </w:rPr>
            </w:r>
            <w:r w:rsidR="0092407E" w:rsidRPr="007D2969">
              <w:rPr>
                <w:rFonts w:cs="Arial"/>
                <w:noProof/>
                <w:webHidden/>
                <w:sz w:val="28"/>
                <w:szCs w:val="28"/>
              </w:rPr>
              <w:fldChar w:fldCharType="separate"/>
            </w:r>
            <w:r w:rsidR="007D2969">
              <w:rPr>
                <w:rFonts w:cs="Arial"/>
                <w:noProof/>
                <w:webHidden/>
                <w:sz w:val="28"/>
                <w:szCs w:val="28"/>
              </w:rPr>
              <w:t>10</w:t>
            </w:r>
            <w:r w:rsidR="0092407E" w:rsidRPr="007D2969">
              <w:rPr>
                <w:rFonts w:cs="Arial"/>
                <w:noProof/>
                <w:webHidden/>
                <w:sz w:val="28"/>
                <w:szCs w:val="28"/>
              </w:rPr>
              <w:fldChar w:fldCharType="end"/>
            </w:r>
          </w:hyperlink>
        </w:p>
        <w:p w:rsidR="0092407E" w:rsidRPr="007D2969" w:rsidRDefault="00153441" w:rsidP="007D2969">
          <w:pPr>
            <w:pStyle w:val="TOC3"/>
            <w:tabs>
              <w:tab w:val="right" w:leader="dot" w:pos="9736"/>
            </w:tabs>
            <w:spacing w:line="360" w:lineRule="auto"/>
            <w:rPr>
              <w:rFonts w:eastAsiaTheme="minorEastAsia" w:cs="Arial"/>
              <w:noProof/>
              <w:sz w:val="28"/>
              <w:szCs w:val="28"/>
            </w:rPr>
          </w:pPr>
          <w:hyperlink w:anchor="_Toc242827554" w:history="1">
            <w:r w:rsidR="0092407E" w:rsidRPr="007D2969">
              <w:rPr>
                <w:rStyle w:val="Hyperlink"/>
                <w:rFonts w:cs="Arial"/>
                <w:noProof/>
                <w:sz w:val="28"/>
                <w:szCs w:val="28"/>
              </w:rPr>
              <w:t>Pillar 3: Digital Collaboration Technologies</w:t>
            </w:r>
            <w:r w:rsidR="0092407E" w:rsidRPr="007D2969">
              <w:rPr>
                <w:rFonts w:cs="Arial"/>
                <w:noProof/>
                <w:webHidden/>
                <w:sz w:val="28"/>
                <w:szCs w:val="28"/>
              </w:rPr>
              <w:tab/>
            </w:r>
            <w:r w:rsidR="0092407E" w:rsidRPr="007D2969">
              <w:rPr>
                <w:rFonts w:cs="Arial"/>
                <w:noProof/>
                <w:webHidden/>
                <w:sz w:val="28"/>
                <w:szCs w:val="28"/>
              </w:rPr>
              <w:fldChar w:fldCharType="begin"/>
            </w:r>
            <w:r w:rsidR="0092407E" w:rsidRPr="007D2969">
              <w:rPr>
                <w:rFonts w:cs="Arial"/>
                <w:noProof/>
                <w:webHidden/>
                <w:sz w:val="28"/>
                <w:szCs w:val="28"/>
              </w:rPr>
              <w:instrText xml:space="preserve"> PAGEREF _Toc242827554 \h </w:instrText>
            </w:r>
            <w:r w:rsidR="0092407E" w:rsidRPr="007D2969">
              <w:rPr>
                <w:rFonts w:cs="Arial"/>
                <w:noProof/>
                <w:webHidden/>
                <w:sz w:val="28"/>
                <w:szCs w:val="28"/>
              </w:rPr>
            </w:r>
            <w:r w:rsidR="0092407E" w:rsidRPr="007D2969">
              <w:rPr>
                <w:rFonts w:cs="Arial"/>
                <w:noProof/>
                <w:webHidden/>
                <w:sz w:val="28"/>
                <w:szCs w:val="28"/>
              </w:rPr>
              <w:fldChar w:fldCharType="separate"/>
            </w:r>
            <w:r w:rsidR="007D2969">
              <w:rPr>
                <w:rFonts w:cs="Arial"/>
                <w:noProof/>
                <w:webHidden/>
                <w:sz w:val="28"/>
                <w:szCs w:val="28"/>
              </w:rPr>
              <w:t>11</w:t>
            </w:r>
            <w:r w:rsidR="0092407E" w:rsidRPr="007D2969">
              <w:rPr>
                <w:rFonts w:cs="Arial"/>
                <w:noProof/>
                <w:webHidden/>
                <w:sz w:val="28"/>
                <w:szCs w:val="28"/>
              </w:rPr>
              <w:fldChar w:fldCharType="end"/>
            </w:r>
          </w:hyperlink>
        </w:p>
        <w:p w:rsidR="0092407E" w:rsidRPr="007D2969" w:rsidRDefault="00153441" w:rsidP="007D2969">
          <w:pPr>
            <w:pStyle w:val="TOC1"/>
            <w:tabs>
              <w:tab w:val="right" w:leader="dot" w:pos="9736"/>
            </w:tabs>
            <w:spacing w:line="360" w:lineRule="auto"/>
            <w:rPr>
              <w:rFonts w:eastAsiaTheme="minorEastAsia" w:cs="Arial"/>
              <w:noProof/>
              <w:sz w:val="28"/>
              <w:szCs w:val="28"/>
            </w:rPr>
          </w:pPr>
          <w:hyperlink w:anchor="_Toc242827555" w:history="1">
            <w:r w:rsidR="0092407E" w:rsidRPr="007D2969">
              <w:rPr>
                <w:rStyle w:val="Hyperlink"/>
                <w:rFonts w:cs="Arial"/>
                <w:noProof/>
                <w:sz w:val="28"/>
                <w:szCs w:val="28"/>
              </w:rPr>
              <w:t>Task B: Creating an Environment Where Talent Grows</w:t>
            </w:r>
            <w:r w:rsidR="0092407E" w:rsidRPr="007D2969">
              <w:rPr>
                <w:rFonts w:cs="Arial"/>
                <w:noProof/>
                <w:webHidden/>
                <w:sz w:val="28"/>
                <w:szCs w:val="28"/>
              </w:rPr>
              <w:tab/>
            </w:r>
            <w:r w:rsidR="0092407E" w:rsidRPr="007D2969">
              <w:rPr>
                <w:rFonts w:cs="Arial"/>
                <w:noProof/>
                <w:webHidden/>
                <w:sz w:val="28"/>
                <w:szCs w:val="28"/>
              </w:rPr>
              <w:fldChar w:fldCharType="begin"/>
            </w:r>
            <w:r w:rsidR="0092407E" w:rsidRPr="007D2969">
              <w:rPr>
                <w:rFonts w:cs="Arial"/>
                <w:noProof/>
                <w:webHidden/>
                <w:sz w:val="28"/>
                <w:szCs w:val="28"/>
              </w:rPr>
              <w:instrText xml:space="preserve"> PAGEREF _Toc242827555 \h </w:instrText>
            </w:r>
            <w:r w:rsidR="0092407E" w:rsidRPr="007D2969">
              <w:rPr>
                <w:rFonts w:cs="Arial"/>
                <w:noProof/>
                <w:webHidden/>
                <w:sz w:val="28"/>
                <w:szCs w:val="28"/>
              </w:rPr>
            </w:r>
            <w:r w:rsidR="0092407E" w:rsidRPr="007D2969">
              <w:rPr>
                <w:rFonts w:cs="Arial"/>
                <w:noProof/>
                <w:webHidden/>
                <w:sz w:val="28"/>
                <w:szCs w:val="28"/>
              </w:rPr>
              <w:fldChar w:fldCharType="separate"/>
            </w:r>
            <w:r w:rsidR="007D2969">
              <w:rPr>
                <w:rFonts w:cs="Arial"/>
                <w:noProof/>
                <w:webHidden/>
                <w:sz w:val="28"/>
                <w:szCs w:val="28"/>
              </w:rPr>
              <w:t>12</w:t>
            </w:r>
            <w:r w:rsidR="0092407E" w:rsidRPr="007D2969">
              <w:rPr>
                <w:rFonts w:cs="Arial"/>
                <w:noProof/>
                <w:webHidden/>
                <w:sz w:val="28"/>
                <w:szCs w:val="28"/>
              </w:rPr>
              <w:fldChar w:fldCharType="end"/>
            </w:r>
          </w:hyperlink>
        </w:p>
        <w:p w:rsidR="0092407E" w:rsidRPr="007D2969" w:rsidRDefault="00153441" w:rsidP="007D2969">
          <w:pPr>
            <w:pStyle w:val="TOC2"/>
            <w:rPr>
              <w:rFonts w:eastAsiaTheme="minorEastAsia" w:cs="Arial"/>
              <w:noProof/>
              <w:sz w:val="28"/>
              <w:szCs w:val="28"/>
            </w:rPr>
          </w:pPr>
          <w:hyperlink w:anchor="_Toc242827556" w:history="1">
            <w:r w:rsidR="0092407E" w:rsidRPr="007D2969">
              <w:rPr>
                <w:rStyle w:val="Hyperlink"/>
                <w:rFonts w:cs="Arial"/>
                <w:noProof/>
                <w:sz w:val="28"/>
                <w:szCs w:val="28"/>
              </w:rPr>
              <w:t>1. How Organisations Create Environments Where Talent Flourishes</w:t>
            </w:r>
            <w:r w:rsidR="0092407E" w:rsidRPr="007D2969">
              <w:rPr>
                <w:rFonts w:cs="Arial"/>
                <w:noProof/>
                <w:webHidden/>
                <w:sz w:val="28"/>
                <w:szCs w:val="28"/>
              </w:rPr>
              <w:tab/>
            </w:r>
            <w:r w:rsidR="0092407E" w:rsidRPr="007D2969">
              <w:rPr>
                <w:rFonts w:cs="Arial"/>
                <w:noProof/>
                <w:webHidden/>
                <w:sz w:val="28"/>
                <w:szCs w:val="28"/>
              </w:rPr>
              <w:fldChar w:fldCharType="begin"/>
            </w:r>
            <w:r w:rsidR="0092407E" w:rsidRPr="007D2969">
              <w:rPr>
                <w:rFonts w:cs="Arial"/>
                <w:noProof/>
                <w:webHidden/>
                <w:sz w:val="28"/>
                <w:szCs w:val="28"/>
              </w:rPr>
              <w:instrText xml:space="preserve"> PAGEREF _Toc242827556 \h </w:instrText>
            </w:r>
            <w:r w:rsidR="0092407E" w:rsidRPr="007D2969">
              <w:rPr>
                <w:rFonts w:cs="Arial"/>
                <w:noProof/>
                <w:webHidden/>
                <w:sz w:val="28"/>
                <w:szCs w:val="28"/>
              </w:rPr>
            </w:r>
            <w:r w:rsidR="0092407E" w:rsidRPr="007D2969">
              <w:rPr>
                <w:rFonts w:cs="Arial"/>
                <w:noProof/>
                <w:webHidden/>
                <w:sz w:val="28"/>
                <w:szCs w:val="28"/>
              </w:rPr>
              <w:fldChar w:fldCharType="separate"/>
            </w:r>
            <w:r w:rsidR="007D2969">
              <w:rPr>
                <w:rFonts w:cs="Arial"/>
                <w:noProof/>
                <w:webHidden/>
                <w:sz w:val="28"/>
                <w:szCs w:val="28"/>
              </w:rPr>
              <w:t>12</w:t>
            </w:r>
            <w:r w:rsidR="0092407E" w:rsidRPr="007D2969">
              <w:rPr>
                <w:rFonts w:cs="Arial"/>
                <w:noProof/>
                <w:webHidden/>
                <w:sz w:val="28"/>
                <w:szCs w:val="28"/>
              </w:rPr>
              <w:fldChar w:fldCharType="end"/>
            </w:r>
          </w:hyperlink>
        </w:p>
        <w:p w:rsidR="0092407E" w:rsidRPr="007D2969" w:rsidRDefault="00153441" w:rsidP="007D2969">
          <w:pPr>
            <w:pStyle w:val="TOC2"/>
            <w:rPr>
              <w:rFonts w:eastAsiaTheme="minorEastAsia" w:cs="Arial"/>
              <w:noProof/>
              <w:sz w:val="28"/>
              <w:szCs w:val="28"/>
            </w:rPr>
          </w:pPr>
          <w:hyperlink w:anchor="_Toc242827557" w:history="1">
            <w:r w:rsidR="00704555" w:rsidRPr="007D2969">
              <w:rPr>
                <w:rStyle w:val="Hyperlink"/>
                <w:rFonts w:cs="Arial"/>
                <w:noProof/>
                <w:sz w:val="28"/>
                <w:szCs w:val="28"/>
              </w:rPr>
              <w:t xml:space="preserve"> 2.</w:t>
            </w:r>
            <w:r w:rsidR="00704555" w:rsidRPr="008A5AC9">
              <w:rPr>
                <w:rFonts w:eastAsia="Times New Roman" w:cs="Arial"/>
                <w:noProof/>
                <w:sz w:val="28"/>
                <w:szCs w:val="28"/>
              </w:rPr>
              <w:t>Talent Growth Strategy for NexSpace</w:t>
            </w:r>
            <w:r w:rsidR="0092407E" w:rsidRPr="007D2969">
              <w:rPr>
                <w:rFonts w:cs="Arial"/>
                <w:noProof/>
                <w:webHidden/>
                <w:sz w:val="28"/>
                <w:szCs w:val="28"/>
              </w:rPr>
              <w:tab/>
            </w:r>
            <w:r w:rsidR="0092407E" w:rsidRPr="007D2969">
              <w:rPr>
                <w:rFonts w:cs="Arial"/>
                <w:noProof/>
                <w:webHidden/>
                <w:sz w:val="28"/>
                <w:szCs w:val="28"/>
              </w:rPr>
              <w:fldChar w:fldCharType="begin"/>
            </w:r>
            <w:r w:rsidR="0092407E" w:rsidRPr="007D2969">
              <w:rPr>
                <w:rFonts w:cs="Arial"/>
                <w:noProof/>
                <w:webHidden/>
                <w:sz w:val="28"/>
                <w:szCs w:val="28"/>
              </w:rPr>
              <w:instrText xml:space="preserve"> PAGEREF _Toc242827557 \h </w:instrText>
            </w:r>
            <w:r w:rsidR="0092407E" w:rsidRPr="007D2969">
              <w:rPr>
                <w:rFonts w:cs="Arial"/>
                <w:noProof/>
                <w:webHidden/>
                <w:sz w:val="28"/>
                <w:szCs w:val="28"/>
              </w:rPr>
            </w:r>
            <w:r w:rsidR="0092407E" w:rsidRPr="007D2969">
              <w:rPr>
                <w:rFonts w:cs="Arial"/>
                <w:noProof/>
                <w:webHidden/>
                <w:sz w:val="28"/>
                <w:szCs w:val="28"/>
              </w:rPr>
              <w:fldChar w:fldCharType="separate"/>
            </w:r>
            <w:r w:rsidR="007D2969">
              <w:rPr>
                <w:rFonts w:cs="Arial"/>
                <w:noProof/>
                <w:webHidden/>
                <w:sz w:val="28"/>
                <w:szCs w:val="28"/>
              </w:rPr>
              <w:t>1</w:t>
            </w:r>
            <w:r w:rsidR="00184162">
              <w:rPr>
                <w:rFonts w:cs="Arial"/>
                <w:noProof/>
                <w:webHidden/>
                <w:sz w:val="28"/>
                <w:szCs w:val="28"/>
              </w:rPr>
              <w:t>3</w:t>
            </w:r>
            <w:r w:rsidR="0092407E" w:rsidRPr="007D2969">
              <w:rPr>
                <w:rFonts w:cs="Arial"/>
                <w:noProof/>
                <w:webHidden/>
                <w:sz w:val="28"/>
                <w:szCs w:val="28"/>
              </w:rPr>
              <w:fldChar w:fldCharType="end"/>
            </w:r>
          </w:hyperlink>
        </w:p>
        <w:p w:rsidR="0092407E" w:rsidRPr="007D2969" w:rsidRDefault="00153441" w:rsidP="007D2969">
          <w:pPr>
            <w:pStyle w:val="TOC3"/>
            <w:tabs>
              <w:tab w:val="right" w:leader="dot" w:pos="9736"/>
            </w:tabs>
            <w:spacing w:line="360" w:lineRule="auto"/>
            <w:rPr>
              <w:rFonts w:eastAsiaTheme="minorEastAsia" w:cs="Arial"/>
              <w:noProof/>
              <w:sz w:val="28"/>
              <w:szCs w:val="28"/>
            </w:rPr>
          </w:pPr>
          <w:hyperlink w:anchor="_Toc242827558" w:history="1">
            <w:r w:rsidR="0092407E" w:rsidRPr="007D2969">
              <w:rPr>
                <w:rStyle w:val="Hyperlink"/>
                <w:rFonts w:cs="Arial"/>
                <w:noProof/>
                <w:sz w:val="28"/>
                <w:szCs w:val="28"/>
              </w:rPr>
              <w:t>Building a Learning Organisation</w:t>
            </w:r>
            <w:r w:rsidR="0092407E" w:rsidRPr="007D2969">
              <w:rPr>
                <w:rFonts w:cs="Arial"/>
                <w:noProof/>
                <w:webHidden/>
                <w:sz w:val="28"/>
                <w:szCs w:val="28"/>
              </w:rPr>
              <w:tab/>
            </w:r>
            <w:r w:rsidR="0092407E" w:rsidRPr="007D2969">
              <w:rPr>
                <w:rFonts w:cs="Arial"/>
                <w:noProof/>
                <w:webHidden/>
                <w:sz w:val="28"/>
                <w:szCs w:val="28"/>
              </w:rPr>
              <w:fldChar w:fldCharType="begin"/>
            </w:r>
            <w:r w:rsidR="0092407E" w:rsidRPr="007D2969">
              <w:rPr>
                <w:rFonts w:cs="Arial"/>
                <w:noProof/>
                <w:webHidden/>
                <w:sz w:val="28"/>
                <w:szCs w:val="28"/>
              </w:rPr>
              <w:instrText xml:space="preserve"> PAGEREF _Toc242827558 \h </w:instrText>
            </w:r>
            <w:r w:rsidR="0092407E" w:rsidRPr="007D2969">
              <w:rPr>
                <w:rFonts w:cs="Arial"/>
                <w:noProof/>
                <w:webHidden/>
                <w:sz w:val="28"/>
                <w:szCs w:val="28"/>
              </w:rPr>
            </w:r>
            <w:r w:rsidR="0092407E" w:rsidRPr="007D2969">
              <w:rPr>
                <w:rFonts w:cs="Arial"/>
                <w:noProof/>
                <w:webHidden/>
                <w:sz w:val="28"/>
                <w:szCs w:val="28"/>
              </w:rPr>
              <w:fldChar w:fldCharType="separate"/>
            </w:r>
            <w:r w:rsidR="007D2969">
              <w:rPr>
                <w:rFonts w:cs="Arial"/>
                <w:noProof/>
                <w:webHidden/>
                <w:sz w:val="28"/>
                <w:szCs w:val="28"/>
              </w:rPr>
              <w:t>13</w:t>
            </w:r>
            <w:r w:rsidR="0092407E" w:rsidRPr="007D2969">
              <w:rPr>
                <w:rFonts w:cs="Arial"/>
                <w:noProof/>
                <w:webHidden/>
                <w:sz w:val="28"/>
                <w:szCs w:val="28"/>
              </w:rPr>
              <w:fldChar w:fldCharType="end"/>
            </w:r>
          </w:hyperlink>
        </w:p>
        <w:p w:rsidR="0092407E" w:rsidRPr="007D2969" w:rsidRDefault="00153441" w:rsidP="007D2969">
          <w:pPr>
            <w:pStyle w:val="TOC3"/>
            <w:tabs>
              <w:tab w:val="right" w:leader="dot" w:pos="9736"/>
            </w:tabs>
            <w:spacing w:line="360" w:lineRule="auto"/>
            <w:rPr>
              <w:rFonts w:eastAsiaTheme="minorEastAsia" w:cs="Arial"/>
              <w:noProof/>
              <w:sz w:val="28"/>
              <w:szCs w:val="28"/>
            </w:rPr>
          </w:pPr>
          <w:hyperlink w:anchor="_Toc242827559" w:history="1">
            <w:r w:rsidR="0092407E" w:rsidRPr="007D2969">
              <w:rPr>
                <w:rStyle w:val="Hyperlink"/>
                <w:rFonts w:cs="Arial"/>
                <w:noProof/>
                <w:sz w:val="28"/>
                <w:szCs w:val="28"/>
              </w:rPr>
              <w:t>Creating Psychological Safety and Wellbeing</w:t>
            </w:r>
            <w:r w:rsidR="0092407E" w:rsidRPr="007D2969">
              <w:rPr>
                <w:rFonts w:cs="Arial"/>
                <w:noProof/>
                <w:webHidden/>
                <w:sz w:val="28"/>
                <w:szCs w:val="28"/>
              </w:rPr>
              <w:tab/>
            </w:r>
            <w:r w:rsidR="0092407E" w:rsidRPr="007D2969">
              <w:rPr>
                <w:rFonts w:cs="Arial"/>
                <w:noProof/>
                <w:webHidden/>
                <w:sz w:val="28"/>
                <w:szCs w:val="28"/>
              </w:rPr>
              <w:fldChar w:fldCharType="begin"/>
            </w:r>
            <w:r w:rsidR="0092407E" w:rsidRPr="007D2969">
              <w:rPr>
                <w:rFonts w:cs="Arial"/>
                <w:noProof/>
                <w:webHidden/>
                <w:sz w:val="28"/>
                <w:szCs w:val="28"/>
              </w:rPr>
              <w:instrText xml:space="preserve"> PAGEREF _Toc242827559 \h </w:instrText>
            </w:r>
            <w:r w:rsidR="0092407E" w:rsidRPr="007D2969">
              <w:rPr>
                <w:rFonts w:cs="Arial"/>
                <w:noProof/>
                <w:webHidden/>
                <w:sz w:val="28"/>
                <w:szCs w:val="28"/>
              </w:rPr>
            </w:r>
            <w:r w:rsidR="0092407E" w:rsidRPr="007D2969">
              <w:rPr>
                <w:rFonts w:cs="Arial"/>
                <w:noProof/>
                <w:webHidden/>
                <w:sz w:val="28"/>
                <w:szCs w:val="28"/>
              </w:rPr>
              <w:fldChar w:fldCharType="separate"/>
            </w:r>
            <w:r w:rsidR="007D2969">
              <w:rPr>
                <w:rFonts w:cs="Arial"/>
                <w:noProof/>
                <w:webHidden/>
                <w:sz w:val="28"/>
                <w:szCs w:val="28"/>
              </w:rPr>
              <w:t>14</w:t>
            </w:r>
            <w:r w:rsidR="0092407E" w:rsidRPr="007D2969">
              <w:rPr>
                <w:rFonts w:cs="Arial"/>
                <w:noProof/>
                <w:webHidden/>
                <w:sz w:val="28"/>
                <w:szCs w:val="28"/>
              </w:rPr>
              <w:fldChar w:fldCharType="end"/>
            </w:r>
          </w:hyperlink>
        </w:p>
        <w:p w:rsidR="0092407E" w:rsidRPr="007D2969" w:rsidRDefault="00153441" w:rsidP="007D2969">
          <w:pPr>
            <w:pStyle w:val="TOC3"/>
            <w:tabs>
              <w:tab w:val="right" w:leader="dot" w:pos="9736"/>
            </w:tabs>
            <w:spacing w:line="360" w:lineRule="auto"/>
            <w:rPr>
              <w:rFonts w:eastAsiaTheme="minorEastAsia" w:cs="Arial"/>
              <w:noProof/>
              <w:sz w:val="28"/>
              <w:szCs w:val="28"/>
            </w:rPr>
          </w:pPr>
          <w:hyperlink w:anchor="_Toc242827561" w:history="1">
            <w:r w:rsidR="0092407E" w:rsidRPr="007D2969">
              <w:rPr>
                <w:rStyle w:val="Hyperlink"/>
                <w:rFonts w:cs="Arial"/>
                <w:noProof/>
                <w:sz w:val="28"/>
                <w:szCs w:val="28"/>
              </w:rPr>
              <w:t>Enabling Job Crafting and Career Pathways</w:t>
            </w:r>
            <w:r w:rsidR="0092407E" w:rsidRPr="007D2969">
              <w:rPr>
                <w:rFonts w:cs="Arial"/>
                <w:noProof/>
                <w:webHidden/>
                <w:sz w:val="28"/>
                <w:szCs w:val="28"/>
              </w:rPr>
              <w:tab/>
            </w:r>
            <w:r w:rsidR="0092407E" w:rsidRPr="007D2969">
              <w:rPr>
                <w:rFonts w:cs="Arial"/>
                <w:noProof/>
                <w:webHidden/>
                <w:sz w:val="28"/>
                <w:szCs w:val="28"/>
              </w:rPr>
              <w:fldChar w:fldCharType="begin"/>
            </w:r>
            <w:r w:rsidR="0092407E" w:rsidRPr="007D2969">
              <w:rPr>
                <w:rFonts w:cs="Arial"/>
                <w:noProof/>
                <w:webHidden/>
                <w:sz w:val="28"/>
                <w:szCs w:val="28"/>
              </w:rPr>
              <w:instrText xml:space="preserve"> PAGEREF _Toc242827561 \h </w:instrText>
            </w:r>
            <w:r w:rsidR="0092407E" w:rsidRPr="007D2969">
              <w:rPr>
                <w:rFonts w:cs="Arial"/>
                <w:noProof/>
                <w:webHidden/>
                <w:sz w:val="28"/>
                <w:szCs w:val="28"/>
              </w:rPr>
            </w:r>
            <w:r w:rsidR="0092407E" w:rsidRPr="007D2969">
              <w:rPr>
                <w:rFonts w:cs="Arial"/>
                <w:noProof/>
                <w:webHidden/>
                <w:sz w:val="28"/>
                <w:szCs w:val="28"/>
              </w:rPr>
              <w:fldChar w:fldCharType="separate"/>
            </w:r>
            <w:r w:rsidR="007D2969">
              <w:rPr>
                <w:rFonts w:cs="Arial"/>
                <w:noProof/>
                <w:webHidden/>
                <w:sz w:val="28"/>
                <w:szCs w:val="28"/>
              </w:rPr>
              <w:t>15</w:t>
            </w:r>
            <w:r w:rsidR="0092407E" w:rsidRPr="007D2969">
              <w:rPr>
                <w:rFonts w:cs="Arial"/>
                <w:noProof/>
                <w:webHidden/>
                <w:sz w:val="28"/>
                <w:szCs w:val="28"/>
              </w:rPr>
              <w:fldChar w:fldCharType="end"/>
            </w:r>
          </w:hyperlink>
        </w:p>
        <w:p w:rsidR="0092407E" w:rsidRPr="007D2969" w:rsidRDefault="00153441" w:rsidP="007D2969">
          <w:pPr>
            <w:pStyle w:val="TOC3"/>
            <w:tabs>
              <w:tab w:val="right" w:leader="dot" w:pos="9736"/>
            </w:tabs>
            <w:spacing w:line="360" w:lineRule="auto"/>
            <w:rPr>
              <w:rFonts w:eastAsiaTheme="minorEastAsia" w:cs="Arial"/>
              <w:noProof/>
              <w:sz w:val="28"/>
              <w:szCs w:val="28"/>
            </w:rPr>
          </w:pPr>
          <w:hyperlink w:anchor="_Toc242827563" w:history="1">
            <w:r w:rsidR="0092407E" w:rsidRPr="007D2969">
              <w:rPr>
                <w:rStyle w:val="Hyperlink"/>
                <w:rFonts w:cs="Arial"/>
                <w:noProof/>
                <w:sz w:val="28"/>
                <w:szCs w:val="28"/>
              </w:rPr>
              <w:t>Measuring Impact</w:t>
            </w:r>
            <w:r w:rsidR="0092407E" w:rsidRPr="007D2969">
              <w:rPr>
                <w:rFonts w:cs="Arial"/>
                <w:noProof/>
                <w:webHidden/>
                <w:sz w:val="28"/>
                <w:szCs w:val="28"/>
              </w:rPr>
              <w:tab/>
            </w:r>
            <w:r w:rsidR="0092407E" w:rsidRPr="007D2969">
              <w:rPr>
                <w:rFonts w:cs="Arial"/>
                <w:noProof/>
                <w:webHidden/>
                <w:sz w:val="28"/>
                <w:szCs w:val="28"/>
              </w:rPr>
              <w:fldChar w:fldCharType="begin"/>
            </w:r>
            <w:r w:rsidR="0092407E" w:rsidRPr="007D2969">
              <w:rPr>
                <w:rFonts w:cs="Arial"/>
                <w:noProof/>
                <w:webHidden/>
                <w:sz w:val="28"/>
                <w:szCs w:val="28"/>
              </w:rPr>
              <w:instrText xml:space="preserve"> PAGEREF _Toc242827563 \h </w:instrText>
            </w:r>
            <w:r w:rsidR="0092407E" w:rsidRPr="007D2969">
              <w:rPr>
                <w:rFonts w:cs="Arial"/>
                <w:noProof/>
                <w:webHidden/>
                <w:sz w:val="28"/>
                <w:szCs w:val="28"/>
              </w:rPr>
            </w:r>
            <w:r w:rsidR="0092407E" w:rsidRPr="007D2969">
              <w:rPr>
                <w:rFonts w:cs="Arial"/>
                <w:noProof/>
                <w:webHidden/>
                <w:sz w:val="28"/>
                <w:szCs w:val="28"/>
              </w:rPr>
              <w:fldChar w:fldCharType="separate"/>
            </w:r>
            <w:r w:rsidR="007D2969">
              <w:rPr>
                <w:rFonts w:cs="Arial"/>
                <w:noProof/>
                <w:webHidden/>
                <w:sz w:val="28"/>
                <w:szCs w:val="28"/>
              </w:rPr>
              <w:t>15</w:t>
            </w:r>
            <w:r w:rsidR="0092407E" w:rsidRPr="007D2969">
              <w:rPr>
                <w:rFonts w:cs="Arial"/>
                <w:noProof/>
                <w:webHidden/>
                <w:sz w:val="28"/>
                <w:szCs w:val="28"/>
              </w:rPr>
              <w:fldChar w:fldCharType="end"/>
            </w:r>
          </w:hyperlink>
        </w:p>
        <w:p w:rsidR="0092407E" w:rsidRPr="007D2969" w:rsidRDefault="00153441" w:rsidP="007D2969">
          <w:pPr>
            <w:pStyle w:val="TOC1"/>
            <w:tabs>
              <w:tab w:val="right" w:leader="dot" w:pos="9736"/>
            </w:tabs>
            <w:spacing w:line="360" w:lineRule="auto"/>
            <w:rPr>
              <w:rFonts w:eastAsiaTheme="minorEastAsia" w:cs="Arial"/>
              <w:noProof/>
              <w:sz w:val="28"/>
              <w:szCs w:val="28"/>
            </w:rPr>
          </w:pPr>
          <w:hyperlink w:anchor="_Toc242827565" w:history="1">
            <w:r w:rsidR="0092407E" w:rsidRPr="007D2969">
              <w:rPr>
                <w:rStyle w:val="Hyperlink"/>
                <w:rFonts w:cs="Arial"/>
                <w:noProof/>
                <w:sz w:val="28"/>
                <w:szCs w:val="28"/>
              </w:rPr>
              <w:t>Task C: Reflective Report</w:t>
            </w:r>
            <w:r w:rsidR="0092407E" w:rsidRPr="007D2969">
              <w:rPr>
                <w:rFonts w:cs="Arial"/>
                <w:noProof/>
                <w:webHidden/>
                <w:sz w:val="28"/>
                <w:szCs w:val="28"/>
              </w:rPr>
              <w:tab/>
            </w:r>
            <w:r w:rsidR="0092407E" w:rsidRPr="007D2969">
              <w:rPr>
                <w:rFonts w:cs="Arial"/>
                <w:noProof/>
                <w:webHidden/>
                <w:sz w:val="28"/>
                <w:szCs w:val="28"/>
              </w:rPr>
              <w:fldChar w:fldCharType="begin"/>
            </w:r>
            <w:r w:rsidR="0092407E" w:rsidRPr="007D2969">
              <w:rPr>
                <w:rFonts w:cs="Arial"/>
                <w:noProof/>
                <w:webHidden/>
                <w:sz w:val="28"/>
                <w:szCs w:val="28"/>
              </w:rPr>
              <w:instrText xml:space="preserve"> PAGEREF _Toc242827565 \h </w:instrText>
            </w:r>
            <w:r w:rsidR="0092407E" w:rsidRPr="007D2969">
              <w:rPr>
                <w:rFonts w:cs="Arial"/>
                <w:noProof/>
                <w:webHidden/>
                <w:sz w:val="28"/>
                <w:szCs w:val="28"/>
              </w:rPr>
            </w:r>
            <w:r w:rsidR="0092407E" w:rsidRPr="007D2969">
              <w:rPr>
                <w:rFonts w:cs="Arial"/>
                <w:noProof/>
                <w:webHidden/>
                <w:sz w:val="28"/>
                <w:szCs w:val="28"/>
              </w:rPr>
              <w:fldChar w:fldCharType="separate"/>
            </w:r>
            <w:r w:rsidR="007D2969">
              <w:rPr>
                <w:rFonts w:cs="Arial"/>
                <w:noProof/>
                <w:webHidden/>
                <w:sz w:val="28"/>
                <w:szCs w:val="28"/>
              </w:rPr>
              <w:t>16</w:t>
            </w:r>
            <w:r w:rsidR="0092407E" w:rsidRPr="007D2969">
              <w:rPr>
                <w:rFonts w:cs="Arial"/>
                <w:noProof/>
                <w:webHidden/>
                <w:sz w:val="28"/>
                <w:szCs w:val="28"/>
              </w:rPr>
              <w:fldChar w:fldCharType="end"/>
            </w:r>
          </w:hyperlink>
        </w:p>
        <w:p w:rsidR="0092407E" w:rsidRPr="007D2969" w:rsidRDefault="00153441" w:rsidP="007D2969">
          <w:pPr>
            <w:pStyle w:val="TOC2"/>
            <w:rPr>
              <w:rFonts w:eastAsiaTheme="minorEastAsia" w:cs="Arial"/>
              <w:noProof/>
              <w:sz w:val="28"/>
              <w:szCs w:val="28"/>
            </w:rPr>
          </w:pPr>
          <w:hyperlink w:anchor="_Toc242827566" w:history="1">
            <w:r w:rsidR="0092407E" w:rsidRPr="007D2969">
              <w:rPr>
                <w:rStyle w:val="Hyperlink"/>
                <w:rFonts w:cs="Arial"/>
                <w:noProof/>
                <w:sz w:val="28"/>
                <w:szCs w:val="28"/>
              </w:rPr>
              <w:t>1. AI as a Strategic Decision-Support Tool in HRM</w:t>
            </w:r>
            <w:r w:rsidR="0092407E" w:rsidRPr="007D2969">
              <w:rPr>
                <w:rFonts w:cs="Arial"/>
                <w:noProof/>
                <w:webHidden/>
                <w:sz w:val="28"/>
                <w:szCs w:val="28"/>
              </w:rPr>
              <w:tab/>
            </w:r>
            <w:r w:rsidR="0092407E" w:rsidRPr="007D2969">
              <w:rPr>
                <w:rFonts w:cs="Arial"/>
                <w:noProof/>
                <w:webHidden/>
                <w:sz w:val="28"/>
                <w:szCs w:val="28"/>
              </w:rPr>
              <w:fldChar w:fldCharType="begin"/>
            </w:r>
            <w:r w:rsidR="0092407E" w:rsidRPr="007D2969">
              <w:rPr>
                <w:rFonts w:cs="Arial"/>
                <w:noProof/>
                <w:webHidden/>
                <w:sz w:val="28"/>
                <w:szCs w:val="28"/>
              </w:rPr>
              <w:instrText xml:space="preserve"> PAGEREF _Toc242827566 \h </w:instrText>
            </w:r>
            <w:r w:rsidR="0092407E" w:rsidRPr="007D2969">
              <w:rPr>
                <w:rFonts w:cs="Arial"/>
                <w:noProof/>
                <w:webHidden/>
                <w:sz w:val="28"/>
                <w:szCs w:val="28"/>
              </w:rPr>
            </w:r>
            <w:r w:rsidR="0092407E" w:rsidRPr="007D2969">
              <w:rPr>
                <w:rFonts w:cs="Arial"/>
                <w:noProof/>
                <w:webHidden/>
                <w:sz w:val="28"/>
                <w:szCs w:val="28"/>
              </w:rPr>
              <w:fldChar w:fldCharType="separate"/>
            </w:r>
            <w:r w:rsidR="007D2969">
              <w:rPr>
                <w:rFonts w:cs="Arial"/>
                <w:noProof/>
                <w:webHidden/>
                <w:sz w:val="28"/>
                <w:szCs w:val="28"/>
              </w:rPr>
              <w:t>16</w:t>
            </w:r>
            <w:r w:rsidR="0092407E" w:rsidRPr="007D2969">
              <w:rPr>
                <w:rFonts w:cs="Arial"/>
                <w:noProof/>
                <w:webHidden/>
                <w:sz w:val="28"/>
                <w:szCs w:val="28"/>
              </w:rPr>
              <w:fldChar w:fldCharType="end"/>
            </w:r>
          </w:hyperlink>
        </w:p>
        <w:p w:rsidR="0092407E" w:rsidRPr="007D2969" w:rsidRDefault="00153441" w:rsidP="007D2969">
          <w:pPr>
            <w:pStyle w:val="TOC2"/>
            <w:rPr>
              <w:rFonts w:eastAsiaTheme="minorEastAsia" w:cs="Arial"/>
              <w:noProof/>
              <w:sz w:val="28"/>
              <w:szCs w:val="28"/>
            </w:rPr>
          </w:pPr>
          <w:hyperlink w:anchor="_Toc242827567" w:history="1">
            <w:r w:rsidR="00704555" w:rsidRPr="00704555">
              <w:rPr>
                <w:rStyle w:val="Hyperlink"/>
                <w:rFonts w:cs="Arial"/>
                <w:noProof/>
                <w:sz w:val="28"/>
                <w:szCs w:val="28"/>
              </w:rPr>
              <w:t>2. Reflective Analysis: Three Examples of Using AI</w:t>
            </w:r>
            <w:r w:rsidR="0092407E" w:rsidRPr="007D2969">
              <w:rPr>
                <w:rFonts w:cs="Arial"/>
                <w:noProof/>
                <w:webHidden/>
                <w:sz w:val="28"/>
                <w:szCs w:val="28"/>
              </w:rPr>
              <w:tab/>
            </w:r>
            <w:r w:rsidR="0092407E" w:rsidRPr="007D2969">
              <w:rPr>
                <w:rFonts w:cs="Arial"/>
                <w:noProof/>
                <w:webHidden/>
                <w:sz w:val="28"/>
                <w:szCs w:val="28"/>
              </w:rPr>
              <w:fldChar w:fldCharType="begin"/>
            </w:r>
            <w:r w:rsidR="0092407E" w:rsidRPr="007D2969">
              <w:rPr>
                <w:rFonts w:cs="Arial"/>
                <w:noProof/>
                <w:webHidden/>
                <w:sz w:val="28"/>
                <w:szCs w:val="28"/>
              </w:rPr>
              <w:instrText xml:space="preserve"> PAGEREF _Toc242827567 \h </w:instrText>
            </w:r>
            <w:r w:rsidR="0092407E" w:rsidRPr="007D2969">
              <w:rPr>
                <w:rFonts w:cs="Arial"/>
                <w:noProof/>
                <w:webHidden/>
                <w:sz w:val="28"/>
                <w:szCs w:val="28"/>
              </w:rPr>
            </w:r>
            <w:r w:rsidR="0092407E" w:rsidRPr="007D2969">
              <w:rPr>
                <w:rFonts w:cs="Arial"/>
                <w:noProof/>
                <w:webHidden/>
                <w:sz w:val="28"/>
                <w:szCs w:val="28"/>
              </w:rPr>
              <w:fldChar w:fldCharType="separate"/>
            </w:r>
            <w:r w:rsidR="007D2969">
              <w:rPr>
                <w:rFonts w:cs="Arial"/>
                <w:noProof/>
                <w:webHidden/>
                <w:sz w:val="28"/>
                <w:szCs w:val="28"/>
              </w:rPr>
              <w:t>16</w:t>
            </w:r>
            <w:r w:rsidR="0092407E" w:rsidRPr="007D2969">
              <w:rPr>
                <w:rFonts w:cs="Arial"/>
                <w:noProof/>
                <w:webHidden/>
                <w:sz w:val="28"/>
                <w:szCs w:val="28"/>
              </w:rPr>
              <w:fldChar w:fldCharType="end"/>
            </w:r>
          </w:hyperlink>
        </w:p>
        <w:p w:rsidR="0092407E" w:rsidRPr="007D2969" w:rsidRDefault="00153441" w:rsidP="007D2969">
          <w:pPr>
            <w:pStyle w:val="TOC2"/>
            <w:rPr>
              <w:rFonts w:eastAsiaTheme="minorEastAsia" w:cs="Arial"/>
              <w:noProof/>
              <w:sz w:val="28"/>
              <w:szCs w:val="28"/>
            </w:rPr>
          </w:pPr>
          <w:hyperlink w:anchor="_Toc242827568" w:history="1">
            <w:r w:rsidR="00704555" w:rsidRPr="007D2969">
              <w:rPr>
                <w:rStyle w:val="Hyperlink"/>
                <w:rFonts w:cs="Arial"/>
                <w:noProof/>
                <w:sz w:val="28"/>
                <w:szCs w:val="28"/>
              </w:rPr>
              <w:t>3.</w:t>
            </w:r>
            <w:r w:rsidR="00704555" w:rsidRPr="007D2969">
              <w:rPr>
                <w:rFonts w:eastAsia="Times New Roman" w:cs="Arial"/>
                <w:noProof/>
                <w:sz w:val="28"/>
                <w:szCs w:val="28"/>
              </w:rPr>
              <w:t xml:space="preserve"> </w:t>
            </w:r>
            <w:r w:rsidR="00704555" w:rsidRPr="008A5AC9">
              <w:rPr>
                <w:rFonts w:eastAsia="Times New Roman" w:cs="Arial"/>
                <w:noProof/>
                <w:sz w:val="28"/>
                <w:szCs w:val="28"/>
              </w:rPr>
              <w:t>Personal Capability Development Plan</w:t>
            </w:r>
            <w:r w:rsidR="0092407E" w:rsidRPr="007D2969">
              <w:rPr>
                <w:rFonts w:cs="Arial"/>
                <w:noProof/>
                <w:webHidden/>
                <w:sz w:val="28"/>
                <w:szCs w:val="28"/>
              </w:rPr>
              <w:tab/>
            </w:r>
            <w:r w:rsidR="0092407E" w:rsidRPr="007D2969">
              <w:rPr>
                <w:rFonts w:cs="Arial"/>
                <w:noProof/>
                <w:webHidden/>
                <w:sz w:val="28"/>
                <w:szCs w:val="28"/>
              </w:rPr>
              <w:fldChar w:fldCharType="begin"/>
            </w:r>
            <w:r w:rsidR="0092407E" w:rsidRPr="007D2969">
              <w:rPr>
                <w:rFonts w:cs="Arial"/>
                <w:noProof/>
                <w:webHidden/>
                <w:sz w:val="28"/>
                <w:szCs w:val="28"/>
              </w:rPr>
              <w:instrText xml:space="preserve"> PAGEREF _Toc242827568 \h </w:instrText>
            </w:r>
            <w:r w:rsidR="0092407E" w:rsidRPr="007D2969">
              <w:rPr>
                <w:rFonts w:cs="Arial"/>
                <w:noProof/>
                <w:webHidden/>
                <w:sz w:val="28"/>
                <w:szCs w:val="28"/>
              </w:rPr>
            </w:r>
            <w:r w:rsidR="0092407E" w:rsidRPr="007D2969">
              <w:rPr>
                <w:rFonts w:cs="Arial"/>
                <w:noProof/>
                <w:webHidden/>
                <w:sz w:val="28"/>
                <w:szCs w:val="28"/>
              </w:rPr>
              <w:fldChar w:fldCharType="separate"/>
            </w:r>
            <w:r w:rsidR="007D2969">
              <w:rPr>
                <w:rFonts w:cs="Arial"/>
                <w:noProof/>
                <w:webHidden/>
                <w:sz w:val="28"/>
                <w:szCs w:val="28"/>
              </w:rPr>
              <w:t>17</w:t>
            </w:r>
            <w:r w:rsidR="0092407E" w:rsidRPr="007D2969">
              <w:rPr>
                <w:rFonts w:cs="Arial"/>
                <w:noProof/>
                <w:webHidden/>
                <w:sz w:val="28"/>
                <w:szCs w:val="28"/>
              </w:rPr>
              <w:fldChar w:fldCharType="end"/>
            </w:r>
          </w:hyperlink>
        </w:p>
        <w:p w:rsidR="0092407E" w:rsidRPr="007D2969" w:rsidRDefault="00153441" w:rsidP="007D2969">
          <w:pPr>
            <w:pStyle w:val="TOC1"/>
            <w:tabs>
              <w:tab w:val="right" w:leader="dot" w:pos="9736"/>
            </w:tabs>
            <w:spacing w:line="360" w:lineRule="auto"/>
            <w:rPr>
              <w:rFonts w:eastAsiaTheme="minorEastAsia" w:cs="Arial"/>
              <w:noProof/>
              <w:sz w:val="28"/>
              <w:szCs w:val="28"/>
            </w:rPr>
          </w:pPr>
          <w:hyperlink w:anchor="_Toc242827569" w:history="1">
            <w:r w:rsidR="0092407E" w:rsidRPr="007D2969">
              <w:rPr>
                <w:rStyle w:val="Hyperlink"/>
                <w:rFonts w:cs="Arial"/>
                <w:noProof/>
                <w:sz w:val="28"/>
                <w:szCs w:val="28"/>
              </w:rPr>
              <w:t>References</w:t>
            </w:r>
            <w:r w:rsidR="0092407E" w:rsidRPr="007D2969">
              <w:rPr>
                <w:rFonts w:cs="Arial"/>
                <w:noProof/>
                <w:webHidden/>
                <w:sz w:val="28"/>
                <w:szCs w:val="28"/>
              </w:rPr>
              <w:tab/>
            </w:r>
            <w:r w:rsidR="0092407E" w:rsidRPr="007D2969">
              <w:rPr>
                <w:rFonts w:cs="Arial"/>
                <w:noProof/>
                <w:webHidden/>
                <w:sz w:val="28"/>
                <w:szCs w:val="28"/>
              </w:rPr>
              <w:fldChar w:fldCharType="begin"/>
            </w:r>
            <w:r w:rsidR="0092407E" w:rsidRPr="007D2969">
              <w:rPr>
                <w:rFonts w:cs="Arial"/>
                <w:noProof/>
                <w:webHidden/>
                <w:sz w:val="28"/>
                <w:szCs w:val="28"/>
              </w:rPr>
              <w:instrText xml:space="preserve"> PAGEREF _Toc242827569 \h </w:instrText>
            </w:r>
            <w:r w:rsidR="0092407E" w:rsidRPr="007D2969">
              <w:rPr>
                <w:rFonts w:cs="Arial"/>
                <w:noProof/>
                <w:webHidden/>
                <w:sz w:val="28"/>
                <w:szCs w:val="28"/>
              </w:rPr>
            </w:r>
            <w:r w:rsidR="0092407E" w:rsidRPr="007D2969">
              <w:rPr>
                <w:rFonts w:cs="Arial"/>
                <w:noProof/>
                <w:webHidden/>
                <w:sz w:val="28"/>
                <w:szCs w:val="28"/>
              </w:rPr>
              <w:fldChar w:fldCharType="separate"/>
            </w:r>
            <w:r w:rsidR="007D2969">
              <w:rPr>
                <w:rFonts w:cs="Arial"/>
                <w:noProof/>
                <w:webHidden/>
                <w:sz w:val="28"/>
                <w:szCs w:val="28"/>
              </w:rPr>
              <w:t>19</w:t>
            </w:r>
            <w:r w:rsidR="0092407E" w:rsidRPr="007D2969">
              <w:rPr>
                <w:rFonts w:cs="Arial"/>
                <w:noProof/>
                <w:webHidden/>
                <w:sz w:val="28"/>
                <w:szCs w:val="28"/>
              </w:rPr>
              <w:fldChar w:fldCharType="end"/>
            </w:r>
          </w:hyperlink>
        </w:p>
        <w:p w:rsidR="0092407E" w:rsidRPr="007D2969" w:rsidRDefault="00153441" w:rsidP="007D2969">
          <w:pPr>
            <w:pStyle w:val="TOC1"/>
            <w:tabs>
              <w:tab w:val="right" w:leader="dot" w:pos="9736"/>
            </w:tabs>
            <w:spacing w:line="360" w:lineRule="auto"/>
            <w:rPr>
              <w:rFonts w:eastAsiaTheme="minorEastAsia" w:cs="Arial"/>
              <w:noProof/>
              <w:sz w:val="28"/>
              <w:szCs w:val="28"/>
            </w:rPr>
          </w:pPr>
          <w:hyperlink w:anchor="_Toc242827570" w:history="1">
            <w:r w:rsidR="0092407E" w:rsidRPr="007D2969">
              <w:rPr>
                <w:rStyle w:val="Hyperlink"/>
                <w:rFonts w:cs="Arial"/>
                <w:noProof/>
                <w:sz w:val="28"/>
                <w:szCs w:val="28"/>
              </w:rPr>
              <w:t>Appendix</w:t>
            </w:r>
            <w:r w:rsidR="0092407E" w:rsidRPr="007D2969">
              <w:rPr>
                <w:rFonts w:cs="Arial"/>
                <w:noProof/>
                <w:webHidden/>
                <w:sz w:val="28"/>
                <w:szCs w:val="28"/>
              </w:rPr>
              <w:tab/>
            </w:r>
            <w:r w:rsidR="0092407E" w:rsidRPr="007D2969">
              <w:rPr>
                <w:rFonts w:cs="Arial"/>
                <w:noProof/>
                <w:webHidden/>
                <w:sz w:val="28"/>
                <w:szCs w:val="28"/>
              </w:rPr>
              <w:fldChar w:fldCharType="begin"/>
            </w:r>
            <w:r w:rsidR="0092407E" w:rsidRPr="007D2969">
              <w:rPr>
                <w:rFonts w:cs="Arial"/>
                <w:noProof/>
                <w:webHidden/>
                <w:sz w:val="28"/>
                <w:szCs w:val="28"/>
              </w:rPr>
              <w:instrText xml:space="preserve"> PAGEREF _Toc242827570 \h </w:instrText>
            </w:r>
            <w:r w:rsidR="0092407E" w:rsidRPr="007D2969">
              <w:rPr>
                <w:rFonts w:cs="Arial"/>
                <w:noProof/>
                <w:webHidden/>
                <w:sz w:val="28"/>
                <w:szCs w:val="28"/>
              </w:rPr>
            </w:r>
            <w:r w:rsidR="0092407E" w:rsidRPr="007D2969">
              <w:rPr>
                <w:rFonts w:cs="Arial"/>
                <w:noProof/>
                <w:webHidden/>
                <w:sz w:val="28"/>
                <w:szCs w:val="28"/>
              </w:rPr>
              <w:fldChar w:fldCharType="separate"/>
            </w:r>
            <w:r w:rsidR="007D2969">
              <w:rPr>
                <w:rFonts w:cs="Arial"/>
                <w:noProof/>
                <w:webHidden/>
                <w:sz w:val="28"/>
                <w:szCs w:val="28"/>
              </w:rPr>
              <w:t>22</w:t>
            </w:r>
            <w:r w:rsidR="0092407E" w:rsidRPr="007D2969">
              <w:rPr>
                <w:rFonts w:cs="Arial"/>
                <w:noProof/>
                <w:webHidden/>
                <w:sz w:val="28"/>
                <w:szCs w:val="28"/>
              </w:rPr>
              <w:fldChar w:fldCharType="end"/>
            </w:r>
          </w:hyperlink>
        </w:p>
        <w:p w:rsidR="0092407E" w:rsidRPr="007D2969" w:rsidRDefault="0092407E" w:rsidP="007D2969">
          <w:pPr>
            <w:pStyle w:val="TOC1"/>
            <w:tabs>
              <w:tab w:val="right" w:leader="dot" w:pos="9736"/>
            </w:tabs>
            <w:spacing w:line="360" w:lineRule="auto"/>
            <w:rPr>
              <w:rFonts w:eastAsiaTheme="minorEastAsia" w:cs="Arial"/>
              <w:noProof/>
              <w:sz w:val="28"/>
              <w:szCs w:val="28"/>
            </w:rPr>
          </w:pPr>
        </w:p>
        <w:p w:rsidR="0092407E" w:rsidRPr="007D2969" w:rsidRDefault="0092407E" w:rsidP="007D2969">
          <w:pPr>
            <w:pStyle w:val="TOC1"/>
            <w:tabs>
              <w:tab w:val="right" w:leader="dot" w:pos="9736"/>
            </w:tabs>
            <w:spacing w:line="360" w:lineRule="auto"/>
            <w:rPr>
              <w:rFonts w:eastAsiaTheme="minorEastAsia" w:cs="Arial"/>
              <w:noProof/>
              <w:sz w:val="28"/>
              <w:szCs w:val="28"/>
            </w:rPr>
          </w:pPr>
        </w:p>
        <w:p w:rsidR="0092407E" w:rsidRPr="007D2969" w:rsidRDefault="0092407E" w:rsidP="007D2969">
          <w:pPr>
            <w:pStyle w:val="TOC3"/>
            <w:tabs>
              <w:tab w:val="right" w:leader="dot" w:pos="9736"/>
            </w:tabs>
            <w:spacing w:line="360" w:lineRule="auto"/>
            <w:rPr>
              <w:rFonts w:eastAsiaTheme="minorEastAsia" w:cs="Arial"/>
              <w:noProof/>
              <w:sz w:val="28"/>
              <w:szCs w:val="28"/>
            </w:rPr>
          </w:pPr>
        </w:p>
        <w:p w:rsidR="0092407E" w:rsidRPr="007D2969" w:rsidRDefault="0092407E" w:rsidP="007D2969">
          <w:pPr>
            <w:pStyle w:val="TOC1"/>
            <w:tabs>
              <w:tab w:val="right" w:leader="dot" w:pos="9736"/>
            </w:tabs>
            <w:spacing w:line="360" w:lineRule="auto"/>
            <w:rPr>
              <w:rFonts w:eastAsiaTheme="minorEastAsia" w:cs="Arial"/>
              <w:noProof/>
              <w:sz w:val="28"/>
              <w:szCs w:val="28"/>
            </w:rPr>
          </w:pPr>
        </w:p>
        <w:p w:rsidR="00184162" w:rsidRDefault="00A84BF0" w:rsidP="00184162">
          <w:pPr>
            <w:pStyle w:val="TOC3"/>
            <w:tabs>
              <w:tab w:val="right" w:leader="dot" w:pos="9736"/>
            </w:tabs>
            <w:spacing w:line="360" w:lineRule="auto"/>
            <w:ind w:left="0"/>
            <w:rPr>
              <w:rFonts w:cs="Arial"/>
              <w:b/>
              <w:bCs/>
              <w:noProof/>
            </w:rPr>
          </w:pPr>
          <w:r w:rsidRPr="007D2969">
            <w:rPr>
              <w:rFonts w:cs="Arial"/>
              <w:noProof/>
              <w:sz w:val="28"/>
              <w:szCs w:val="28"/>
            </w:rPr>
            <w:fldChar w:fldCharType="end"/>
          </w:r>
        </w:p>
      </w:sdtContent>
    </w:sdt>
    <w:p w:rsidR="0092407E" w:rsidRPr="00184162" w:rsidRDefault="0092407E" w:rsidP="00184162">
      <w:pPr>
        <w:pStyle w:val="TOC3"/>
        <w:tabs>
          <w:tab w:val="right" w:leader="dot" w:pos="9736"/>
        </w:tabs>
        <w:spacing w:line="360" w:lineRule="auto"/>
        <w:ind w:left="0"/>
        <w:rPr>
          <w:b/>
          <w:bCs/>
          <w:noProof/>
        </w:rPr>
      </w:pPr>
      <w:r w:rsidRPr="0092407E">
        <w:rPr>
          <w:rFonts w:cs="Arial"/>
          <w:b/>
          <w:bCs/>
          <w:color w:val="1F3864"/>
          <w:sz w:val="28"/>
          <w:szCs w:val="28"/>
        </w:rPr>
        <w:lastRenderedPageBreak/>
        <w:t>List of Tables</w:t>
      </w:r>
    </w:p>
    <w:tbl>
      <w:tblPr>
        <w:tblW w:w="9443"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22"/>
        <w:gridCol w:w="7321"/>
      </w:tblGrid>
      <w:tr w:rsidR="0092407E" w:rsidRPr="00714738" w:rsidTr="0092407E">
        <w:trPr>
          <w:trHeight w:val="274"/>
          <w:tblHeader/>
          <w:tblCellSpacing w:w="15" w:type="dxa"/>
        </w:trPr>
        <w:tc>
          <w:tcPr>
            <w:tcW w:w="2077" w:type="dxa"/>
            <w:vAlign w:val="center"/>
            <w:hideMark/>
          </w:tcPr>
          <w:p w:rsidR="0092407E" w:rsidRPr="00714738" w:rsidRDefault="0092407E" w:rsidP="0092407E">
            <w:pPr>
              <w:spacing w:line="480" w:lineRule="auto"/>
              <w:jc w:val="center"/>
              <w:rPr>
                <w:rFonts w:eastAsia="Times New Roman" w:cs="Arial"/>
                <w:b/>
                <w:bCs/>
                <w:sz w:val="28"/>
                <w:szCs w:val="28"/>
              </w:rPr>
            </w:pPr>
            <w:r w:rsidRPr="00714738">
              <w:rPr>
                <w:rFonts w:eastAsia="Times New Roman" w:cs="Arial"/>
                <w:b/>
                <w:bCs/>
                <w:sz w:val="28"/>
                <w:szCs w:val="28"/>
              </w:rPr>
              <w:t>Table Number</w:t>
            </w:r>
          </w:p>
        </w:tc>
        <w:tc>
          <w:tcPr>
            <w:tcW w:w="7276" w:type="dxa"/>
            <w:vAlign w:val="center"/>
            <w:hideMark/>
          </w:tcPr>
          <w:p w:rsidR="0092407E" w:rsidRPr="00714738" w:rsidRDefault="0092407E" w:rsidP="0092407E">
            <w:pPr>
              <w:spacing w:line="480" w:lineRule="auto"/>
              <w:jc w:val="center"/>
              <w:rPr>
                <w:rFonts w:eastAsia="Times New Roman" w:cs="Arial"/>
                <w:b/>
                <w:bCs/>
                <w:sz w:val="28"/>
                <w:szCs w:val="28"/>
              </w:rPr>
            </w:pPr>
            <w:r w:rsidRPr="00714738">
              <w:rPr>
                <w:rFonts w:eastAsia="Times New Roman" w:cs="Arial"/>
                <w:b/>
                <w:bCs/>
                <w:sz w:val="28"/>
                <w:szCs w:val="28"/>
              </w:rPr>
              <w:t>Title</w:t>
            </w:r>
          </w:p>
        </w:tc>
      </w:tr>
      <w:tr w:rsidR="0092407E" w:rsidRPr="00714738" w:rsidTr="0092407E">
        <w:trPr>
          <w:trHeight w:val="285"/>
          <w:tblCellSpacing w:w="15" w:type="dxa"/>
        </w:trPr>
        <w:tc>
          <w:tcPr>
            <w:tcW w:w="2077" w:type="dxa"/>
            <w:vAlign w:val="center"/>
            <w:hideMark/>
          </w:tcPr>
          <w:p w:rsidR="0092407E" w:rsidRPr="00714738" w:rsidRDefault="0092407E" w:rsidP="0092407E">
            <w:pPr>
              <w:spacing w:line="480" w:lineRule="auto"/>
              <w:jc w:val="center"/>
              <w:rPr>
                <w:rFonts w:eastAsia="Times New Roman" w:cs="Arial"/>
                <w:b/>
                <w:bCs/>
                <w:sz w:val="28"/>
                <w:szCs w:val="28"/>
              </w:rPr>
            </w:pPr>
            <w:r w:rsidRPr="00714738">
              <w:rPr>
                <w:rFonts w:eastAsia="Times New Roman" w:cs="Arial"/>
                <w:b/>
                <w:bCs/>
                <w:sz w:val="28"/>
                <w:szCs w:val="28"/>
              </w:rPr>
              <w:t>Table 1</w:t>
            </w:r>
          </w:p>
        </w:tc>
        <w:tc>
          <w:tcPr>
            <w:tcW w:w="7276" w:type="dxa"/>
            <w:vAlign w:val="center"/>
            <w:hideMark/>
          </w:tcPr>
          <w:p w:rsidR="0092407E" w:rsidRPr="00714738" w:rsidRDefault="0092407E" w:rsidP="0092407E">
            <w:pPr>
              <w:spacing w:line="480" w:lineRule="auto"/>
              <w:rPr>
                <w:rFonts w:eastAsia="Times New Roman" w:cs="Arial"/>
                <w:sz w:val="28"/>
                <w:szCs w:val="28"/>
              </w:rPr>
            </w:pPr>
            <w:r w:rsidRPr="00714738">
              <w:rPr>
                <w:rFonts w:eastAsia="Times New Roman" w:cs="Arial"/>
                <w:sz w:val="28"/>
                <w:szCs w:val="28"/>
              </w:rPr>
              <w:t>Personal Capability Development Plan</w:t>
            </w:r>
          </w:p>
        </w:tc>
      </w:tr>
      <w:tr w:rsidR="0092407E" w:rsidRPr="00714738" w:rsidTr="0092407E">
        <w:trPr>
          <w:trHeight w:val="274"/>
          <w:tblCellSpacing w:w="15" w:type="dxa"/>
        </w:trPr>
        <w:tc>
          <w:tcPr>
            <w:tcW w:w="2077" w:type="dxa"/>
            <w:vAlign w:val="center"/>
            <w:hideMark/>
          </w:tcPr>
          <w:p w:rsidR="0092407E" w:rsidRPr="00714738" w:rsidRDefault="0092407E" w:rsidP="0092407E">
            <w:pPr>
              <w:spacing w:line="480" w:lineRule="auto"/>
              <w:jc w:val="center"/>
              <w:rPr>
                <w:rFonts w:eastAsia="Times New Roman" w:cs="Arial"/>
                <w:b/>
                <w:bCs/>
                <w:sz w:val="28"/>
                <w:szCs w:val="28"/>
              </w:rPr>
            </w:pPr>
            <w:r w:rsidRPr="00714738">
              <w:rPr>
                <w:rFonts w:eastAsia="Times New Roman" w:cs="Arial"/>
                <w:b/>
                <w:bCs/>
                <w:sz w:val="28"/>
                <w:szCs w:val="28"/>
              </w:rPr>
              <w:t>Table 2</w:t>
            </w:r>
          </w:p>
        </w:tc>
        <w:tc>
          <w:tcPr>
            <w:tcW w:w="7276" w:type="dxa"/>
            <w:vAlign w:val="center"/>
            <w:hideMark/>
          </w:tcPr>
          <w:p w:rsidR="0092407E" w:rsidRPr="00714738" w:rsidRDefault="0092407E" w:rsidP="0092407E">
            <w:pPr>
              <w:spacing w:line="480" w:lineRule="auto"/>
              <w:rPr>
                <w:rFonts w:eastAsia="Times New Roman" w:cs="Arial"/>
                <w:sz w:val="28"/>
                <w:szCs w:val="28"/>
              </w:rPr>
            </w:pPr>
            <w:proofErr w:type="spellStart"/>
            <w:r w:rsidRPr="00714738">
              <w:rPr>
                <w:rFonts w:eastAsia="Times New Roman" w:cs="Arial"/>
                <w:sz w:val="28"/>
                <w:szCs w:val="28"/>
              </w:rPr>
              <w:t>NexSpace</w:t>
            </w:r>
            <w:proofErr w:type="spellEnd"/>
            <w:r w:rsidRPr="00714738">
              <w:rPr>
                <w:rFonts w:eastAsia="Times New Roman" w:cs="Arial"/>
                <w:sz w:val="28"/>
                <w:szCs w:val="28"/>
              </w:rPr>
              <w:t xml:space="preserve"> 12</w:t>
            </w:r>
            <w:r w:rsidRPr="00714738">
              <w:rPr>
                <w:rFonts w:eastAsia="Times New Roman" w:cs="Arial"/>
                <w:sz w:val="28"/>
                <w:szCs w:val="28"/>
              </w:rPr>
              <w:noBreakHyphen/>
              <w:t>Month Integrated Transformation Roadmap (Appendix B)</w:t>
            </w:r>
          </w:p>
        </w:tc>
      </w:tr>
    </w:tbl>
    <w:p w:rsidR="0092407E" w:rsidRPr="0092407E" w:rsidRDefault="0092407E" w:rsidP="0092407E">
      <w:pPr>
        <w:rPr>
          <w:rFonts w:cs="Arial"/>
          <w:sz w:val="28"/>
          <w:szCs w:val="28"/>
        </w:rPr>
      </w:pPr>
    </w:p>
    <w:p w:rsidR="00C832F7" w:rsidRPr="00714738" w:rsidRDefault="00C832F7" w:rsidP="00C832F7">
      <w:pPr>
        <w:pageBreakBefore/>
        <w:spacing w:after="200"/>
        <w:rPr>
          <w:rFonts w:cs="Arial"/>
          <w:b/>
          <w:bCs/>
          <w:color w:val="1F3864"/>
          <w:sz w:val="28"/>
          <w:szCs w:val="28"/>
        </w:rPr>
      </w:pPr>
      <w:r w:rsidRPr="00714738">
        <w:rPr>
          <w:rFonts w:cs="Arial"/>
          <w:b/>
          <w:bCs/>
          <w:color w:val="1F3864"/>
          <w:sz w:val="28"/>
          <w:szCs w:val="28"/>
        </w:rPr>
        <w:lastRenderedPageBreak/>
        <w:t>List of Figures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26"/>
        <w:gridCol w:w="7810"/>
      </w:tblGrid>
      <w:tr w:rsidR="00F90220" w:rsidRPr="00714738" w:rsidTr="00F90220">
        <w:trPr>
          <w:tblHeader/>
          <w:tblCellSpacing w:w="15" w:type="dxa"/>
        </w:trPr>
        <w:tc>
          <w:tcPr>
            <w:tcW w:w="0" w:type="auto"/>
            <w:vAlign w:val="center"/>
            <w:hideMark/>
          </w:tcPr>
          <w:p w:rsidR="00F90220" w:rsidRPr="00714738" w:rsidRDefault="00F90220" w:rsidP="0092407E">
            <w:pPr>
              <w:spacing w:line="480" w:lineRule="auto"/>
              <w:jc w:val="center"/>
              <w:rPr>
                <w:rFonts w:eastAsia="Times New Roman" w:cs="Arial"/>
                <w:b/>
                <w:bCs/>
                <w:sz w:val="28"/>
                <w:szCs w:val="28"/>
              </w:rPr>
            </w:pPr>
            <w:r w:rsidRPr="00714738">
              <w:rPr>
                <w:rFonts w:eastAsia="Times New Roman" w:cs="Arial"/>
                <w:b/>
                <w:bCs/>
                <w:sz w:val="28"/>
                <w:szCs w:val="28"/>
              </w:rPr>
              <w:t>Figure Number</w:t>
            </w:r>
          </w:p>
        </w:tc>
        <w:tc>
          <w:tcPr>
            <w:tcW w:w="0" w:type="auto"/>
            <w:vAlign w:val="center"/>
            <w:hideMark/>
          </w:tcPr>
          <w:p w:rsidR="00F90220" w:rsidRPr="00714738" w:rsidRDefault="00F90220" w:rsidP="0092407E">
            <w:pPr>
              <w:spacing w:line="480" w:lineRule="auto"/>
              <w:jc w:val="center"/>
              <w:rPr>
                <w:rFonts w:eastAsia="Times New Roman" w:cs="Arial"/>
                <w:b/>
                <w:bCs/>
                <w:sz w:val="28"/>
                <w:szCs w:val="28"/>
              </w:rPr>
            </w:pPr>
            <w:r w:rsidRPr="00714738">
              <w:rPr>
                <w:rFonts w:eastAsia="Times New Roman" w:cs="Arial"/>
                <w:b/>
                <w:bCs/>
                <w:sz w:val="28"/>
                <w:szCs w:val="28"/>
              </w:rPr>
              <w:t>Title</w:t>
            </w:r>
          </w:p>
        </w:tc>
      </w:tr>
      <w:tr w:rsidR="00F90220" w:rsidRPr="00714738" w:rsidTr="00F90220">
        <w:trPr>
          <w:tblCellSpacing w:w="15" w:type="dxa"/>
        </w:trPr>
        <w:tc>
          <w:tcPr>
            <w:tcW w:w="0" w:type="auto"/>
            <w:vAlign w:val="center"/>
            <w:hideMark/>
          </w:tcPr>
          <w:p w:rsidR="00F90220" w:rsidRPr="00714738" w:rsidRDefault="00F90220" w:rsidP="0092407E">
            <w:pPr>
              <w:spacing w:line="480" w:lineRule="auto"/>
              <w:jc w:val="center"/>
              <w:rPr>
                <w:rFonts w:eastAsia="Times New Roman" w:cs="Arial"/>
                <w:b/>
                <w:bCs/>
                <w:sz w:val="28"/>
                <w:szCs w:val="28"/>
              </w:rPr>
            </w:pPr>
            <w:r w:rsidRPr="00714738">
              <w:rPr>
                <w:rFonts w:eastAsia="Times New Roman" w:cs="Arial"/>
                <w:b/>
                <w:bCs/>
                <w:sz w:val="28"/>
                <w:szCs w:val="28"/>
              </w:rPr>
              <w:t>Figure 1</w:t>
            </w:r>
          </w:p>
        </w:tc>
        <w:tc>
          <w:tcPr>
            <w:tcW w:w="0" w:type="auto"/>
            <w:vAlign w:val="center"/>
            <w:hideMark/>
          </w:tcPr>
          <w:p w:rsidR="00F90220" w:rsidRPr="00714738" w:rsidRDefault="00F90220" w:rsidP="0092407E">
            <w:pPr>
              <w:spacing w:line="480" w:lineRule="auto"/>
              <w:rPr>
                <w:rFonts w:eastAsia="Times New Roman" w:cs="Arial"/>
                <w:sz w:val="28"/>
                <w:szCs w:val="28"/>
              </w:rPr>
            </w:pPr>
            <w:r w:rsidRPr="00714738">
              <w:rPr>
                <w:rFonts w:eastAsia="Times New Roman" w:cs="Arial"/>
                <w:sz w:val="28"/>
                <w:szCs w:val="28"/>
              </w:rPr>
              <w:t xml:space="preserve">The Ability, Motivation, Opportunity (AMO) Model Applied to </w:t>
            </w:r>
            <w:proofErr w:type="spellStart"/>
            <w:r w:rsidRPr="00714738">
              <w:rPr>
                <w:rFonts w:eastAsia="Times New Roman" w:cs="Arial"/>
                <w:sz w:val="28"/>
                <w:szCs w:val="28"/>
              </w:rPr>
              <w:t>NexSpace</w:t>
            </w:r>
            <w:proofErr w:type="spellEnd"/>
          </w:p>
        </w:tc>
      </w:tr>
      <w:tr w:rsidR="00F90220" w:rsidRPr="00714738" w:rsidTr="00F90220">
        <w:trPr>
          <w:tblCellSpacing w:w="15" w:type="dxa"/>
        </w:trPr>
        <w:tc>
          <w:tcPr>
            <w:tcW w:w="0" w:type="auto"/>
            <w:vAlign w:val="center"/>
            <w:hideMark/>
          </w:tcPr>
          <w:p w:rsidR="00F90220" w:rsidRPr="00714738" w:rsidRDefault="00F90220" w:rsidP="0092407E">
            <w:pPr>
              <w:spacing w:line="480" w:lineRule="auto"/>
              <w:jc w:val="center"/>
              <w:rPr>
                <w:rFonts w:eastAsia="Times New Roman" w:cs="Arial"/>
                <w:b/>
                <w:bCs/>
                <w:sz w:val="28"/>
                <w:szCs w:val="28"/>
              </w:rPr>
            </w:pPr>
            <w:r w:rsidRPr="00714738">
              <w:rPr>
                <w:rFonts w:eastAsia="Times New Roman" w:cs="Arial"/>
                <w:b/>
                <w:bCs/>
                <w:sz w:val="28"/>
                <w:szCs w:val="28"/>
              </w:rPr>
              <w:t>Figure 2</w:t>
            </w:r>
          </w:p>
        </w:tc>
        <w:tc>
          <w:tcPr>
            <w:tcW w:w="0" w:type="auto"/>
            <w:vAlign w:val="center"/>
            <w:hideMark/>
          </w:tcPr>
          <w:p w:rsidR="00F90220" w:rsidRPr="00714738" w:rsidRDefault="00F90220" w:rsidP="0092407E">
            <w:pPr>
              <w:spacing w:line="480" w:lineRule="auto"/>
              <w:rPr>
                <w:rFonts w:eastAsia="Times New Roman" w:cs="Arial"/>
                <w:sz w:val="28"/>
                <w:szCs w:val="28"/>
              </w:rPr>
            </w:pPr>
            <w:r w:rsidRPr="00714738">
              <w:rPr>
                <w:rFonts w:eastAsia="Times New Roman" w:cs="Arial"/>
                <w:sz w:val="28"/>
                <w:szCs w:val="28"/>
              </w:rPr>
              <w:t>Mechanistic versus Organic Work Design: Comparison Matrix</w:t>
            </w:r>
          </w:p>
        </w:tc>
      </w:tr>
      <w:tr w:rsidR="00F90220" w:rsidRPr="00714738" w:rsidTr="00F90220">
        <w:trPr>
          <w:tblCellSpacing w:w="15" w:type="dxa"/>
        </w:trPr>
        <w:tc>
          <w:tcPr>
            <w:tcW w:w="0" w:type="auto"/>
            <w:vAlign w:val="center"/>
            <w:hideMark/>
          </w:tcPr>
          <w:p w:rsidR="00F90220" w:rsidRPr="00714738" w:rsidRDefault="00F90220" w:rsidP="0092407E">
            <w:pPr>
              <w:spacing w:line="480" w:lineRule="auto"/>
              <w:jc w:val="center"/>
              <w:rPr>
                <w:rFonts w:eastAsia="Times New Roman" w:cs="Arial"/>
                <w:b/>
                <w:bCs/>
                <w:sz w:val="28"/>
                <w:szCs w:val="28"/>
              </w:rPr>
            </w:pPr>
            <w:r w:rsidRPr="00714738">
              <w:rPr>
                <w:rFonts w:eastAsia="Times New Roman" w:cs="Arial"/>
                <w:b/>
                <w:bCs/>
                <w:sz w:val="28"/>
                <w:szCs w:val="28"/>
              </w:rPr>
              <w:t>Figure 3</w:t>
            </w:r>
          </w:p>
        </w:tc>
        <w:tc>
          <w:tcPr>
            <w:tcW w:w="0" w:type="auto"/>
            <w:vAlign w:val="center"/>
            <w:hideMark/>
          </w:tcPr>
          <w:p w:rsidR="00F90220" w:rsidRPr="00714738" w:rsidRDefault="00F90220" w:rsidP="0092407E">
            <w:pPr>
              <w:spacing w:line="480" w:lineRule="auto"/>
              <w:rPr>
                <w:rFonts w:eastAsia="Times New Roman" w:cs="Arial"/>
                <w:sz w:val="28"/>
                <w:szCs w:val="28"/>
              </w:rPr>
            </w:pPr>
            <w:r w:rsidRPr="00714738">
              <w:rPr>
                <w:rFonts w:eastAsia="Times New Roman" w:cs="Arial"/>
                <w:sz w:val="28"/>
                <w:szCs w:val="28"/>
              </w:rPr>
              <w:t>The Job Demands</w:t>
            </w:r>
            <w:r w:rsidRPr="00714738">
              <w:rPr>
                <w:rFonts w:eastAsia="Times New Roman" w:cs="Arial"/>
                <w:sz w:val="28"/>
                <w:szCs w:val="28"/>
              </w:rPr>
              <w:noBreakHyphen/>
              <w:t>Resources (JD</w:t>
            </w:r>
            <w:r w:rsidRPr="00714738">
              <w:rPr>
                <w:rFonts w:eastAsia="Times New Roman" w:cs="Arial"/>
                <w:sz w:val="28"/>
                <w:szCs w:val="28"/>
              </w:rPr>
              <w:noBreakHyphen/>
              <w:t xml:space="preserve">R) Model Applied to </w:t>
            </w:r>
            <w:proofErr w:type="spellStart"/>
            <w:r w:rsidRPr="00714738">
              <w:rPr>
                <w:rFonts w:eastAsia="Times New Roman" w:cs="Arial"/>
                <w:sz w:val="28"/>
                <w:szCs w:val="28"/>
              </w:rPr>
              <w:t>NexSpace</w:t>
            </w:r>
            <w:proofErr w:type="spellEnd"/>
          </w:p>
        </w:tc>
      </w:tr>
      <w:tr w:rsidR="00F90220" w:rsidRPr="00714738" w:rsidTr="00F90220">
        <w:trPr>
          <w:tblCellSpacing w:w="15" w:type="dxa"/>
        </w:trPr>
        <w:tc>
          <w:tcPr>
            <w:tcW w:w="0" w:type="auto"/>
            <w:vAlign w:val="center"/>
            <w:hideMark/>
          </w:tcPr>
          <w:p w:rsidR="00F90220" w:rsidRPr="00714738" w:rsidRDefault="00F90220" w:rsidP="0092407E">
            <w:pPr>
              <w:spacing w:line="480" w:lineRule="auto"/>
              <w:jc w:val="center"/>
              <w:rPr>
                <w:rFonts w:eastAsia="Times New Roman" w:cs="Arial"/>
                <w:b/>
                <w:bCs/>
                <w:sz w:val="28"/>
                <w:szCs w:val="28"/>
              </w:rPr>
            </w:pPr>
            <w:r w:rsidRPr="00714738">
              <w:rPr>
                <w:rFonts w:eastAsia="Times New Roman" w:cs="Arial"/>
                <w:b/>
                <w:bCs/>
                <w:sz w:val="28"/>
                <w:szCs w:val="28"/>
              </w:rPr>
              <w:t>Figure 4</w:t>
            </w:r>
          </w:p>
        </w:tc>
        <w:tc>
          <w:tcPr>
            <w:tcW w:w="0" w:type="auto"/>
            <w:vAlign w:val="center"/>
            <w:hideMark/>
          </w:tcPr>
          <w:p w:rsidR="00F90220" w:rsidRPr="00714738" w:rsidRDefault="00F90220" w:rsidP="0092407E">
            <w:pPr>
              <w:spacing w:line="480" w:lineRule="auto"/>
              <w:rPr>
                <w:rFonts w:eastAsia="Times New Roman" w:cs="Arial"/>
                <w:sz w:val="28"/>
                <w:szCs w:val="28"/>
              </w:rPr>
            </w:pPr>
            <w:proofErr w:type="spellStart"/>
            <w:r w:rsidRPr="00714738">
              <w:rPr>
                <w:rFonts w:eastAsia="Times New Roman" w:cs="Arial"/>
                <w:sz w:val="28"/>
                <w:szCs w:val="28"/>
              </w:rPr>
              <w:t>NexSpace</w:t>
            </w:r>
            <w:proofErr w:type="spellEnd"/>
            <w:r w:rsidRPr="00714738">
              <w:rPr>
                <w:rFonts w:eastAsia="Times New Roman" w:cs="Arial"/>
                <w:sz w:val="28"/>
                <w:szCs w:val="28"/>
              </w:rPr>
              <w:t xml:space="preserve"> Integrated Innovative Work Design Framework</w:t>
            </w:r>
          </w:p>
        </w:tc>
      </w:tr>
      <w:tr w:rsidR="00F90220" w:rsidRPr="00714738" w:rsidTr="00F90220">
        <w:trPr>
          <w:tblCellSpacing w:w="15" w:type="dxa"/>
        </w:trPr>
        <w:tc>
          <w:tcPr>
            <w:tcW w:w="0" w:type="auto"/>
            <w:vAlign w:val="center"/>
            <w:hideMark/>
          </w:tcPr>
          <w:p w:rsidR="00F90220" w:rsidRPr="00714738" w:rsidRDefault="00F90220" w:rsidP="0092407E">
            <w:pPr>
              <w:spacing w:line="480" w:lineRule="auto"/>
              <w:jc w:val="center"/>
              <w:rPr>
                <w:rFonts w:eastAsia="Times New Roman" w:cs="Arial"/>
                <w:b/>
                <w:bCs/>
                <w:sz w:val="28"/>
                <w:szCs w:val="28"/>
              </w:rPr>
            </w:pPr>
            <w:r w:rsidRPr="00714738">
              <w:rPr>
                <w:rFonts w:eastAsia="Times New Roman" w:cs="Arial"/>
                <w:b/>
                <w:bCs/>
                <w:sz w:val="28"/>
                <w:szCs w:val="28"/>
              </w:rPr>
              <w:t>Figure 5</w:t>
            </w:r>
          </w:p>
        </w:tc>
        <w:tc>
          <w:tcPr>
            <w:tcW w:w="0" w:type="auto"/>
            <w:vAlign w:val="center"/>
            <w:hideMark/>
          </w:tcPr>
          <w:p w:rsidR="00F90220" w:rsidRPr="00714738" w:rsidRDefault="00F90220" w:rsidP="0092407E">
            <w:pPr>
              <w:spacing w:line="480" w:lineRule="auto"/>
              <w:rPr>
                <w:rFonts w:eastAsia="Times New Roman" w:cs="Arial"/>
                <w:sz w:val="28"/>
                <w:szCs w:val="28"/>
              </w:rPr>
            </w:pPr>
            <w:proofErr w:type="spellStart"/>
            <w:r w:rsidRPr="00714738">
              <w:rPr>
                <w:rFonts w:eastAsia="Times New Roman" w:cs="Arial"/>
                <w:sz w:val="28"/>
                <w:szCs w:val="28"/>
              </w:rPr>
              <w:t>NexSpace</w:t>
            </w:r>
            <w:proofErr w:type="spellEnd"/>
            <w:r w:rsidRPr="00714738">
              <w:rPr>
                <w:rFonts w:eastAsia="Times New Roman" w:cs="Arial"/>
                <w:sz w:val="28"/>
                <w:szCs w:val="28"/>
              </w:rPr>
              <w:t xml:space="preserve"> Strategic Talent Ecosystem</w:t>
            </w:r>
          </w:p>
        </w:tc>
      </w:tr>
      <w:tr w:rsidR="00F90220" w:rsidRPr="00714738" w:rsidTr="00F90220">
        <w:trPr>
          <w:tblCellSpacing w:w="15" w:type="dxa"/>
        </w:trPr>
        <w:tc>
          <w:tcPr>
            <w:tcW w:w="0" w:type="auto"/>
            <w:vAlign w:val="center"/>
            <w:hideMark/>
          </w:tcPr>
          <w:p w:rsidR="00F90220" w:rsidRPr="00714738" w:rsidRDefault="00F90220" w:rsidP="0092407E">
            <w:pPr>
              <w:spacing w:line="480" w:lineRule="auto"/>
              <w:jc w:val="center"/>
              <w:rPr>
                <w:rFonts w:eastAsia="Times New Roman" w:cs="Arial"/>
                <w:b/>
                <w:bCs/>
                <w:sz w:val="28"/>
                <w:szCs w:val="28"/>
              </w:rPr>
            </w:pPr>
            <w:r w:rsidRPr="00714738">
              <w:rPr>
                <w:rFonts w:eastAsia="Times New Roman" w:cs="Arial"/>
                <w:b/>
                <w:bCs/>
                <w:sz w:val="28"/>
                <w:szCs w:val="28"/>
              </w:rPr>
              <w:t>Figure 6</w:t>
            </w:r>
          </w:p>
        </w:tc>
        <w:tc>
          <w:tcPr>
            <w:tcW w:w="0" w:type="auto"/>
            <w:vAlign w:val="center"/>
            <w:hideMark/>
          </w:tcPr>
          <w:p w:rsidR="00F90220" w:rsidRPr="00714738" w:rsidRDefault="00F90220" w:rsidP="0092407E">
            <w:pPr>
              <w:spacing w:line="480" w:lineRule="auto"/>
              <w:rPr>
                <w:rFonts w:eastAsia="Times New Roman" w:cs="Arial"/>
                <w:sz w:val="28"/>
                <w:szCs w:val="28"/>
              </w:rPr>
            </w:pPr>
            <w:r w:rsidRPr="00714738">
              <w:rPr>
                <w:rFonts w:eastAsia="Times New Roman" w:cs="Arial"/>
                <w:sz w:val="28"/>
                <w:szCs w:val="28"/>
              </w:rPr>
              <w:t>Gibbs’ Reflective Cycle Applied to My Use of AI</w:t>
            </w:r>
          </w:p>
        </w:tc>
      </w:tr>
    </w:tbl>
    <w:p w:rsidR="003B5766" w:rsidRPr="00714738" w:rsidRDefault="003B5766" w:rsidP="008A7407">
      <w:pPr>
        <w:spacing w:line="360" w:lineRule="auto"/>
        <w:rPr>
          <w:rFonts w:cs="Arial"/>
          <w:sz w:val="28"/>
          <w:szCs w:val="28"/>
        </w:rPr>
      </w:pPr>
    </w:p>
    <w:p w:rsidR="00F90220" w:rsidRPr="00714738" w:rsidRDefault="00F90220" w:rsidP="008A7407">
      <w:pPr>
        <w:spacing w:line="360" w:lineRule="auto"/>
        <w:rPr>
          <w:rFonts w:cs="Arial"/>
          <w:b/>
          <w:bCs/>
          <w:color w:val="1F3864"/>
          <w:sz w:val="28"/>
          <w:szCs w:val="28"/>
        </w:rPr>
      </w:pPr>
    </w:p>
    <w:p w:rsidR="00BE61A2" w:rsidRDefault="002D5962">
      <w:pPr>
        <w:pageBreakBefore/>
        <w:spacing w:after="200"/>
      </w:pPr>
      <w:r>
        <w:rPr>
          <w:rFonts w:cs="Arial"/>
          <w:b/>
          <w:bCs/>
          <w:color w:val="1F3864"/>
          <w:sz w:val="28"/>
          <w:szCs w:val="28"/>
        </w:rPr>
        <w:lastRenderedPageBreak/>
        <w:t>List of Abbreviations</w:t>
      </w:r>
      <w:bookmarkEnd w:id="1"/>
    </w:p>
    <w:tbl>
      <w:tblPr>
        <w:tblW w:w="81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127"/>
        <w:gridCol w:w="5996"/>
      </w:tblGrid>
      <w:tr w:rsidR="00F15232" w:rsidRPr="001D0E07" w:rsidTr="001D0E07">
        <w:trPr>
          <w:cantSplit/>
          <w:trHeight w:val="404"/>
          <w:tblHeader/>
          <w:jc w:val="center"/>
        </w:trPr>
        <w:tc>
          <w:tcPr>
            <w:tcW w:w="2127" w:type="dxa"/>
            <w:tcBorders>
              <w:top w:val="single" w:sz="4" w:space="0" w:color="000000"/>
              <w:left w:val="single" w:sz="4" w:space="0" w:color="000000"/>
              <w:bottom w:val="single" w:sz="4" w:space="0" w:color="000000"/>
              <w:right w:val="single" w:sz="4" w:space="0" w:color="000000"/>
            </w:tcBorders>
            <w:shd w:val="clear" w:color="auto" w:fill="E8EEF7"/>
            <w:tcMar>
              <w:top w:w="70" w:type="dxa"/>
              <w:left w:w="110" w:type="dxa"/>
              <w:bottom w:w="70" w:type="dxa"/>
              <w:right w:w="110" w:type="dxa"/>
            </w:tcMar>
            <w:vAlign w:val="center"/>
          </w:tcPr>
          <w:p w:rsidR="00F15232" w:rsidRPr="001D0E07" w:rsidRDefault="00F15232">
            <w:pPr>
              <w:spacing w:after="40"/>
              <w:jc w:val="center"/>
              <w:rPr>
                <w:b/>
                <w:bCs/>
              </w:rPr>
            </w:pPr>
            <w:r w:rsidRPr="001D0E07">
              <w:rPr>
                <w:rFonts w:cs="Arial"/>
                <w:b/>
                <w:bCs/>
              </w:rPr>
              <w:t>Short Form</w:t>
            </w:r>
          </w:p>
        </w:tc>
        <w:tc>
          <w:tcPr>
            <w:tcW w:w="5996" w:type="dxa"/>
            <w:tcBorders>
              <w:top w:val="single" w:sz="4" w:space="0" w:color="000000"/>
              <w:left w:val="single" w:sz="4" w:space="0" w:color="000000"/>
              <w:bottom w:val="single" w:sz="4" w:space="0" w:color="000000"/>
              <w:right w:val="single" w:sz="4" w:space="0" w:color="000000"/>
            </w:tcBorders>
            <w:shd w:val="clear" w:color="auto" w:fill="E8EEF7"/>
            <w:tcMar>
              <w:top w:w="70" w:type="dxa"/>
              <w:left w:w="110" w:type="dxa"/>
              <w:bottom w:w="70" w:type="dxa"/>
              <w:right w:w="110" w:type="dxa"/>
            </w:tcMar>
            <w:vAlign w:val="center"/>
          </w:tcPr>
          <w:p w:rsidR="00F15232" w:rsidRPr="00DA1EFE" w:rsidRDefault="00F15232">
            <w:pPr>
              <w:spacing w:after="40"/>
              <w:jc w:val="center"/>
              <w:rPr>
                <w:b/>
                <w:bCs/>
              </w:rPr>
            </w:pPr>
            <w:r w:rsidRPr="00DA1EFE">
              <w:rPr>
                <w:rFonts w:cs="Arial"/>
                <w:b/>
                <w:bCs/>
              </w:rPr>
              <w:t>Full Form</w:t>
            </w:r>
          </w:p>
        </w:tc>
      </w:tr>
      <w:tr w:rsidR="00F15232" w:rsidRPr="001D0E07" w:rsidTr="001D0E07">
        <w:trPr>
          <w:cantSplit/>
          <w:trHeight w:val="404"/>
          <w:jc w:val="center"/>
        </w:trPr>
        <w:tc>
          <w:tcPr>
            <w:tcW w:w="2127" w:type="dxa"/>
            <w:tcBorders>
              <w:top w:val="single" w:sz="4" w:space="0" w:color="000000"/>
              <w:left w:val="single" w:sz="4" w:space="0" w:color="000000"/>
              <w:bottom w:val="single" w:sz="4" w:space="0" w:color="000000"/>
              <w:right w:val="single" w:sz="4" w:space="0" w:color="000000"/>
            </w:tcBorders>
            <w:tcMar>
              <w:top w:w="70" w:type="dxa"/>
              <w:left w:w="110" w:type="dxa"/>
              <w:bottom w:w="70" w:type="dxa"/>
              <w:right w:w="110" w:type="dxa"/>
            </w:tcMar>
            <w:vAlign w:val="center"/>
          </w:tcPr>
          <w:p w:rsidR="00F15232" w:rsidRPr="001D0E07" w:rsidRDefault="00F15232">
            <w:pPr>
              <w:spacing w:after="40"/>
              <w:jc w:val="center"/>
              <w:rPr>
                <w:b/>
                <w:bCs/>
              </w:rPr>
            </w:pPr>
            <w:r w:rsidRPr="001D0E07">
              <w:rPr>
                <w:rFonts w:cs="Arial"/>
                <w:b/>
                <w:bCs/>
              </w:rPr>
              <w:t>AI</w:t>
            </w:r>
          </w:p>
        </w:tc>
        <w:tc>
          <w:tcPr>
            <w:tcW w:w="5996" w:type="dxa"/>
            <w:tcBorders>
              <w:top w:val="single" w:sz="4" w:space="0" w:color="000000"/>
              <w:left w:val="single" w:sz="4" w:space="0" w:color="000000"/>
              <w:bottom w:val="single" w:sz="4" w:space="0" w:color="000000"/>
              <w:right w:val="single" w:sz="4" w:space="0" w:color="000000"/>
            </w:tcBorders>
            <w:tcMar>
              <w:top w:w="70" w:type="dxa"/>
              <w:left w:w="110" w:type="dxa"/>
              <w:bottom w:w="70" w:type="dxa"/>
              <w:right w:w="110" w:type="dxa"/>
            </w:tcMar>
            <w:vAlign w:val="center"/>
          </w:tcPr>
          <w:p w:rsidR="00F15232" w:rsidRPr="001D0E07" w:rsidRDefault="00F15232">
            <w:pPr>
              <w:spacing w:after="40"/>
            </w:pPr>
            <w:r w:rsidRPr="001D0E07">
              <w:rPr>
                <w:rFonts w:cs="Arial"/>
              </w:rPr>
              <w:t>Artificial Intelligence</w:t>
            </w:r>
          </w:p>
        </w:tc>
      </w:tr>
      <w:tr w:rsidR="00F15232" w:rsidRPr="001D0E07" w:rsidTr="001D0E07">
        <w:trPr>
          <w:cantSplit/>
          <w:trHeight w:val="388"/>
          <w:jc w:val="center"/>
        </w:trPr>
        <w:tc>
          <w:tcPr>
            <w:tcW w:w="2127" w:type="dxa"/>
            <w:tcBorders>
              <w:top w:val="single" w:sz="4" w:space="0" w:color="000000"/>
              <w:left w:val="single" w:sz="4" w:space="0" w:color="000000"/>
              <w:bottom w:val="single" w:sz="4" w:space="0" w:color="000000"/>
              <w:right w:val="single" w:sz="4" w:space="0" w:color="000000"/>
            </w:tcBorders>
            <w:tcMar>
              <w:top w:w="70" w:type="dxa"/>
              <w:left w:w="110" w:type="dxa"/>
              <w:bottom w:w="70" w:type="dxa"/>
              <w:right w:w="110" w:type="dxa"/>
            </w:tcMar>
            <w:vAlign w:val="center"/>
          </w:tcPr>
          <w:p w:rsidR="00F15232" w:rsidRPr="001D0E07" w:rsidRDefault="00F15232">
            <w:pPr>
              <w:spacing w:after="40"/>
              <w:jc w:val="center"/>
              <w:rPr>
                <w:b/>
                <w:bCs/>
              </w:rPr>
            </w:pPr>
            <w:r w:rsidRPr="001D0E07">
              <w:rPr>
                <w:rFonts w:cs="Arial"/>
                <w:b/>
                <w:bCs/>
              </w:rPr>
              <w:t>AMO</w:t>
            </w:r>
          </w:p>
        </w:tc>
        <w:tc>
          <w:tcPr>
            <w:tcW w:w="5996" w:type="dxa"/>
            <w:tcBorders>
              <w:top w:val="single" w:sz="4" w:space="0" w:color="000000"/>
              <w:left w:val="single" w:sz="4" w:space="0" w:color="000000"/>
              <w:bottom w:val="single" w:sz="4" w:space="0" w:color="000000"/>
              <w:right w:val="single" w:sz="4" w:space="0" w:color="000000"/>
            </w:tcBorders>
            <w:tcMar>
              <w:top w:w="70" w:type="dxa"/>
              <w:left w:w="110" w:type="dxa"/>
              <w:bottom w:w="70" w:type="dxa"/>
              <w:right w:w="110" w:type="dxa"/>
            </w:tcMar>
            <w:vAlign w:val="center"/>
          </w:tcPr>
          <w:p w:rsidR="00F15232" w:rsidRPr="001D0E07" w:rsidRDefault="00F15232">
            <w:pPr>
              <w:spacing w:after="40"/>
            </w:pPr>
            <w:r w:rsidRPr="001D0E07">
              <w:rPr>
                <w:rFonts w:cs="Arial"/>
              </w:rPr>
              <w:t>Abilities, Motivation and Opportunity</w:t>
            </w:r>
          </w:p>
        </w:tc>
      </w:tr>
      <w:tr w:rsidR="00F15232" w:rsidRPr="001D0E07" w:rsidTr="001D0E07">
        <w:trPr>
          <w:cantSplit/>
          <w:trHeight w:val="404"/>
          <w:jc w:val="center"/>
        </w:trPr>
        <w:tc>
          <w:tcPr>
            <w:tcW w:w="2127" w:type="dxa"/>
            <w:tcBorders>
              <w:top w:val="single" w:sz="4" w:space="0" w:color="000000"/>
              <w:left w:val="single" w:sz="4" w:space="0" w:color="000000"/>
              <w:bottom w:val="single" w:sz="4" w:space="0" w:color="000000"/>
              <w:right w:val="single" w:sz="4" w:space="0" w:color="000000"/>
            </w:tcBorders>
            <w:tcMar>
              <w:top w:w="70" w:type="dxa"/>
              <w:left w:w="110" w:type="dxa"/>
              <w:bottom w:w="70" w:type="dxa"/>
              <w:right w:w="110" w:type="dxa"/>
            </w:tcMar>
            <w:vAlign w:val="center"/>
          </w:tcPr>
          <w:p w:rsidR="00F15232" w:rsidRPr="001D0E07" w:rsidRDefault="00F15232">
            <w:pPr>
              <w:spacing w:after="40"/>
              <w:jc w:val="center"/>
              <w:rPr>
                <w:b/>
                <w:bCs/>
              </w:rPr>
            </w:pPr>
            <w:r w:rsidRPr="001D0E07">
              <w:rPr>
                <w:rFonts w:cs="Arial"/>
                <w:b/>
                <w:bCs/>
              </w:rPr>
              <w:t>HIWS</w:t>
            </w:r>
          </w:p>
        </w:tc>
        <w:tc>
          <w:tcPr>
            <w:tcW w:w="5996" w:type="dxa"/>
            <w:tcBorders>
              <w:top w:val="single" w:sz="4" w:space="0" w:color="000000"/>
              <w:left w:val="single" w:sz="4" w:space="0" w:color="000000"/>
              <w:bottom w:val="single" w:sz="4" w:space="0" w:color="000000"/>
              <w:right w:val="single" w:sz="4" w:space="0" w:color="000000"/>
            </w:tcBorders>
            <w:tcMar>
              <w:top w:w="70" w:type="dxa"/>
              <w:left w:w="110" w:type="dxa"/>
              <w:bottom w:w="70" w:type="dxa"/>
              <w:right w:w="110" w:type="dxa"/>
            </w:tcMar>
            <w:vAlign w:val="center"/>
          </w:tcPr>
          <w:p w:rsidR="00F15232" w:rsidRPr="001D0E07" w:rsidRDefault="00F15232">
            <w:pPr>
              <w:spacing w:after="40"/>
            </w:pPr>
            <w:r w:rsidRPr="001D0E07">
              <w:rPr>
                <w:rFonts w:cs="Arial"/>
              </w:rPr>
              <w:t>High-Involvement Work Systems</w:t>
            </w:r>
          </w:p>
        </w:tc>
      </w:tr>
      <w:tr w:rsidR="00F15232" w:rsidRPr="001D0E07" w:rsidTr="001D0E07">
        <w:trPr>
          <w:cantSplit/>
          <w:trHeight w:val="404"/>
          <w:jc w:val="center"/>
        </w:trPr>
        <w:tc>
          <w:tcPr>
            <w:tcW w:w="2127" w:type="dxa"/>
            <w:tcBorders>
              <w:top w:val="single" w:sz="4" w:space="0" w:color="000000"/>
              <w:left w:val="single" w:sz="4" w:space="0" w:color="000000"/>
              <w:bottom w:val="single" w:sz="4" w:space="0" w:color="000000"/>
              <w:right w:val="single" w:sz="4" w:space="0" w:color="000000"/>
            </w:tcBorders>
            <w:tcMar>
              <w:top w:w="70" w:type="dxa"/>
              <w:left w:w="110" w:type="dxa"/>
              <w:bottom w:w="70" w:type="dxa"/>
              <w:right w:w="110" w:type="dxa"/>
            </w:tcMar>
            <w:vAlign w:val="center"/>
          </w:tcPr>
          <w:p w:rsidR="00F15232" w:rsidRPr="001D0E07" w:rsidRDefault="00F15232">
            <w:pPr>
              <w:spacing w:after="40"/>
              <w:jc w:val="center"/>
              <w:rPr>
                <w:b/>
                <w:bCs/>
              </w:rPr>
            </w:pPr>
            <w:r w:rsidRPr="001D0E07">
              <w:rPr>
                <w:rFonts w:cs="Arial"/>
                <w:b/>
                <w:bCs/>
              </w:rPr>
              <w:t>HPWS</w:t>
            </w:r>
          </w:p>
        </w:tc>
        <w:tc>
          <w:tcPr>
            <w:tcW w:w="5996" w:type="dxa"/>
            <w:tcBorders>
              <w:top w:val="single" w:sz="4" w:space="0" w:color="000000"/>
              <w:left w:val="single" w:sz="4" w:space="0" w:color="000000"/>
              <w:bottom w:val="single" w:sz="4" w:space="0" w:color="000000"/>
              <w:right w:val="single" w:sz="4" w:space="0" w:color="000000"/>
            </w:tcBorders>
            <w:tcMar>
              <w:top w:w="70" w:type="dxa"/>
              <w:left w:w="110" w:type="dxa"/>
              <w:bottom w:w="70" w:type="dxa"/>
              <w:right w:w="110" w:type="dxa"/>
            </w:tcMar>
            <w:vAlign w:val="center"/>
          </w:tcPr>
          <w:p w:rsidR="00F15232" w:rsidRPr="001D0E07" w:rsidRDefault="00F15232">
            <w:pPr>
              <w:spacing w:after="40"/>
            </w:pPr>
            <w:r w:rsidRPr="001D0E07">
              <w:rPr>
                <w:rFonts w:cs="Arial"/>
              </w:rPr>
              <w:t>High-Performance Work Systems</w:t>
            </w:r>
          </w:p>
        </w:tc>
      </w:tr>
      <w:tr w:rsidR="00F15232" w:rsidRPr="001D0E07" w:rsidTr="001D0E07">
        <w:trPr>
          <w:cantSplit/>
          <w:trHeight w:val="404"/>
          <w:jc w:val="center"/>
        </w:trPr>
        <w:tc>
          <w:tcPr>
            <w:tcW w:w="2127" w:type="dxa"/>
            <w:tcBorders>
              <w:top w:val="single" w:sz="4" w:space="0" w:color="000000"/>
              <w:left w:val="single" w:sz="4" w:space="0" w:color="000000"/>
              <w:bottom w:val="single" w:sz="4" w:space="0" w:color="000000"/>
              <w:right w:val="single" w:sz="4" w:space="0" w:color="000000"/>
            </w:tcBorders>
            <w:tcMar>
              <w:top w:w="70" w:type="dxa"/>
              <w:left w:w="110" w:type="dxa"/>
              <w:bottom w:w="70" w:type="dxa"/>
              <w:right w:w="110" w:type="dxa"/>
            </w:tcMar>
            <w:vAlign w:val="center"/>
          </w:tcPr>
          <w:p w:rsidR="00F15232" w:rsidRPr="001D0E07" w:rsidRDefault="00F15232">
            <w:pPr>
              <w:spacing w:after="40"/>
              <w:jc w:val="center"/>
              <w:rPr>
                <w:b/>
                <w:bCs/>
              </w:rPr>
            </w:pPr>
            <w:r w:rsidRPr="001D0E07">
              <w:rPr>
                <w:rFonts w:cs="Arial"/>
                <w:b/>
                <w:bCs/>
              </w:rPr>
              <w:t>HR</w:t>
            </w:r>
          </w:p>
        </w:tc>
        <w:tc>
          <w:tcPr>
            <w:tcW w:w="5996" w:type="dxa"/>
            <w:tcBorders>
              <w:top w:val="single" w:sz="4" w:space="0" w:color="000000"/>
              <w:left w:val="single" w:sz="4" w:space="0" w:color="000000"/>
              <w:bottom w:val="single" w:sz="4" w:space="0" w:color="000000"/>
              <w:right w:val="single" w:sz="4" w:space="0" w:color="000000"/>
            </w:tcBorders>
            <w:tcMar>
              <w:top w:w="70" w:type="dxa"/>
              <w:left w:w="110" w:type="dxa"/>
              <w:bottom w:w="70" w:type="dxa"/>
              <w:right w:w="110" w:type="dxa"/>
            </w:tcMar>
            <w:vAlign w:val="center"/>
          </w:tcPr>
          <w:p w:rsidR="00F15232" w:rsidRPr="001D0E07" w:rsidRDefault="00F15232">
            <w:pPr>
              <w:spacing w:after="40"/>
            </w:pPr>
            <w:r w:rsidRPr="001D0E07">
              <w:rPr>
                <w:rFonts w:cs="Arial"/>
              </w:rPr>
              <w:t>Human Resources</w:t>
            </w:r>
          </w:p>
        </w:tc>
      </w:tr>
      <w:tr w:rsidR="00F15232" w:rsidRPr="001D0E07" w:rsidTr="001D0E07">
        <w:trPr>
          <w:cantSplit/>
          <w:trHeight w:val="404"/>
          <w:jc w:val="center"/>
        </w:trPr>
        <w:tc>
          <w:tcPr>
            <w:tcW w:w="2127" w:type="dxa"/>
            <w:tcBorders>
              <w:top w:val="single" w:sz="4" w:space="0" w:color="000000"/>
              <w:left w:val="single" w:sz="4" w:space="0" w:color="000000"/>
              <w:bottom w:val="single" w:sz="4" w:space="0" w:color="000000"/>
              <w:right w:val="single" w:sz="4" w:space="0" w:color="000000"/>
            </w:tcBorders>
            <w:tcMar>
              <w:top w:w="70" w:type="dxa"/>
              <w:left w:w="110" w:type="dxa"/>
              <w:bottom w:w="70" w:type="dxa"/>
              <w:right w:w="110" w:type="dxa"/>
            </w:tcMar>
            <w:vAlign w:val="center"/>
          </w:tcPr>
          <w:p w:rsidR="00F15232" w:rsidRPr="001D0E07" w:rsidRDefault="00F15232">
            <w:pPr>
              <w:spacing w:after="40"/>
              <w:jc w:val="center"/>
              <w:rPr>
                <w:b/>
                <w:bCs/>
              </w:rPr>
            </w:pPr>
            <w:r w:rsidRPr="001D0E07">
              <w:rPr>
                <w:rFonts w:cs="Arial"/>
                <w:b/>
                <w:bCs/>
              </w:rPr>
              <w:t>HRM</w:t>
            </w:r>
          </w:p>
        </w:tc>
        <w:tc>
          <w:tcPr>
            <w:tcW w:w="5996" w:type="dxa"/>
            <w:tcBorders>
              <w:top w:val="single" w:sz="4" w:space="0" w:color="000000"/>
              <w:left w:val="single" w:sz="4" w:space="0" w:color="000000"/>
              <w:bottom w:val="single" w:sz="4" w:space="0" w:color="000000"/>
              <w:right w:val="single" w:sz="4" w:space="0" w:color="000000"/>
            </w:tcBorders>
            <w:tcMar>
              <w:top w:w="70" w:type="dxa"/>
              <w:left w:w="110" w:type="dxa"/>
              <w:bottom w:w="70" w:type="dxa"/>
              <w:right w:w="110" w:type="dxa"/>
            </w:tcMar>
            <w:vAlign w:val="center"/>
          </w:tcPr>
          <w:p w:rsidR="00F15232" w:rsidRPr="001D0E07" w:rsidRDefault="00F15232">
            <w:pPr>
              <w:spacing w:after="40"/>
            </w:pPr>
            <w:r w:rsidRPr="001D0E07">
              <w:rPr>
                <w:rFonts w:cs="Arial"/>
              </w:rPr>
              <w:t>Human Resource Management</w:t>
            </w:r>
          </w:p>
        </w:tc>
      </w:tr>
      <w:tr w:rsidR="00F15232" w:rsidRPr="001D0E07" w:rsidTr="001D0E07">
        <w:trPr>
          <w:cantSplit/>
          <w:trHeight w:val="404"/>
          <w:jc w:val="center"/>
        </w:trPr>
        <w:tc>
          <w:tcPr>
            <w:tcW w:w="2127" w:type="dxa"/>
            <w:tcBorders>
              <w:top w:val="single" w:sz="4" w:space="0" w:color="000000"/>
              <w:left w:val="single" w:sz="4" w:space="0" w:color="000000"/>
              <w:bottom w:val="single" w:sz="4" w:space="0" w:color="000000"/>
              <w:right w:val="single" w:sz="4" w:space="0" w:color="000000"/>
            </w:tcBorders>
            <w:tcMar>
              <w:top w:w="70" w:type="dxa"/>
              <w:left w:w="110" w:type="dxa"/>
              <w:bottom w:w="70" w:type="dxa"/>
              <w:right w:w="110" w:type="dxa"/>
            </w:tcMar>
            <w:vAlign w:val="center"/>
          </w:tcPr>
          <w:p w:rsidR="00F15232" w:rsidRPr="001D0E07" w:rsidRDefault="00F15232">
            <w:pPr>
              <w:spacing w:after="40"/>
              <w:jc w:val="center"/>
              <w:rPr>
                <w:b/>
                <w:bCs/>
              </w:rPr>
            </w:pPr>
            <w:r w:rsidRPr="001D0E07">
              <w:rPr>
                <w:rFonts w:cs="Arial"/>
                <w:b/>
                <w:bCs/>
              </w:rPr>
              <w:t>JD-R</w:t>
            </w:r>
          </w:p>
        </w:tc>
        <w:tc>
          <w:tcPr>
            <w:tcW w:w="5996" w:type="dxa"/>
            <w:tcBorders>
              <w:top w:val="single" w:sz="4" w:space="0" w:color="000000"/>
              <w:left w:val="single" w:sz="4" w:space="0" w:color="000000"/>
              <w:bottom w:val="single" w:sz="4" w:space="0" w:color="000000"/>
              <w:right w:val="single" w:sz="4" w:space="0" w:color="000000"/>
            </w:tcBorders>
            <w:tcMar>
              <w:top w:w="70" w:type="dxa"/>
              <w:left w:w="110" w:type="dxa"/>
              <w:bottom w:w="70" w:type="dxa"/>
              <w:right w:w="110" w:type="dxa"/>
            </w:tcMar>
            <w:vAlign w:val="center"/>
          </w:tcPr>
          <w:p w:rsidR="00F15232" w:rsidRPr="001D0E07" w:rsidRDefault="00F15232">
            <w:pPr>
              <w:spacing w:after="40"/>
            </w:pPr>
            <w:r w:rsidRPr="001D0E07">
              <w:rPr>
                <w:rFonts w:cs="Arial"/>
              </w:rPr>
              <w:t>Job Demands–Resources</w:t>
            </w:r>
          </w:p>
        </w:tc>
      </w:tr>
      <w:tr w:rsidR="00F15232" w:rsidRPr="001D0E07" w:rsidTr="001D0E07">
        <w:trPr>
          <w:cantSplit/>
          <w:trHeight w:val="388"/>
          <w:jc w:val="center"/>
        </w:trPr>
        <w:tc>
          <w:tcPr>
            <w:tcW w:w="2127" w:type="dxa"/>
            <w:tcBorders>
              <w:top w:val="single" w:sz="4" w:space="0" w:color="000000"/>
              <w:left w:val="single" w:sz="4" w:space="0" w:color="000000"/>
              <w:bottom w:val="single" w:sz="4" w:space="0" w:color="000000"/>
              <w:right w:val="single" w:sz="4" w:space="0" w:color="000000"/>
            </w:tcBorders>
            <w:tcMar>
              <w:top w:w="70" w:type="dxa"/>
              <w:left w:w="110" w:type="dxa"/>
              <w:bottom w:w="70" w:type="dxa"/>
              <w:right w:w="110" w:type="dxa"/>
            </w:tcMar>
            <w:vAlign w:val="center"/>
          </w:tcPr>
          <w:p w:rsidR="00F15232" w:rsidRPr="001D0E07" w:rsidRDefault="00F15232">
            <w:pPr>
              <w:spacing w:after="40"/>
              <w:jc w:val="center"/>
              <w:rPr>
                <w:b/>
                <w:bCs/>
              </w:rPr>
            </w:pPr>
            <w:r w:rsidRPr="001D0E07">
              <w:rPr>
                <w:rFonts w:cs="Arial"/>
                <w:b/>
                <w:bCs/>
              </w:rPr>
              <w:t>MBA</w:t>
            </w:r>
          </w:p>
        </w:tc>
        <w:tc>
          <w:tcPr>
            <w:tcW w:w="5996" w:type="dxa"/>
            <w:tcBorders>
              <w:top w:val="single" w:sz="4" w:space="0" w:color="000000"/>
              <w:left w:val="single" w:sz="4" w:space="0" w:color="000000"/>
              <w:bottom w:val="single" w:sz="4" w:space="0" w:color="000000"/>
              <w:right w:val="single" w:sz="4" w:space="0" w:color="000000"/>
            </w:tcBorders>
            <w:tcMar>
              <w:top w:w="70" w:type="dxa"/>
              <w:left w:w="110" w:type="dxa"/>
              <w:bottom w:w="70" w:type="dxa"/>
              <w:right w:w="110" w:type="dxa"/>
            </w:tcMar>
            <w:vAlign w:val="center"/>
          </w:tcPr>
          <w:p w:rsidR="00F15232" w:rsidRPr="001D0E07" w:rsidRDefault="00F15232">
            <w:pPr>
              <w:spacing w:after="40"/>
            </w:pPr>
            <w:r w:rsidRPr="001D0E07">
              <w:rPr>
                <w:rFonts w:cs="Arial"/>
              </w:rPr>
              <w:t>Master of Business Administration</w:t>
            </w:r>
          </w:p>
        </w:tc>
      </w:tr>
      <w:tr w:rsidR="00F15232" w:rsidRPr="001D0E07" w:rsidTr="001D0E07">
        <w:trPr>
          <w:cantSplit/>
          <w:trHeight w:val="404"/>
          <w:jc w:val="center"/>
        </w:trPr>
        <w:tc>
          <w:tcPr>
            <w:tcW w:w="2127" w:type="dxa"/>
            <w:tcBorders>
              <w:top w:val="single" w:sz="4" w:space="0" w:color="000000"/>
              <w:left w:val="single" w:sz="4" w:space="0" w:color="000000"/>
              <w:bottom w:val="single" w:sz="4" w:space="0" w:color="000000"/>
              <w:right w:val="single" w:sz="4" w:space="0" w:color="000000"/>
            </w:tcBorders>
            <w:tcMar>
              <w:top w:w="70" w:type="dxa"/>
              <w:left w:w="110" w:type="dxa"/>
              <w:bottom w:w="70" w:type="dxa"/>
              <w:right w:w="110" w:type="dxa"/>
            </w:tcMar>
            <w:vAlign w:val="center"/>
          </w:tcPr>
          <w:p w:rsidR="00F15232" w:rsidRPr="001D0E07" w:rsidRDefault="00F15232">
            <w:pPr>
              <w:spacing w:after="40"/>
              <w:jc w:val="center"/>
              <w:rPr>
                <w:b/>
                <w:bCs/>
              </w:rPr>
            </w:pPr>
            <w:r w:rsidRPr="001D0E07">
              <w:rPr>
                <w:rFonts w:cs="Arial"/>
                <w:b/>
                <w:bCs/>
              </w:rPr>
              <w:t>NHSX</w:t>
            </w:r>
          </w:p>
        </w:tc>
        <w:tc>
          <w:tcPr>
            <w:tcW w:w="5996" w:type="dxa"/>
            <w:tcBorders>
              <w:top w:val="single" w:sz="4" w:space="0" w:color="000000"/>
              <w:left w:val="single" w:sz="4" w:space="0" w:color="000000"/>
              <w:bottom w:val="single" w:sz="4" w:space="0" w:color="000000"/>
              <w:right w:val="single" w:sz="4" w:space="0" w:color="000000"/>
            </w:tcBorders>
            <w:tcMar>
              <w:top w:w="70" w:type="dxa"/>
              <w:left w:w="110" w:type="dxa"/>
              <w:bottom w:w="70" w:type="dxa"/>
              <w:right w:w="110" w:type="dxa"/>
            </w:tcMar>
            <w:vAlign w:val="center"/>
          </w:tcPr>
          <w:p w:rsidR="00F15232" w:rsidRPr="001D0E07" w:rsidRDefault="00F15232">
            <w:pPr>
              <w:spacing w:after="40"/>
            </w:pPr>
            <w:r w:rsidRPr="001D0E07">
              <w:rPr>
                <w:rFonts w:cs="Arial"/>
              </w:rPr>
              <w:t>NexSpace Health Systems</w:t>
            </w:r>
          </w:p>
        </w:tc>
      </w:tr>
      <w:tr w:rsidR="00F15232" w:rsidRPr="001D0E07" w:rsidTr="001D0E07">
        <w:trPr>
          <w:cantSplit/>
          <w:trHeight w:val="404"/>
          <w:jc w:val="center"/>
        </w:trPr>
        <w:tc>
          <w:tcPr>
            <w:tcW w:w="2127" w:type="dxa"/>
            <w:tcBorders>
              <w:top w:val="single" w:sz="4" w:space="0" w:color="000000"/>
              <w:left w:val="single" w:sz="4" w:space="0" w:color="000000"/>
              <w:bottom w:val="single" w:sz="4" w:space="0" w:color="000000"/>
              <w:right w:val="single" w:sz="4" w:space="0" w:color="000000"/>
            </w:tcBorders>
            <w:tcMar>
              <w:top w:w="70" w:type="dxa"/>
              <w:left w:w="110" w:type="dxa"/>
              <w:bottom w:w="70" w:type="dxa"/>
              <w:right w:w="110" w:type="dxa"/>
            </w:tcMar>
            <w:vAlign w:val="center"/>
          </w:tcPr>
          <w:p w:rsidR="00F15232" w:rsidRPr="001D0E07" w:rsidRDefault="00F15232">
            <w:pPr>
              <w:spacing w:after="40"/>
              <w:jc w:val="center"/>
              <w:rPr>
                <w:b/>
                <w:bCs/>
              </w:rPr>
            </w:pPr>
            <w:r w:rsidRPr="001D0E07">
              <w:rPr>
                <w:rFonts w:cs="Arial"/>
                <w:b/>
                <w:bCs/>
              </w:rPr>
              <w:t>SDT</w:t>
            </w:r>
          </w:p>
        </w:tc>
        <w:tc>
          <w:tcPr>
            <w:tcW w:w="5996" w:type="dxa"/>
            <w:tcBorders>
              <w:top w:val="single" w:sz="4" w:space="0" w:color="000000"/>
              <w:left w:val="single" w:sz="4" w:space="0" w:color="000000"/>
              <w:bottom w:val="single" w:sz="4" w:space="0" w:color="000000"/>
              <w:right w:val="single" w:sz="4" w:space="0" w:color="000000"/>
            </w:tcBorders>
            <w:tcMar>
              <w:top w:w="70" w:type="dxa"/>
              <w:left w:w="110" w:type="dxa"/>
              <w:bottom w:w="70" w:type="dxa"/>
              <w:right w:w="110" w:type="dxa"/>
            </w:tcMar>
            <w:vAlign w:val="center"/>
          </w:tcPr>
          <w:p w:rsidR="00F15232" w:rsidRPr="001D0E07" w:rsidRDefault="00F15232">
            <w:pPr>
              <w:spacing w:after="40"/>
            </w:pPr>
            <w:r w:rsidRPr="001D0E07">
              <w:rPr>
                <w:rFonts w:cs="Arial"/>
              </w:rPr>
              <w:t>Self-Determination Theory</w:t>
            </w:r>
          </w:p>
        </w:tc>
      </w:tr>
      <w:tr w:rsidR="00F15232" w:rsidRPr="001D0E07" w:rsidTr="001D0E07">
        <w:trPr>
          <w:cantSplit/>
          <w:trHeight w:val="404"/>
          <w:jc w:val="center"/>
        </w:trPr>
        <w:tc>
          <w:tcPr>
            <w:tcW w:w="2127" w:type="dxa"/>
            <w:tcBorders>
              <w:top w:val="single" w:sz="4" w:space="0" w:color="000000"/>
              <w:left w:val="single" w:sz="4" w:space="0" w:color="000000"/>
              <w:bottom w:val="single" w:sz="4" w:space="0" w:color="000000"/>
              <w:right w:val="single" w:sz="4" w:space="0" w:color="000000"/>
            </w:tcBorders>
            <w:tcMar>
              <w:top w:w="70" w:type="dxa"/>
              <w:left w:w="110" w:type="dxa"/>
              <w:bottom w:w="70" w:type="dxa"/>
              <w:right w:w="110" w:type="dxa"/>
            </w:tcMar>
            <w:vAlign w:val="center"/>
          </w:tcPr>
          <w:p w:rsidR="00F15232" w:rsidRPr="001D0E07" w:rsidRDefault="00F15232">
            <w:pPr>
              <w:spacing w:after="40"/>
              <w:jc w:val="center"/>
              <w:rPr>
                <w:b/>
                <w:bCs/>
              </w:rPr>
            </w:pPr>
            <w:r w:rsidRPr="001D0E07">
              <w:rPr>
                <w:rFonts w:cs="Arial"/>
                <w:b/>
                <w:bCs/>
              </w:rPr>
              <w:t>STS</w:t>
            </w:r>
          </w:p>
        </w:tc>
        <w:tc>
          <w:tcPr>
            <w:tcW w:w="5996" w:type="dxa"/>
            <w:tcBorders>
              <w:top w:val="single" w:sz="4" w:space="0" w:color="000000"/>
              <w:left w:val="single" w:sz="4" w:space="0" w:color="000000"/>
              <w:bottom w:val="single" w:sz="4" w:space="0" w:color="000000"/>
              <w:right w:val="single" w:sz="4" w:space="0" w:color="000000"/>
            </w:tcBorders>
            <w:tcMar>
              <w:top w:w="70" w:type="dxa"/>
              <w:left w:w="110" w:type="dxa"/>
              <w:bottom w:w="70" w:type="dxa"/>
              <w:right w:w="110" w:type="dxa"/>
            </w:tcMar>
            <w:vAlign w:val="center"/>
          </w:tcPr>
          <w:p w:rsidR="00F15232" w:rsidRPr="001D0E07" w:rsidRDefault="00F15232">
            <w:pPr>
              <w:spacing w:after="40"/>
            </w:pPr>
            <w:r w:rsidRPr="001D0E07">
              <w:rPr>
                <w:rFonts w:cs="Arial"/>
              </w:rPr>
              <w:t>Sociotechnical Systems Theory</w:t>
            </w:r>
          </w:p>
        </w:tc>
      </w:tr>
      <w:tr w:rsidR="00F15232" w:rsidRPr="001D0E07" w:rsidTr="001D0E07">
        <w:trPr>
          <w:cantSplit/>
          <w:trHeight w:val="388"/>
          <w:jc w:val="center"/>
        </w:trPr>
        <w:tc>
          <w:tcPr>
            <w:tcW w:w="2127" w:type="dxa"/>
            <w:tcBorders>
              <w:top w:val="single" w:sz="4" w:space="0" w:color="000000"/>
              <w:left w:val="single" w:sz="4" w:space="0" w:color="000000"/>
              <w:bottom w:val="single" w:sz="4" w:space="0" w:color="000000"/>
              <w:right w:val="single" w:sz="4" w:space="0" w:color="000000"/>
            </w:tcBorders>
            <w:tcMar>
              <w:top w:w="70" w:type="dxa"/>
              <w:left w:w="110" w:type="dxa"/>
              <w:bottom w:w="70" w:type="dxa"/>
              <w:right w:w="110" w:type="dxa"/>
            </w:tcMar>
            <w:vAlign w:val="center"/>
          </w:tcPr>
          <w:p w:rsidR="00F15232" w:rsidRPr="001D0E07" w:rsidRDefault="00F15232">
            <w:pPr>
              <w:spacing w:after="40"/>
              <w:jc w:val="center"/>
              <w:rPr>
                <w:b/>
                <w:bCs/>
              </w:rPr>
            </w:pPr>
            <w:r w:rsidRPr="001D0E07">
              <w:rPr>
                <w:rFonts w:cs="Arial"/>
                <w:b/>
                <w:bCs/>
              </w:rPr>
              <w:t>UAE</w:t>
            </w:r>
          </w:p>
        </w:tc>
        <w:tc>
          <w:tcPr>
            <w:tcW w:w="5996" w:type="dxa"/>
            <w:tcBorders>
              <w:top w:val="single" w:sz="4" w:space="0" w:color="000000"/>
              <w:left w:val="single" w:sz="4" w:space="0" w:color="000000"/>
              <w:bottom w:val="single" w:sz="4" w:space="0" w:color="000000"/>
              <w:right w:val="single" w:sz="4" w:space="0" w:color="000000"/>
            </w:tcBorders>
            <w:tcMar>
              <w:top w:w="70" w:type="dxa"/>
              <w:left w:w="110" w:type="dxa"/>
              <w:bottom w:w="70" w:type="dxa"/>
              <w:right w:w="110" w:type="dxa"/>
            </w:tcMar>
            <w:vAlign w:val="center"/>
          </w:tcPr>
          <w:p w:rsidR="00F15232" w:rsidRPr="001D0E07" w:rsidRDefault="00F15232">
            <w:pPr>
              <w:spacing w:after="40"/>
            </w:pPr>
            <w:r w:rsidRPr="001D0E07">
              <w:rPr>
                <w:rFonts w:cs="Arial"/>
              </w:rPr>
              <w:t>United Arab Emirates</w:t>
            </w:r>
          </w:p>
        </w:tc>
      </w:tr>
      <w:tr w:rsidR="00F15232" w:rsidRPr="001D0E07" w:rsidTr="001D0E07">
        <w:trPr>
          <w:cantSplit/>
          <w:trHeight w:val="404"/>
          <w:jc w:val="center"/>
        </w:trPr>
        <w:tc>
          <w:tcPr>
            <w:tcW w:w="2127" w:type="dxa"/>
            <w:tcBorders>
              <w:top w:val="single" w:sz="4" w:space="0" w:color="000000"/>
              <w:left w:val="single" w:sz="4" w:space="0" w:color="000000"/>
              <w:bottom w:val="single" w:sz="4" w:space="0" w:color="000000"/>
              <w:right w:val="single" w:sz="4" w:space="0" w:color="000000"/>
            </w:tcBorders>
            <w:tcMar>
              <w:top w:w="70" w:type="dxa"/>
              <w:left w:w="110" w:type="dxa"/>
              <w:bottom w:w="70" w:type="dxa"/>
              <w:right w:w="110" w:type="dxa"/>
            </w:tcMar>
            <w:vAlign w:val="center"/>
          </w:tcPr>
          <w:p w:rsidR="00F15232" w:rsidRPr="001D0E07" w:rsidRDefault="00F15232">
            <w:pPr>
              <w:spacing w:after="40"/>
              <w:jc w:val="center"/>
              <w:rPr>
                <w:b/>
                <w:bCs/>
              </w:rPr>
            </w:pPr>
            <w:r w:rsidRPr="001D0E07">
              <w:rPr>
                <w:rFonts w:cs="Arial"/>
                <w:b/>
                <w:bCs/>
              </w:rPr>
              <w:t>UK</w:t>
            </w:r>
          </w:p>
        </w:tc>
        <w:tc>
          <w:tcPr>
            <w:tcW w:w="5996" w:type="dxa"/>
            <w:tcBorders>
              <w:top w:val="single" w:sz="4" w:space="0" w:color="000000"/>
              <w:left w:val="single" w:sz="4" w:space="0" w:color="000000"/>
              <w:bottom w:val="single" w:sz="4" w:space="0" w:color="000000"/>
              <w:right w:val="single" w:sz="4" w:space="0" w:color="000000"/>
            </w:tcBorders>
            <w:tcMar>
              <w:top w:w="70" w:type="dxa"/>
              <w:left w:w="110" w:type="dxa"/>
              <w:bottom w:w="70" w:type="dxa"/>
              <w:right w:w="110" w:type="dxa"/>
            </w:tcMar>
            <w:vAlign w:val="center"/>
          </w:tcPr>
          <w:p w:rsidR="00F15232" w:rsidRPr="001D0E07" w:rsidRDefault="00F15232">
            <w:pPr>
              <w:spacing w:after="40"/>
            </w:pPr>
            <w:r w:rsidRPr="001D0E07">
              <w:rPr>
                <w:rFonts w:cs="Arial"/>
              </w:rPr>
              <w:t>United Kingdom</w:t>
            </w:r>
          </w:p>
        </w:tc>
      </w:tr>
      <w:tr w:rsidR="00F15232" w:rsidRPr="001D0E07" w:rsidTr="001D0E07">
        <w:trPr>
          <w:cantSplit/>
          <w:trHeight w:val="404"/>
          <w:jc w:val="center"/>
        </w:trPr>
        <w:tc>
          <w:tcPr>
            <w:tcW w:w="2127" w:type="dxa"/>
            <w:tcBorders>
              <w:top w:val="single" w:sz="4" w:space="0" w:color="000000"/>
              <w:left w:val="single" w:sz="4" w:space="0" w:color="000000"/>
              <w:bottom w:val="single" w:sz="4" w:space="0" w:color="000000"/>
              <w:right w:val="single" w:sz="4" w:space="0" w:color="000000"/>
            </w:tcBorders>
            <w:tcMar>
              <w:top w:w="70" w:type="dxa"/>
              <w:left w:w="110" w:type="dxa"/>
              <w:bottom w:w="70" w:type="dxa"/>
              <w:right w:w="110" w:type="dxa"/>
            </w:tcMar>
            <w:vAlign w:val="center"/>
          </w:tcPr>
          <w:p w:rsidR="00F15232" w:rsidRPr="001D0E07" w:rsidRDefault="00F15232">
            <w:pPr>
              <w:spacing w:after="40"/>
              <w:jc w:val="center"/>
              <w:rPr>
                <w:b/>
                <w:bCs/>
              </w:rPr>
            </w:pPr>
            <w:r w:rsidRPr="001D0E07">
              <w:rPr>
                <w:rFonts w:cs="Arial"/>
                <w:b/>
                <w:bCs/>
              </w:rPr>
              <w:t>UX</w:t>
            </w:r>
          </w:p>
        </w:tc>
        <w:tc>
          <w:tcPr>
            <w:tcW w:w="5996" w:type="dxa"/>
            <w:tcBorders>
              <w:top w:val="single" w:sz="4" w:space="0" w:color="000000"/>
              <w:left w:val="single" w:sz="4" w:space="0" w:color="000000"/>
              <w:bottom w:val="single" w:sz="4" w:space="0" w:color="000000"/>
              <w:right w:val="single" w:sz="4" w:space="0" w:color="000000"/>
            </w:tcBorders>
            <w:tcMar>
              <w:top w:w="70" w:type="dxa"/>
              <w:left w:w="110" w:type="dxa"/>
              <w:bottom w:w="70" w:type="dxa"/>
              <w:right w:w="110" w:type="dxa"/>
            </w:tcMar>
            <w:vAlign w:val="center"/>
          </w:tcPr>
          <w:p w:rsidR="00F15232" w:rsidRPr="001D0E07" w:rsidRDefault="00F15232">
            <w:pPr>
              <w:spacing w:after="40"/>
            </w:pPr>
            <w:r w:rsidRPr="001D0E07">
              <w:rPr>
                <w:rFonts w:cs="Arial"/>
              </w:rPr>
              <w:t>User Experience</w:t>
            </w:r>
          </w:p>
        </w:tc>
      </w:tr>
    </w:tbl>
    <w:p w:rsidR="00BE61A2" w:rsidRDefault="002D5962">
      <w:pPr>
        <w:pStyle w:val="Heading1"/>
        <w:pageBreakBefore/>
        <w:pBdr>
          <w:bottom w:val="single" w:sz="4" w:space="4" w:color="2E5496"/>
        </w:pBdr>
        <w:spacing w:after="200" w:line="360" w:lineRule="auto"/>
      </w:pPr>
      <w:bookmarkStart w:id="2" w:name="taskA"/>
      <w:bookmarkStart w:id="3" w:name="_Toc242827549"/>
      <w:r>
        <w:lastRenderedPageBreak/>
        <w:t>Task A: Designing Innovative Working Practices</w:t>
      </w:r>
      <w:bookmarkEnd w:id="2"/>
      <w:bookmarkEnd w:id="3"/>
    </w:p>
    <w:p w:rsidR="00BE61A2" w:rsidRDefault="002D5962">
      <w:pPr>
        <w:pStyle w:val="Heading2"/>
        <w:keepNext/>
        <w:spacing w:before="240" w:after="120" w:line="360" w:lineRule="auto"/>
      </w:pPr>
      <w:bookmarkStart w:id="4" w:name="a1"/>
      <w:bookmarkStart w:id="5" w:name="_Toc242827550"/>
      <w:r>
        <w:t>1. Critical Evaluation: Traditional Work Design vs. Contemporary Innovative Working Practices</w:t>
      </w:r>
      <w:bookmarkEnd w:id="4"/>
      <w:bookmarkEnd w:id="5"/>
    </w:p>
    <w:p w:rsidR="00BE61A2" w:rsidRDefault="004C6F54">
      <w:pPr>
        <w:spacing w:after="120" w:line="360" w:lineRule="auto"/>
        <w:jc w:val="both"/>
      </w:pPr>
      <w:r>
        <w:rPr>
          <w:noProof/>
        </w:rPr>
        <w:drawing>
          <wp:anchor distT="0" distB="0" distL="114300" distR="114300" simplePos="0" relativeHeight="251663360" behindDoc="0" locked="0" layoutInCell="1" allowOverlap="1" wp14:anchorId="753C56EC" wp14:editId="26DF9259">
            <wp:simplePos x="0" y="0"/>
            <wp:positionH relativeFrom="margin">
              <wp:posOffset>-262467</wp:posOffset>
            </wp:positionH>
            <wp:positionV relativeFrom="paragraph">
              <wp:posOffset>2234353</wp:posOffset>
            </wp:positionV>
            <wp:extent cx="6784340" cy="5088255"/>
            <wp:effectExtent l="0" t="0" r="0" b="0"/>
            <wp:wrapTopAndBottom/>
            <wp:docPr id="9" name="Figure 2: The AMO model applied to NexSpace" descr="Figure 2: The AMO model applied to NexSpace" title="Figure 2: The AMO model applied to NexSp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784340" cy="5088255"/>
                    </a:xfrm>
                    <a:prstGeom prst="rect">
                      <a:avLst/>
                    </a:prstGeom>
                  </pic:spPr>
                </pic:pic>
              </a:graphicData>
            </a:graphic>
            <wp14:sizeRelH relativeFrom="margin">
              <wp14:pctWidth>0</wp14:pctWidth>
            </wp14:sizeRelH>
            <wp14:sizeRelV relativeFrom="margin">
              <wp14:pctHeight>0</wp14:pctHeight>
            </wp14:sizeRelV>
          </wp:anchor>
        </w:drawing>
      </w:r>
      <w:r>
        <w:t xml:space="preserve">Traditional work design in healthcare technology organisations is typically hierarchical, standardised and </w:t>
      </w:r>
      <w:proofErr w:type="spellStart"/>
      <w:r>
        <w:t>siloed</w:t>
      </w:r>
      <w:proofErr w:type="spellEnd"/>
      <w:r>
        <w:t xml:space="preserve">. Burns and Stalker’s (1961) mechanistic model; fixed roles, centralised authority and formalised procedures supports compliance and clinical safety but slows decision-making and limits creativity, as seen at NexSpace. The solution is not to remove structure but to redesign it selectively. O’Reilly and </w:t>
      </w:r>
      <w:proofErr w:type="spellStart"/>
      <w:r>
        <w:t>Tushman’s</w:t>
      </w:r>
      <w:proofErr w:type="spellEnd"/>
      <w:r>
        <w:t xml:space="preserve"> (2013) ambidexterity perspective is crucial: NexSpace must exploit its validated clinical platform while exploring new AI-enabled innovations. This requires more organic, flexible and collaborative practices, supported by governance to maintain regulatory safety.</w:t>
      </w:r>
    </w:p>
    <w:p w:rsidR="00FD5663" w:rsidRPr="00CB4A59" w:rsidRDefault="00FD5663" w:rsidP="00CB4A59">
      <w:pPr>
        <w:spacing w:before="60" w:after="200"/>
        <w:jc w:val="center"/>
        <w:rPr>
          <w:sz w:val="22"/>
          <w:szCs w:val="22"/>
        </w:rPr>
      </w:pPr>
      <w:r>
        <w:rPr>
          <w:rFonts w:cs="Arial"/>
          <w:i/>
          <w:iCs/>
          <w:color w:val="595959"/>
          <w:sz w:val="16"/>
          <w:szCs w:val="16"/>
        </w:rPr>
        <w:t>Figure 1</w:t>
      </w:r>
      <w:r w:rsidRPr="00FD5663">
        <w:rPr>
          <w:rFonts w:cs="Arial"/>
          <w:i/>
          <w:iCs/>
          <w:color w:val="595959"/>
          <w:sz w:val="16"/>
          <w:szCs w:val="16"/>
        </w:rPr>
        <w:t xml:space="preserve">: The Ability-Motivation-Opportunity (AMO) Model Applied to NexSpace (Source: Adapted from </w:t>
      </w:r>
      <w:proofErr w:type="spellStart"/>
      <w:r w:rsidRPr="00FD5663">
        <w:rPr>
          <w:rFonts w:cs="Arial"/>
          <w:i/>
          <w:iCs/>
          <w:color w:val="595959"/>
          <w:sz w:val="16"/>
          <w:szCs w:val="16"/>
        </w:rPr>
        <w:t>Appelbaum</w:t>
      </w:r>
      <w:proofErr w:type="spellEnd"/>
      <w:r w:rsidRPr="00FD5663">
        <w:rPr>
          <w:rFonts w:cs="Arial"/>
          <w:i/>
          <w:iCs/>
          <w:color w:val="595959"/>
          <w:sz w:val="16"/>
          <w:szCs w:val="16"/>
        </w:rPr>
        <w:t xml:space="preserve"> et al., 2000; Boxall and Purcell, 2016; </w:t>
      </w:r>
      <w:proofErr w:type="spellStart"/>
      <w:r w:rsidRPr="00FD5663">
        <w:rPr>
          <w:rFonts w:cs="Arial"/>
          <w:i/>
          <w:iCs/>
          <w:color w:val="595959"/>
          <w:sz w:val="16"/>
          <w:szCs w:val="16"/>
        </w:rPr>
        <w:t>Kelliher</w:t>
      </w:r>
      <w:proofErr w:type="spellEnd"/>
      <w:r w:rsidRPr="00FD5663">
        <w:rPr>
          <w:rFonts w:cs="Arial"/>
          <w:i/>
          <w:iCs/>
          <w:color w:val="595959"/>
          <w:sz w:val="16"/>
          <w:szCs w:val="16"/>
        </w:rPr>
        <w:t xml:space="preserve"> and Anderson, 2010; the NexSpace applications are the author’s own analysis)</w:t>
      </w:r>
    </w:p>
    <w:p w:rsidR="00BE61A2" w:rsidRDefault="004C6F54" w:rsidP="00FD5663">
      <w:pPr>
        <w:spacing w:after="120" w:line="360" w:lineRule="auto"/>
        <w:jc w:val="both"/>
      </w:pPr>
      <w:r>
        <w:rPr>
          <w:noProof/>
        </w:rPr>
        <w:lastRenderedPageBreak/>
        <w:drawing>
          <wp:anchor distT="0" distB="0" distL="114300" distR="114300" simplePos="0" relativeHeight="251659264" behindDoc="0" locked="0" layoutInCell="1" allowOverlap="1">
            <wp:simplePos x="0" y="0"/>
            <wp:positionH relativeFrom="margin">
              <wp:posOffset>-283210</wp:posOffset>
            </wp:positionH>
            <wp:positionV relativeFrom="paragraph">
              <wp:posOffset>2383790</wp:posOffset>
            </wp:positionV>
            <wp:extent cx="6764655" cy="5344795"/>
            <wp:effectExtent l="0" t="0" r="0" b="8255"/>
            <wp:wrapTopAndBottom/>
            <wp:docPr id="2" name="Figure 1: Mechanistic versus organic work design comparison matrix" descr="Figure 1: Mechanistic versus organic work design comparison matrix" title="Figure 1: Mechanistic versus organic work design comparison matr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764655" cy="5344795"/>
                    </a:xfrm>
                    <a:prstGeom prst="rect">
                      <a:avLst/>
                    </a:prstGeom>
                  </pic:spPr>
                </pic:pic>
              </a:graphicData>
            </a:graphic>
            <wp14:sizeRelH relativeFrom="margin">
              <wp14:pctWidth>0</wp14:pctWidth>
            </wp14:sizeRelH>
            <wp14:sizeRelV relativeFrom="margin">
              <wp14:pctHeight>0</wp14:pctHeight>
            </wp14:sizeRelV>
          </wp:anchor>
        </w:drawing>
      </w:r>
      <w:r>
        <w:t>High-Performance Work Systems (HPWS), grounded in the AMO framework, combine selective staffing, extensive training, involvement and performance-related rewards to ensure employees are able, motivated and enabled to contribute (</w:t>
      </w:r>
      <w:proofErr w:type="spellStart"/>
      <w:r>
        <w:t>Appelbaum</w:t>
      </w:r>
      <w:proofErr w:type="spellEnd"/>
      <w:r>
        <w:t xml:space="preserve"> et al., 2000; Boxall and Purcell, 2016). HPWS can strengthen innovation and collaboration for knowledge-intensive roles at NexSpace. However, they also carry risks. Flexible and high-involvement practices may intensify work (</w:t>
      </w:r>
      <w:proofErr w:type="spellStart"/>
      <w:r>
        <w:t>Kelliher</w:t>
      </w:r>
      <w:proofErr w:type="spellEnd"/>
      <w:r>
        <w:t xml:space="preserve"> and Anderson, 2010), and the JD</w:t>
      </w:r>
      <w:r>
        <w:noBreakHyphen/>
        <w:t>R model shows that high demands undermine wellbeing unless balanced by resources such as autonomy and support (</w:t>
      </w:r>
      <w:proofErr w:type="spellStart"/>
      <w:r>
        <w:t>Demerouti</w:t>
      </w:r>
      <w:proofErr w:type="spellEnd"/>
      <w:r>
        <w:t xml:space="preserve"> et al., 2001; Bakker and </w:t>
      </w:r>
      <w:proofErr w:type="spellStart"/>
      <w:r>
        <w:t>Demerouti</w:t>
      </w:r>
      <w:proofErr w:type="spellEnd"/>
      <w:r>
        <w:t xml:space="preserve">, 2007). This tension mirrors </w:t>
      </w:r>
      <w:r>
        <w:br w:type="textWrapping" w:clear="all"/>
      </w:r>
      <w:proofErr w:type="spellStart"/>
      <w:r>
        <w:t>NexSpace’s</w:t>
      </w:r>
      <w:proofErr w:type="spellEnd"/>
      <w:r>
        <w:t xml:space="preserve"> challenge of balancing wellbeing with high performance expectations.</w:t>
      </w:r>
    </w:p>
    <w:p w:rsidR="00BE61A2" w:rsidRDefault="00FD5663" w:rsidP="00256938">
      <w:pPr>
        <w:spacing w:before="60" w:after="200"/>
        <w:jc w:val="center"/>
      </w:pPr>
      <w:r>
        <w:rPr>
          <w:rFonts w:cs="Arial"/>
          <w:i/>
          <w:iCs/>
          <w:color w:val="595959"/>
          <w:sz w:val="18"/>
          <w:szCs w:val="18"/>
        </w:rPr>
        <w:t>Figure 2</w:t>
      </w:r>
      <w:r w:rsidR="002D5962">
        <w:rPr>
          <w:rFonts w:cs="Arial"/>
          <w:i/>
          <w:iCs/>
          <w:color w:val="595959"/>
          <w:sz w:val="18"/>
          <w:szCs w:val="18"/>
        </w:rPr>
        <w:t xml:space="preserve">: Mechanistic versus Organic Work Design: Comparison Matrix (Source: Adapted from Burns and Stalker, 1961; O’Reilly and </w:t>
      </w:r>
      <w:proofErr w:type="spellStart"/>
      <w:r w:rsidR="002D5962">
        <w:rPr>
          <w:rFonts w:cs="Arial"/>
          <w:i/>
          <w:iCs/>
          <w:color w:val="595959"/>
          <w:sz w:val="18"/>
          <w:szCs w:val="18"/>
        </w:rPr>
        <w:t>Tushman</w:t>
      </w:r>
      <w:proofErr w:type="spellEnd"/>
      <w:r w:rsidR="002D5962">
        <w:rPr>
          <w:rFonts w:cs="Arial"/>
          <w:i/>
          <w:iCs/>
          <w:color w:val="595959"/>
          <w:sz w:val="18"/>
          <w:szCs w:val="18"/>
        </w:rPr>
        <w:t xml:space="preserve">, 2013; the </w:t>
      </w:r>
      <w:proofErr w:type="spellStart"/>
      <w:r w:rsidR="002D5962">
        <w:rPr>
          <w:rFonts w:cs="Arial"/>
          <w:i/>
          <w:iCs/>
          <w:color w:val="595959"/>
          <w:sz w:val="18"/>
          <w:szCs w:val="18"/>
        </w:rPr>
        <w:t>NexSpace</w:t>
      </w:r>
      <w:proofErr w:type="spellEnd"/>
      <w:r w:rsidR="002D5962">
        <w:rPr>
          <w:rFonts w:cs="Arial"/>
          <w:i/>
          <w:iCs/>
          <w:color w:val="595959"/>
          <w:sz w:val="18"/>
          <w:szCs w:val="18"/>
        </w:rPr>
        <w:t xml:space="preserve"> implications are the author’s own analysis)</w:t>
      </w:r>
    </w:p>
    <w:p w:rsidR="004C6F54" w:rsidRDefault="004C6F54" w:rsidP="00FD5663">
      <w:pPr>
        <w:spacing w:before="60" w:after="200" w:line="360" w:lineRule="auto"/>
        <w:jc w:val="both"/>
      </w:pPr>
      <w:r>
        <w:t xml:space="preserve">High-Involvement Work Systems (HIWS) deepen employee participation by distributing power, information and rewards (Lawler, 1986). Their psychological mechanism: meaning, competence, self-determination and impact; aligns with Self-Determination Theory, which links autonomy, competence and relatedness to intrinsic motivation and creativity (Deci and </w:t>
      </w:r>
      <w:r>
        <w:lastRenderedPageBreak/>
        <w:t xml:space="preserve">Ryan, 2000). HIWS therefore address </w:t>
      </w:r>
      <w:proofErr w:type="spellStart"/>
      <w:r>
        <w:t>NexSpace’s</w:t>
      </w:r>
      <w:proofErr w:type="spellEnd"/>
      <w:r>
        <w:t xml:space="preserve"> slow decision</w:t>
      </w:r>
      <w:r w:rsidR="00CE2E39">
        <w:t>-making and limited creativity, y</w:t>
      </w:r>
      <w:r w:rsidR="00256938" w:rsidRPr="00256938">
        <w:t xml:space="preserve">et HIWS also have contextual limitations: unbounded autonomy is unsafe in clinical software development, meaning decision rights must be clearly defined and bounded </w:t>
      </w:r>
      <w:r w:rsidR="00CE2E39">
        <w:rPr>
          <w:noProof/>
        </w:rPr>
        <w:drawing>
          <wp:anchor distT="0" distB="0" distL="114300" distR="114300" simplePos="0" relativeHeight="251666432" behindDoc="0" locked="0" layoutInCell="1" allowOverlap="1" wp14:anchorId="67B43098" wp14:editId="06B92DAF">
            <wp:simplePos x="0" y="0"/>
            <wp:positionH relativeFrom="margin">
              <wp:posOffset>-98425</wp:posOffset>
            </wp:positionH>
            <wp:positionV relativeFrom="paragraph">
              <wp:posOffset>1066800</wp:posOffset>
            </wp:positionV>
            <wp:extent cx="6248400" cy="4634230"/>
            <wp:effectExtent l="0" t="0" r="0" b="0"/>
            <wp:wrapTopAndBottom/>
            <wp:docPr id="4" name="Figure 3: The JD-R model applied to NexSpace" descr="Figure 3: The JD-R model applied to NexSpace" title="Figure 3: The JD-R model applied to NexSp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248400" cy="4634230"/>
                    </a:xfrm>
                    <a:prstGeom prst="rect">
                      <a:avLst/>
                    </a:prstGeom>
                  </pic:spPr>
                </pic:pic>
              </a:graphicData>
            </a:graphic>
            <wp14:sizeRelH relativeFrom="margin">
              <wp14:pctWidth>0</wp14:pctWidth>
            </wp14:sizeRelH>
            <wp14:sizeRelV relativeFrom="margin">
              <wp14:pctHeight>0</wp14:pctHeight>
            </wp14:sizeRelV>
          </wp:anchor>
        </w:drawing>
      </w:r>
      <w:r w:rsidR="00256938" w:rsidRPr="00256938">
        <w:t>by regulatory governance.</w:t>
      </w:r>
    </w:p>
    <w:p w:rsidR="00BE61A2" w:rsidRDefault="00EA16D2">
      <w:pPr>
        <w:spacing w:before="60" w:after="200"/>
        <w:jc w:val="center"/>
      </w:pPr>
      <w:r>
        <w:rPr>
          <w:rFonts w:cs="Arial"/>
          <w:i/>
          <w:iCs/>
          <w:color w:val="595959"/>
          <w:sz w:val="18"/>
          <w:szCs w:val="18"/>
        </w:rPr>
        <w:t>Figure 3: The Job Demands-</w:t>
      </w:r>
      <w:r w:rsidR="002D5962">
        <w:rPr>
          <w:rFonts w:cs="Arial"/>
          <w:i/>
          <w:iCs/>
          <w:color w:val="595959"/>
          <w:sz w:val="18"/>
          <w:szCs w:val="18"/>
        </w:rPr>
        <w:t xml:space="preserve">Resources (JD-R) Model Applied to NexSpace (Source: Adapted from </w:t>
      </w:r>
      <w:proofErr w:type="spellStart"/>
      <w:r w:rsidR="002D5962">
        <w:rPr>
          <w:rFonts w:cs="Arial"/>
          <w:i/>
          <w:iCs/>
          <w:color w:val="595959"/>
          <w:sz w:val="18"/>
          <w:szCs w:val="18"/>
        </w:rPr>
        <w:t>Demerouti</w:t>
      </w:r>
      <w:proofErr w:type="spellEnd"/>
      <w:r w:rsidR="002D5962">
        <w:rPr>
          <w:rFonts w:cs="Arial"/>
          <w:i/>
          <w:iCs/>
          <w:color w:val="595959"/>
          <w:sz w:val="18"/>
          <w:szCs w:val="18"/>
        </w:rPr>
        <w:t xml:space="preserve"> et al., 2001; Bakker and </w:t>
      </w:r>
      <w:proofErr w:type="spellStart"/>
      <w:r w:rsidR="002D5962">
        <w:rPr>
          <w:rFonts w:cs="Arial"/>
          <w:i/>
          <w:iCs/>
          <w:color w:val="595959"/>
          <w:sz w:val="18"/>
          <w:szCs w:val="18"/>
        </w:rPr>
        <w:t>Demerouti</w:t>
      </w:r>
      <w:proofErr w:type="spellEnd"/>
      <w:r w:rsidR="002D5962">
        <w:rPr>
          <w:rFonts w:cs="Arial"/>
          <w:i/>
          <w:iCs/>
          <w:color w:val="595959"/>
          <w:sz w:val="18"/>
          <w:szCs w:val="18"/>
        </w:rPr>
        <w:t xml:space="preserve">, 2007; the </w:t>
      </w:r>
      <w:proofErr w:type="spellStart"/>
      <w:r w:rsidR="002D5962">
        <w:rPr>
          <w:rFonts w:cs="Arial"/>
          <w:i/>
          <w:iCs/>
          <w:color w:val="595959"/>
          <w:sz w:val="18"/>
          <w:szCs w:val="18"/>
        </w:rPr>
        <w:t>NexSpace</w:t>
      </w:r>
      <w:proofErr w:type="spellEnd"/>
      <w:r w:rsidR="002D5962">
        <w:rPr>
          <w:rFonts w:cs="Arial"/>
          <w:i/>
          <w:iCs/>
          <w:color w:val="595959"/>
          <w:sz w:val="18"/>
          <w:szCs w:val="18"/>
        </w:rPr>
        <w:t xml:space="preserve"> examples are the author’s own analysis)</w:t>
      </w:r>
    </w:p>
    <w:p w:rsidR="00FD5663" w:rsidRDefault="00FD5663" w:rsidP="00FD5663">
      <w:pPr>
        <w:spacing w:after="120" w:line="360" w:lineRule="auto"/>
        <w:jc w:val="both"/>
      </w:pPr>
      <w:r>
        <w:t xml:space="preserve">Agile working provides the operational mechanism for enabling innovation within these constraints. Agile practices: cross-functional teams, short iterations, rapid feedback and continuous learning replace sequential hand-offs with collaborative problem-solving (Rigby, Sutherland and Takeuchi, 2016). This reflects Edmondson’s (2012) argument that innovation depends on “teaming”, or learning across boundaries in real time. Agile working therefore addresses </w:t>
      </w:r>
      <w:proofErr w:type="spellStart"/>
      <w:r>
        <w:t>NexSpace’s</w:t>
      </w:r>
      <w:proofErr w:type="spellEnd"/>
      <w:r>
        <w:t xml:space="preserve"> collaboration challenges (c) and supports faster innovation cycles. However, agile is not universally applicable: it suits exploratory work but may be inefficient for compliance-heavy tasks.</w:t>
      </w:r>
    </w:p>
    <w:p w:rsidR="00FD5663" w:rsidRDefault="00FD5663" w:rsidP="00FD5663">
      <w:pPr>
        <w:spacing w:after="120" w:line="360" w:lineRule="auto"/>
        <w:jc w:val="both"/>
      </w:pPr>
      <w:r>
        <w:t xml:space="preserve">Hybrid and flexible working extend autonomy and support employee wellbeing, but they also introduce risks. Telework can improve flexibility yet weaken knowledge exchange and social cohesion if poorly managed (Allen, Golden and Shockley, 2015). Geographically dispersed teams innovate less unless electronic dependence and structure are deliberately designed </w:t>
      </w:r>
      <w:r>
        <w:lastRenderedPageBreak/>
        <w:t>(Gibson and Gibbs, 2006). These risks are visible at NexSpace, where hybrid working has weakened collaboration across the UK, India and UAE.</w:t>
      </w:r>
    </w:p>
    <w:p w:rsidR="00FD5663" w:rsidRDefault="00FD5663" w:rsidP="00FD5663">
      <w:pPr>
        <w:spacing w:after="120" w:line="360" w:lineRule="auto"/>
        <w:jc w:val="both"/>
      </w:pPr>
      <w:r>
        <w:t xml:space="preserve">Sociotechnical Systems Theory (STS) integrates these insights by emphasising joint optimisation of technical and social subsystems (Trist and </w:t>
      </w:r>
      <w:proofErr w:type="spellStart"/>
      <w:r>
        <w:t>Bamforth</w:t>
      </w:r>
      <w:proofErr w:type="spellEnd"/>
      <w:r>
        <w:t xml:space="preserve">, 1951; </w:t>
      </w:r>
      <w:proofErr w:type="spellStart"/>
      <w:r>
        <w:t>Pasmore</w:t>
      </w:r>
      <w:proofErr w:type="spellEnd"/>
      <w:r>
        <w:t>, 1988). For NexSpace, this means AI platforms, digital tools and agile processes must be designed alongside roles, norms and team structures. Technology alone cannot deliver innovation; it must be embedded within redesigned work systems that support collaboration, autonomy and learning.</w:t>
      </w:r>
    </w:p>
    <w:p w:rsidR="00FD5663" w:rsidRDefault="00FD5663" w:rsidP="00FD5663">
      <w:pPr>
        <w:spacing w:after="120" w:line="360" w:lineRule="auto"/>
        <w:jc w:val="both"/>
      </w:pPr>
      <w:r>
        <w:t>Overall, contemporary innovative practices offer significant advantages for NexSpace, but only when applied critically. The organisation must balance autonomy with safety, flexibility with wellbeing, and innovation with regulatory compliance an ambidextrous approach that integrates HPWS, HIWS, agile working, hybrid models and sociotechnical principles.</w:t>
      </w:r>
    </w:p>
    <w:p w:rsidR="00BE61A2" w:rsidRDefault="002D5962">
      <w:pPr>
        <w:pStyle w:val="Heading2"/>
        <w:keepNext/>
        <w:spacing w:before="240" w:after="120" w:line="360" w:lineRule="auto"/>
      </w:pPr>
      <w:bookmarkStart w:id="6" w:name="a2"/>
      <w:bookmarkStart w:id="7" w:name="_Toc242827551"/>
      <w:r>
        <w:t>2. Recommended Innovative Working Practices for NexSpace</w:t>
      </w:r>
      <w:bookmarkEnd w:id="6"/>
      <w:bookmarkEnd w:id="7"/>
    </w:p>
    <w:p w:rsidR="00FD5663" w:rsidRDefault="00FD5663" w:rsidP="00FD5663">
      <w:pPr>
        <w:keepNext/>
        <w:spacing w:before="120" w:after="60" w:line="360" w:lineRule="auto"/>
        <w:jc w:val="both"/>
        <w:rPr>
          <w:noProof/>
        </w:rPr>
      </w:pPr>
      <w:r w:rsidRPr="00FD5663">
        <w:rPr>
          <w:rFonts w:cs="Arial"/>
        </w:rPr>
        <w:t>Drawing on these theories, NexSpace should adopt an integrated work design built around three pillars: cross-functional collaboration, hybrid and flexible working, and digital collaboration technologies. Together, these practices form a coherent system that enhances innovation, collaboration, agility and wellbeing.</w:t>
      </w:r>
    </w:p>
    <w:p w:rsidR="00BE61A2" w:rsidRDefault="002D5962">
      <w:pPr>
        <w:pStyle w:val="Heading3"/>
        <w:keepNext/>
        <w:spacing w:before="160" w:after="60" w:line="360" w:lineRule="auto"/>
      </w:pPr>
      <w:bookmarkStart w:id="8" w:name="_Toc242827552"/>
      <w:r>
        <w:t>Pillar 1: Flexible Working</w:t>
      </w:r>
      <w:bookmarkEnd w:id="8"/>
    </w:p>
    <w:p w:rsidR="00FD5663" w:rsidRPr="00FD5663" w:rsidRDefault="00FD5663" w:rsidP="00FD5663">
      <w:pPr>
        <w:spacing w:after="120" w:line="360" w:lineRule="auto"/>
        <w:jc w:val="both"/>
        <w:rPr>
          <w:rFonts w:cs="Arial"/>
        </w:rPr>
      </w:pPr>
      <w:r w:rsidRPr="00FD5663">
        <w:rPr>
          <w:rFonts w:cs="Arial"/>
        </w:rPr>
        <w:t>NexSpace should adopt a hybrid-by-design model with two core collaboration days per week and flexible scheduling on other days.</w:t>
      </w:r>
      <w:r>
        <w:rPr>
          <w:rFonts w:cs="Arial"/>
        </w:rPr>
        <w:t xml:space="preserve"> “Bandwidth hours” (e.g., 10:00-</w:t>
      </w:r>
      <w:r w:rsidRPr="00FD5663">
        <w:rPr>
          <w:rFonts w:cs="Arial"/>
        </w:rPr>
        <w:t>16:00 UK time) would ensure synchronous overlap across the UK, India and UAE. Job rotation and short secondments between product, data science and clinical liaison roles would broaden skills and strengthen cross-functional understanding.</w:t>
      </w:r>
    </w:p>
    <w:p w:rsidR="00FD5663" w:rsidRPr="00CB4A59" w:rsidRDefault="00FD5663" w:rsidP="00FD5663">
      <w:pPr>
        <w:spacing w:after="120" w:line="360" w:lineRule="auto"/>
        <w:jc w:val="both"/>
        <w:rPr>
          <w:rFonts w:cs="Arial"/>
          <w:b/>
          <w:bCs/>
        </w:rPr>
      </w:pPr>
      <w:r w:rsidRPr="00CB4A59">
        <w:rPr>
          <w:rFonts w:cs="Arial"/>
          <w:b/>
          <w:bCs/>
        </w:rPr>
        <w:t>The theoretical justification is strong:</w:t>
      </w:r>
    </w:p>
    <w:p w:rsidR="00FD5663" w:rsidRPr="00CB4A59" w:rsidRDefault="00FD5663" w:rsidP="00CB4A59">
      <w:pPr>
        <w:pStyle w:val="ListParagraph"/>
        <w:numPr>
          <w:ilvl w:val="0"/>
          <w:numId w:val="2"/>
        </w:numPr>
        <w:spacing w:after="120" w:line="360" w:lineRule="auto"/>
        <w:jc w:val="both"/>
      </w:pPr>
      <w:r w:rsidRPr="00CB4A59">
        <w:t>AMO: flexibility increases opportunity to contribute.</w:t>
      </w:r>
    </w:p>
    <w:p w:rsidR="00FD5663" w:rsidRPr="00CB4A59" w:rsidRDefault="00FD5663" w:rsidP="00CB4A59">
      <w:pPr>
        <w:pStyle w:val="ListParagraph"/>
        <w:numPr>
          <w:ilvl w:val="0"/>
          <w:numId w:val="2"/>
        </w:numPr>
        <w:spacing w:after="120" w:line="360" w:lineRule="auto"/>
        <w:jc w:val="both"/>
      </w:pPr>
      <w:r w:rsidRPr="00CB4A59">
        <w:t>JD</w:t>
      </w:r>
      <w:r w:rsidRPr="00CB4A59">
        <w:rPr>
          <w:rFonts w:ascii="Cambria Math" w:hAnsi="Cambria Math" w:cs="Cambria Math"/>
        </w:rPr>
        <w:t>‑</w:t>
      </w:r>
      <w:r w:rsidRPr="00CB4A59">
        <w:t>R: autonomy acts as a resource that buffers demands.</w:t>
      </w:r>
    </w:p>
    <w:p w:rsidR="00FD5663" w:rsidRPr="00482B57" w:rsidRDefault="00FD5663" w:rsidP="00482B57">
      <w:pPr>
        <w:pStyle w:val="ListParagraph"/>
        <w:numPr>
          <w:ilvl w:val="0"/>
          <w:numId w:val="2"/>
        </w:numPr>
        <w:spacing w:after="120" w:line="360" w:lineRule="auto"/>
        <w:jc w:val="both"/>
      </w:pPr>
      <w:r w:rsidRPr="00CB4A59">
        <w:t>SDT: autonomy enhances intrinsic motivation.</w:t>
      </w:r>
    </w:p>
    <w:p w:rsidR="00BE61A2" w:rsidRDefault="00FD5663" w:rsidP="00FD5663">
      <w:pPr>
        <w:spacing w:after="120" w:line="360" w:lineRule="auto"/>
        <w:jc w:val="both"/>
      </w:pPr>
      <w:r w:rsidRPr="00FD5663">
        <w:rPr>
          <w:rFonts w:cs="Arial"/>
        </w:rPr>
        <w:t>To prevent flexibility from becoming “always-on” intensification (</w:t>
      </w:r>
      <w:proofErr w:type="spellStart"/>
      <w:r w:rsidRPr="00FD5663">
        <w:rPr>
          <w:rFonts w:cs="Arial"/>
        </w:rPr>
        <w:t>Kelliher</w:t>
      </w:r>
      <w:proofErr w:type="spellEnd"/>
      <w:r w:rsidRPr="00FD5663">
        <w:rPr>
          <w:rFonts w:cs="Arial"/>
        </w:rPr>
        <w:t xml:space="preserve"> and Anderson, 2010), NexSpace should establish clear availability norms and monitor overtime through people analytics. Expected performance impacts include reduced burnout, improved cross-time-zone collaboration and stronger retention of high performers.</w:t>
      </w:r>
    </w:p>
    <w:p w:rsidR="00482B57" w:rsidRDefault="00482B57" w:rsidP="00482B57">
      <w:pPr>
        <w:spacing w:before="60" w:after="200"/>
        <w:jc w:val="center"/>
      </w:pPr>
      <w:r>
        <w:rPr>
          <w:noProof/>
        </w:rPr>
        <w:lastRenderedPageBreak/>
        <w:drawing>
          <wp:anchor distT="0" distB="0" distL="114300" distR="114300" simplePos="0" relativeHeight="251664384" behindDoc="0" locked="0" layoutInCell="1" allowOverlap="1">
            <wp:simplePos x="0" y="0"/>
            <wp:positionH relativeFrom="margin">
              <wp:posOffset>-212090</wp:posOffset>
            </wp:positionH>
            <wp:positionV relativeFrom="paragraph">
              <wp:posOffset>0</wp:posOffset>
            </wp:positionV>
            <wp:extent cx="6612255" cy="6731000"/>
            <wp:effectExtent l="0" t="0" r="0" b="0"/>
            <wp:wrapTopAndBottom/>
            <wp:docPr id="5" name="Figure 4: NexSpace integrated innovative work design framework" descr="Figure 4: NexSpace integrated innovative work design framework" title="Figure 4: NexSpace integrated innovative work design frame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612255" cy="6731000"/>
                    </a:xfrm>
                    <a:prstGeom prst="rect">
                      <a:avLst/>
                    </a:prstGeom>
                  </pic:spPr>
                </pic:pic>
              </a:graphicData>
            </a:graphic>
            <wp14:sizeRelH relativeFrom="margin">
              <wp14:pctWidth>0</wp14:pctWidth>
            </wp14:sizeRelH>
            <wp14:sizeRelV relativeFrom="margin">
              <wp14:pctHeight>0</wp14:pctHeight>
            </wp14:sizeRelV>
          </wp:anchor>
        </w:drawing>
      </w:r>
      <w:r>
        <w:rPr>
          <w:rFonts w:cs="Arial"/>
          <w:i/>
          <w:iCs/>
          <w:color w:val="595959"/>
          <w:sz w:val="18"/>
          <w:szCs w:val="18"/>
        </w:rPr>
        <w:t xml:space="preserve">Figure 4: NexSpace Integrated Innovative Work Design Framework (Source: Author’s own synthesis, drawing on </w:t>
      </w:r>
      <w:proofErr w:type="spellStart"/>
      <w:r>
        <w:rPr>
          <w:rFonts w:cs="Arial"/>
          <w:i/>
          <w:iCs/>
          <w:color w:val="595959"/>
          <w:sz w:val="18"/>
          <w:szCs w:val="18"/>
        </w:rPr>
        <w:t>Appelbaum</w:t>
      </w:r>
      <w:proofErr w:type="spellEnd"/>
      <w:r>
        <w:rPr>
          <w:rFonts w:cs="Arial"/>
          <w:i/>
          <w:iCs/>
          <w:color w:val="595959"/>
          <w:sz w:val="18"/>
          <w:szCs w:val="18"/>
        </w:rPr>
        <w:t xml:space="preserve"> et al., 2000; Lawler, 1986; Rigby, Sutherland and Takeuchi, 2016; Allen, Golden and Shockley, 2015; Trist and </w:t>
      </w:r>
      <w:proofErr w:type="spellStart"/>
      <w:r>
        <w:rPr>
          <w:rFonts w:cs="Arial"/>
          <w:i/>
          <w:iCs/>
          <w:color w:val="595959"/>
          <w:sz w:val="18"/>
          <w:szCs w:val="18"/>
        </w:rPr>
        <w:t>Bamforth</w:t>
      </w:r>
      <w:proofErr w:type="spellEnd"/>
      <w:r>
        <w:rPr>
          <w:rFonts w:cs="Arial"/>
          <w:i/>
          <w:iCs/>
          <w:color w:val="595959"/>
          <w:sz w:val="18"/>
          <w:szCs w:val="18"/>
        </w:rPr>
        <w:t xml:space="preserve">, 1951; O’Reilly and </w:t>
      </w:r>
      <w:proofErr w:type="spellStart"/>
      <w:r>
        <w:rPr>
          <w:rFonts w:cs="Arial"/>
          <w:i/>
          <w:iCs/>
          <w:color w:val="595959"/>
          <w:sz w:val="18"/>
          <w:szCs w:val="18"/>
        </w:rPr>
        <w:t>Tushman</w:t>
      </w:r>
      <w:proofErr w:type="spellEnd"/>
      <w:r>
        <w:rPr>
          <w:rFonts w:cs="Arial"/>
          <w:i/>
          <w:iCs/>
          <w:color w:val="595959"/>
          <w:sz w:val="18"/>
          <w:szCs w:val="18"/>
        </w:rPr>
        <w:t>, 2013)</w:t>
      </w:r>
    </w:p>
    <w:p w:rsidR="00BE61A2" w:rsidRDefault="002D5962">
      <w:pPr>
        <w:pStyle w:val="Heading3"/>
        <w:keepNext/>
        <w:spacing w:before="160" w:after="60" w:line="360" w:lineRule="auto"/>
      </w:pPr>
      <w:bookmarkStart w:id="9" w:name="_Toc242827553"/>
      <w:r>
        <w:t xml:space="preserve">Pillar 2: </w:t>
      </w:r>
      <w:r w:rsidR="00CB4A59">
        <w:t>Cross-Functional Agile Teams</w:t>
      </w:r>
      <w:bookmarkEnd w:id="9"/>
    </w:p>
    <w:p w:rsidR="00CB4A59" w:rsidRPr="00CB4A59" w:rsidRDefault="00CB4A59" w:rsidP="00CB4A59">
      <w:pPr>
        <w:spacing w:after="120" w:line="360" w:lineRule="auto"/>
        <w:jc w:val="both"/>
        <w:rPr>
          <w:rFonts w:cs="Arial"/>
        </w:rPr>
      </w:pPr>
      <w:r>
        <w:rPr>
          <w:rFonts w:cs="Arial"/>
        </w:rPr>
        <w:t>Small, stable squads (6-</w:t>
      </w:r>
      <w:r w:rsidRPr="00CB4A59">
        <w:rPr>
          <w:rFonts w:cs="Arial"/>
        </w:rPr>
        <w:t>10 people) should combine AI engineers, clinicians, UX designers, data scientists and implementation specialists. Working in two- to three-week sprints, teams would prototype features, test algorithms with partner hospitals and iterate based on feedback. Product owners would prioritise an innovation backlog, while scrum masters remove blockers.</w:t>
      </w:r>
    </w:p>
    <w:p w:rsidR="00CB4A59" w:rsidRPr="00CB4A59" w:rsidRDefault="00CB4A59" w:rsidP="00CB4A59">
      <w:pPr>
        <w:spacing w:after="120" w:line="360" w:lineRule="auto"/>
        <w:jc w:val="both"/>
        <w:rPr>
          <w:rFonts w:cs="Arial"/>
          <w:b/>
          <w:bCs/>
        </w:rPr>
      </w:pPr>
      <w:r w:rsidRPr="00CB4A59">
        <w:rPr>
          <w:rFonts w:cs="Arial"/>
          <w:b/>
          <w:bCs/>
        </w:rPr>
        <w:t>This design operationalises:</w:t>
      </w:r>
    </w:p>
    <w:p w:rsidR="00CB4A59" w:rsidRPr="00CB4A59" w:rsidRDefault="00CB4A59" w:rsidP="00CB4A59">
      <w:pPr>
        <w:pStyle w:val="ListParagraph"/>
        <w:numPr>
          <w:ilvl w:val="0"/>
          <w:numId w:val="3"/>
        </w:numPr>
        <w:spacing w:after="120" w:line="360" w:lineRule="auto"/>
        <w:jc w:val="both"/>
      </w:pPr>
      <w:r w:rsidRPr="00CB4A59">
        <w:lastRenderedPageBreak/>
        <w:t>Organic structure (Burns and Stalker, 1961)</w:t>
      </w:r>
    </w:p>
    <w:p w:rsidR="00CB4A59" w:rsidRPr="00CB4A59" w:rsidRDefault="00CB4A59" w:rsidP="00CB4A59">
      <w:pPr>
        <w:pStyle w:val="ListParagraph"/>
        <w:numPr>
          <w:ilvl w:val="0"/>
          <w:numId w:val="3"/>
        </w:numPr>
        <w:spacing w:after="120" w:line="360" w:lineRule="auto"/>
        <w:jc w:val="both"/>
      </w:pPr>
      <w:r w:rsidRPr="00CB4A59">
        <w:t>High involvement (Lawler, 1986)</w:t>
      </w:r>
    </w:p>
    <w:p w:rsidR="00CB4A59" w:rsidRPr="00CB4A59" w:rsidRDefault="00CB4A59" w:rsidP="00CB4A59">
      <w:pPr>
        <w:pStyle w:val="ListParagraph"/>
        <w:numPr>
          <w:ilvl w:val="0"/>
          <w:numId w:val="3"/>
        </w:numPr>
        <w:spacing w:after="120" w:line="360" w:lineRule="auto"/>
        <w:jc w:val="both"/>
      </w:pPr>
      <w:r w:rsidRPr="00CB4A59">
        <w:t>Teaming (Edmondson, 2012)</w:t>
      </w:r>
    </w:p>
    <w:p w:rsidR="00CB4A59" w:rsidRPr="00CB4A59" w:rsidRDefault="00CB4A59" w:rsidP="00CB4A59">
      <w:pPr>
        <w:pStyle w:val="ListParagraph"/>
        <w:numPr>
          <w:ilvl w:val="0"/>
          <w:numId w:val="3"/>
        </w:numPr>
        <w:spacing w:after="120" w:line="360" w:lineRule="auto"/>
        <w:jc w:val="both"/>
      </w:pPr>
      <w:r w:rsidRPr="00CB4A59">
        <w:t xml:space="preserve">Ambidexterity (O’Reilly and </w:t>
      </w:r>
      <w:proofErr w:type="spellStart"/>
      <w:r w:rsidRPr="00CB4A59">
        <w:t>Tushman</w:t>
      </w:r>
      <w:proofErr w:type="spellEnd"/>
      <w:r w:rsidRPr="00CB4A59">
        <w:t>, 2013)</w:t>
      </w:r>
    </w:p>
    <w:p w:rsidR="00BE61A2" w:rsidRDefault="00CB4A59" w:rsidP="00482B57">
      <w:pPr>
        <w:spacing w:after="120" w:line="360" w:lineRule="auto"/>
        <w:jc w:val="both"/>
      </w:pPr>
      <w:r w:rsidRPr="00CB4A59">
        <w:rPr>
          <w:rFonts w:cs="Arial"/>
        </w:rPr>
        <w:t>Embedding regulatory and clinical-safety checks within each sprint’s “definition of done” ensures compliance without slowing innovation. Expected impacts include faster innovation cycles, fewer hierarchical delays and closer alignment w</w:t>
      </w:r>
      <w:r>
        <w:rPr>
          <w:rFonts w:cs="Arial"/>
        </w:rPr>
        <w:t>ith clinician and patient needs</w:t>
      </w:r>
      <w:r w:rsidR="002D5962">
        <w:rPr>
          <w:rFonts w:cs="Arial"/>
        </w:rPr>
        <w:t>.</w:t>
      </w:r>
    </w:p>
    <w:p w:rsidR="00CB4A59" w:rsidRDefault="002D5962" w:rsidP="00482B57">
      <w:pPr>
        <w:pStyle w:val="Heading3"/>
        <w:keepNext/>
        <w:spacing w:before="160" w:after="60" w:line="360" w:lineRule="auto"/>
        <w:jc w:val="both"/>
      </w:pPr>
      <w:bookmarkStart w:id="10" w:name="_Toc242827554"/>
      <w:r>
        <w:t>Pillar 3: Digital Collaboration Technologies</w:t>
      </w:r>
      <w:bookmarkEnd w:id="10"/>
    </w:p>
    <w:p w:rsidR="00CB4A59" w:rsidRDefault="00CB4A59" w:rsidP="00482B57">
      <w:pPr>
        <w:tabs>
          <w:tab w:val="left" w:pos="1907"/>
        </w:tabs>
        <w:spacing w:line="360" w:lineRule="auto"/>
        <w:jc w:val="both"/>
      </w:pPr>
      <w:r>
        <w:t>A unified digital workspace should integrate messaging, video, document sharing and project management. Digital communities of practice (Wenger, 1998) for AI engineers, clinicians and product managers would support knowledge sharing. Digital whiteboards would enable co-creation, while explicit norms on response times and documentation would reduce overload.</w:t>
      </w:r>
    </w:p>
    <w:p w:rsidR="00CB4A59" w:rsidRDefault="00CB4A59" w:rsidP="00482B57">
      <w:pPr>
        <w:tabs>
          <w:tab w:val="left" w:pos="1907"/>
        </w:tabs>
        <w:spacing w:line="360" w:lineRule="auto"/>
        <w:jc w:val="both"/>
      </w:pPr>
    </w:p>
    <w:p w:rsidR="00CB4A59" w:rsidRPr="00CB4A59" w:rsidRDefault="00CB4A59" w:rsidP="00CB4A59">
      <w:pPr>
        <w:tabs>
          <w:tab w:val="left" w:pos="1907"/>
        </w:tabs>
        <w:spacing w:line="360" w:lineRule="auto"/>
        <w:rPr>
          <w:b/>
          <w:bCs/>
        </w:rPr>
      </w:pPr>
      <w:r w:rsidRPr="00CB4A59">
        <w:rPr>
          <w:b/>
          <w:bCs/>
        </w:rPr>
        <w:t>This aligns with:</w:t>
      </w:r>
    </w:p>
    <w:p w:rsidR="00CB4A59" w:rsidRDefault="00CB4A59" w:rsidP="00CB4A59">
      <w:pPr>
        <w:pStyle w:val="ListParagraph"/>
        <w:numPr>
          <w:ilvl w:val="0"/>
          <w:numId w:val="4"/>
        </w:numPr>
        <w:tabs>
          <w:tab w:val="left" w:pos="1907"/>
        </w:tabs>
        <w:spacing w:line="360" w:lineRule="auto"/>
      </w:pPr>
      <w:r w:rsidRPr="00CB4A59">
        <w:rPr>
          <w:b/>
          <w:bCs/>
        </w:rPr>
        <w:t>STS:</w:t>
      </w:r>
      <w:r>
        <w:t xml:space="preserve"> technology must support social processes.</w:t>
      </w:r>
    </w:p>
    <w:p w:rsidR="00CB4A59" w:rsidRDefault="00CB4A59" w:rsidP="00CB4A59">
      <w:pPr>
        <w:pStyle w:val="ListParagraph"/>
        <w:numPr>
          <w:ilvl w:val="0"/>
          <w:numId w:val="4"/>
        </w:numPr>
        <w:tabs>
          <w:tab w:val="left" w:pos="1907"/>
        </w:tabs>
        <w:spacing w:line="360" w:lineRule="auto"/>
      </w:pPr>
      <w:r w:rsidRPr="00CB4A59">
        <w:rPr>
          <w:b/>
          <w:bCs/>
        </w:rPr>
        <w:t>Knowledge creation theory:</w:t>
      </w:r>
      <w:r>
        <w:t xml:space="preserve"> converting tacit to explicit knowledge (Nonaka and Takeuchi, 1995).</w:t>
      </w:r>
    </w:p>
    <w:p w:rsidR="00CB4A59" w:rsidRDefault="00CB4A59" w:rsidP="00CB4A59">
      <w:pPr>
        <w:tabs>
          <w:tab w:val="left" w:pos="1907"/>
        </w:tabs>
        <w:spacing w:line="360" w:lineRule="auto"/>
      </w:pPr>
      <w:r>
        <w:t>Expected impacts include stronger knowledge sharing across countries, reduced duplication and more effective remote collaboration.</w:t>
      </w:r>
    </w:p>
    <w:p w:rsidR="00CB4A59" w:rsidRPr="00CB4A59" w:rsidRDefault="00CB4A59" w:rsidP="00CB4A59"/>
    <w:p w:rsidR="00BE61A2" w:rsidRPr="00CB4A59" w:rsidRDefault="00CB4A59" w:rsidP="00CB4A59">
      <w:pPr>
        <w:spacing w:line="360" w:lineRule="auto"/>
        <w:jc w:val="both"/>
      </w:pPr>
      <w:r w:rsidRPr="00CB4A59">
        <w:t>Together, these practices form a coherent HPWS/HIWS bundle in which flexibility, involvement and technology reinforce one another. When supported by wellbeing safeguards, they create an organisational environment where employees can i</w:t>
      </w:r>
      <w:r>
        <w:t>nnovate, collaborate and adapt.</w:t>
      </w:r>
      <w:r w:rsidRPr="00CB4A59">
        <w:t xml:space="preserve"> Addressing</w:t>
      </w:r>
      <w:r>
        <w:t xml:space="preserve"> </w:t>
      </w:r>
      <w:proofErr w:type="spellStart"/>
      <w:r>
        <w:t>NexSpace’s</w:t>
      </w:r>
      <w:proofErr w:type="spellEnd"/>
      <w:r>
        <w:t xml:space="preserve"> challenges (a-</w:t>
      </w:r>
      <w:r w:rsidRPr="00CB4A59">
        <w:t>e) and strengthening long-term competitive advantage.</w:t>
      </w:r>
    </w:p>
    <w:p w:rsidR="00BE61A2" w:rsidRDefault="002D5962">
      <w:pPr>
        <w:pStyle w:val="Heading1"/>
        <w:pageBreakBefore/>
        <w:pBdr>
          <w:bottom w:val="single" w:sz="4" w:space="4" w:color="2E5496"/>
        </w:pBdr>
        <w:spacing w:after="200" w:line="360" w:lineRule="auto"/>
      </w:pPr>
      <w:bookmarkStart w:id="11" w:name="taskB"/>
      <w:bookmarkStart w:id="12" w:name="_Toc242827555"/>
      <w:r>
        <w:lastRenderedPageBreak/>
        <w:t>Task B: Creating an Environment Where Talent Grows</w:t>
      </w:r>
      <w:bookmarkEnd w:id="11"/>
      <w:bookmarkEnd w:id="12"/>
    </w:p>
    <w:p w:rsidR="00BE61A2" w:rsidRDefault="002D5962">
      <w:pPr>
        <w:pStyle w:val="Heading2"/>
        <w:keepNext/>
        <w:spacing w:before="240" w:after="120" w:line="360" w:lineRule="auto"/>
      </w:pPr>
      <w:bookmarkStart w:id="13" w:name="b1"/>
      <w:bookmarkStart w:id="14" w:name="_Toc242827556"/>
      <w:r>
        <w:t>1. How Organisations Create Environments Where Talent Flourishes</w:t>
      </w:r>
      <w:bookmarkEnd w:id="13"/>
      <w:bookmarkEnd w:id="14"/>
    </w:p>
    <w:p w:rsidR="00FB3829" w:rsidRPr="00FB3829" w:rsidRDefault="00FB3829" w:rsidP="00FB3829">
      <w:pPr>
        <w:spacing w:after="120" w:line="360" w:lineRule="auto"/>
        <w:jc w:val="both"/>
        <w:rPr>
          <w:rFonts w:cs="Arial"/>
        </w:rPr>
      </w:pPr>
      <w:proofErr w:type="spellStart"/>
      <w:r w:rsidRPr="00FB3829">
        <w:rPr>
          <w:rFonts w:cs="Arial"/>
        </w:rPr>
        <w:t>NexSpace’s</w:t>
      </w:r>
      <w:proofErr w:type="spellEnd"/>
      <w:r w:rsidRPr="00FB3829">
        <w:rPr>
          <w:rFonts w:cs="Arial"/>
        </w:rPr>
        <w:t xml:space="preserve"> loss of high performers (challenge d) and managers’ difficulty balancing wellbeing with performance (challenge e) indicate that the organisation is not yet converting human capital into sustained advantage. Human capital theory positions employee skills as assets that generate returns when invested in (Becker, 1964), while the resource</w:t>
      </w:r>
      <w:r w:rsidRPr="00FB3829">
        <w:rPr>
          <w:rFonts w:ascii="Cambria Math" w:hAnsi="Cambria Math" w:cs="Arial"/>
        </w:rPr>
        <w:t>‑</w:t>
      </w:r>
      <w:r w:rsidRPr="00FB3829">
        <w:rPr>
          <w:rFonts w:cs="Arial"/>
        </w:rPr>
        <w:t>based view argues that valuable, rare and hard</w:t>
      </w:r>
      <w:r w:rsidRPr="00FB3829">
        <w:rPr>
          <w:rFonts w:ascii="Cambria Math" w:hAnsi="Cambria Math" w:cs="Arial"/>
        </w:rPr>
        <w:t>‑</w:t>
      </w:r>
      <w:r w:rsidRPr="00FB3829">
        <w:rPr>
          <w:rFonts w:cs="Arial"/>
        </w:rPr>
        <w:t>to</w:t>
      </w:r>
      <w:r w:rsidRPr="00FB3829">
        <w:rPr>
          <w:rFonts w:ascii="Cambria Math" w:hAnsi="Cambria Math" w:cs="Arial"/>
        </w:rPr>
        <w:t>‑</w:t>
      </w:r>
      <w:r w:rsidRPr="00FB3829">
        <w:rPr>
          <w:rFonts w:cs="Arial"/>
        </w:rPr>
        <w:t xml:space="preserve">imitate talent drives competitive advantage (Barney, 1991). Strategic talent management therefore requires a differentiated focus on pivotal roles and a system for developing, engaging and retaining them (Collings and </w:t>
      </w:r>
      <w:proofErr w:type="spellStart"/>
      <w:r w:rsidRPr="00FB3829">
        <w:rPr>
          <w:rFonts w:cs="Arial"/>
        </w:rPr>
        <w:t>Mellahi</w:t>
      </w:r>
      <w:proofErr w:type="spellEnd"/>
      <w:r w:rsidRPr="00FB3829">
        <w:rPr>
          <w:rFonts w:cs="Arial"/>
        </w:rPr>
        <w:t>, 2009). Job embeddedness theory reinforces this: employees stay when they experience strong fit, meaningful links and high perceived sacrifice (Mitchell et al., 2001). When growth pathways are unclear, fit weakens and the perceived sacrifice of leaving declines, making turnover more likely.</w:t>
      </w:r>
    </w:p>
    <w:p w:rsidR="00FB3829" w:rsidRDefault="00FB3829" w:rsidP="00FB3829">
      <w:pPr>
        <w:spacing w:after="120" w:line="360" w:lineRule="auto"/>
        <w:jc w:val="both"/>
        <w:rPr>
          <w:rFonts w:cs="Arial"/>
        </w:rPr>
      </w:pPr>
      <w:proofErr w:type="spellStart"/>
      <w:r w:rsidRPr="00FB3829">
        <w:rPr>
          <w:rFonts w:cs="Arial"/>
        </w:rPr>
        <w:t>Senge’s</w:t>
      </w:r>
      <w:proofErr w:type="spellEnd"/>
      <w:r w:rsidRPr="00FB3829">
        <w:rPr>
          <w:rFonts w:cs="Arial"/>
        </w:rPr>
        <w:t xml:space="preserve"> (1990) learning organisation provides a foundational lens for understanding how talent f</w:t>
      </w:r>
      <w:r>
        <w:rPr>
          <w:rFonts w:cs="Arial"/>
        </w:rPr>
        <w:t xml:space="preserve">lourishes. Its five disciplines: </w:t>
      </w:r>
      <w:r w:rsidRPr="00FB3829">
        <w:rPr>
          <w:rFonts w:cs="Arial"/>
        </w:rPr>
        <w:t>personal mastery, mental models, shared vision, tea</w:t>
      </w:r>
      <w:r>
        <w:rPr>
          <w:rFonts w:cs="Arial"/>
        </w:rPr>
        <w:t xml:space="preserve">m learning and systems thinking, </w:t>
      </w:r>
      <w:r w:rsidRPr="00FB3829">
        <w:rPr>
          <w:rFonts w:cs="Arial"/>
        </w:rPr>
        <w:t xml:space="preserve">embed learning into everyday work rather than occasional training. This is particularly relevant for NexSpace, where AI-enabled healthcare requires continuous upskilling in technical, clinical and ethical domains. However, critics argue that </w:t>
      </w:r>
      <w:proofErr w:type="spellStart"/>
      <w:r w:rsidRPr="00FB3829">
        <w:rPr>
          <w:rFonts w:cs="Arial"/>
        </w:rPr>
        <w:t>Senge’s</w:t>
      </w:r>
      <w:proofErr w:type="spellEnd"/>
      <w:r w:rsidRPr="00FB3829">
        <w:rPr>
          <w:rFonts w:cs="Arial"/>
        </w:rPr>
        <w:t xml:space="preserve"> model is idealistic and difficult to operationalise. </w:t>
      </w:r>
      <w:proofErr w:type="spellStart"/>
      <w:r w:rsidRPr="00FB3829">
        <w:rPr>
          <w:rFonts w:cs="Arial"/>
        </w:rPr>
        <w:t>Argyris</w:t>
      </w:r>
      <w:proofErr w:type="spellEnd"/>
      <w:r w:rsidRPr="00FB3829">
        <w:rPr>
          <w:rFonts w:cs="Arial"/>
        </w:rPr>
        <w:t xml:space="preserve"> and </w:t>
      </w:r>
      <w:proofErr w:type="spellStart"/>
      <w:r w:rsidRPr="00FB3829">
        <w:rPr>
          <w:rFonts w:cs="Arial"/>
        </w:rPr>
        <w:t>Schön’s</w:t>
      </w:r>
      <w:proofErr w:type="spellEnd"/>
      <w:r w:rsidRPr="00FB3829">
        <w:rPr>
          <w:rFonts w:cs="Arial"/>
        </w:rPr>
        <w:t xml:space="preserve"> (1978) distinction between single-loop and double-loop learning strengthens the framework: double-loop learning encourages employees to question underlying assumptions, such as whether an algorithm’s clinical objectives are appropriate, rather than merely correcting errors. This deeper learning is essential for innovation and ethical AI development.</w:t>
      </w:r>
    </w:p>
    <w:p w:rsidR="00FB3829" w:rsidRPr="00FB3829" w:rsidRDefault="00FB3829" w:rsidP="00FB3829">
      <w:pPr>
        <w:pStyle w:val="Heading2"/>
        <w:keepNext/>
        <w:spacing w:before="240" w:after="120" w:line="360" w:lineRule="auto"/>
        <w:jc w:val="both"/>
        <w:rPr>
          <w:b w:val="0"/>
          <w:bCs w:val="0"/>
          <w:color w:val="auto"/>
        </w:rPr>
      </w:pPr>
      <w:bookmarkStart w:id="15" w:name="_Toc242826825"/>
      <w:bookmarkStart w:id="16" w:name="_Toc242827557"/>
      <w:bookmarkStart w:id="17" w:name="b2"/>
      <w:r w:rsidRPr="00FB3829">
        <w:rPr>
          <w:b w:val="0"/>
          <w:bCs w:val="0"/>
          <w:color w:val="auto"/>
        </w:rPr>
        <w:t>Learning cannot occur without psychological safety. Edmondson (1999) defines psychological safety as a shared belief that the team is safe for interpersonal risk-taking asking questions, admitting mistakes, challenging decisions and offering ideas. It predicts learning behaviour, innovation and error reporting (Edmondson and Lei, 2014), all critical in a sector where patient safety and ethical AI are paramount. Kahn’s (1990) engagement theory complements this by identifying psychological safety, meaningfulness and availability as conditions for personal engagement. The JD</w:t>
      </w:r>
      <w:r w:rsidRPr="00FB3829">
        <w:rPr>
          <w:rFonts w:ascii="Cambria Math" w:hAnsi="Cambria Math" w:cs="Cambria Math"/>
          <w:b w:val="0"/>
          <w:bCs w:val="0"/>
          <w:color w:val="auto"/>
        </w:rPr>
        <w:t>‑</w:t>
      </w:r>
      <w:r w:rsidRPr="00FB3829">
        <w:rPr>
          <w:b w:val="0"/>
          <w:bCs w:val="0"/>
          <w:color w:val="auto"/>
        </w:rPr>
        <w:t xml:space="preserve">R model further explains how supportive leadership acts as a resource that protects wellbeing (Bakker and </w:t>
      </w:r>
      <w:proofErr w:type="spellStart"/>
      <w:r w:rsidRPr="00FB3829">
        <w:rPr>
          <w:b w:val="0"/>
          <w:bCs w:val="0"/>
          <w:color w:val="auto"/>
        </w:rPr>
        <w:t>Demerouti</w:t>
      </w:r>
      <w:proofErr w:type="spellEnd"/>
      <w:r w:rsidRPr="00FB3829">
        <w:rPr>
          <w:b w:val="0"/>
          <w:bCs w:val="0"/>
          <w:color w:val="auto"/>
        </w:rPr>
        <w:t xml:space="preserve">, 2007). For </w:t>
      </w:r>
      <w:r w:rsidRPr="00FB3829">
        <w:rPr>
          <w:b w:val="0"/>
          <w:bCs w:val="0"/>
          <w:color w:val="auto"/>
        </w:rPr>
        <w:lastRenderedPageBreak/>
        <w:t>NexSpace, psychological safety directly addresses challenge (e): managers who can discuss workload openly can recalibrate expectations before burnout leads to resignations.</w:t>
      </w:r>
      <w:bookmarkEnd w:id="15"/>
      <w:bookmarkEnd w:id="16"/>
    </w:p>
    <w:p w:rsidR="00FB3829" w:rsidRPr="00FB3829" w:rsidRDefault="00FB3829" w:rsidP="00FB3829">
      <w:pPr>
        <w:pStyle w:val="NormalWeb"/>
        <w:spacing w:line="360" w:lineRule="auto"/>
        <w:jc w:val="both"/>
        <w:rPr>
          <w:rFonts w:ascii="Arial" w:hAnsi="Arial" w:cs="Arial"/>
        </w:rPr>
      </w:pPr>
      <w:r w:rsidRPr="00FB3829">
        <w:rPr>
          <w:rFonts w:ascii="Arial" w:hAnsi="Arial" w:cs="Arial"/>
        </w:rPr>
        <w:t xml:space="preserve">Employee Experience (EX) provides a holistic perspective on how employees interpret their work environment. EX integrates physical, cultural and technological elements that shape how employees feel, perform and grow. A positive EX strengthens job embeddedness, supports wellbeing and enhances discretionary effort. In </w:t>
      </w:r>
      <w:proofErr w:type="spellStart"/>
      <w:r w:rsidRPr="00FB3829">
        <w:rPr>
          <w:rFonts w:ascii="Arial" w:hAnsi="Arial" w:cs="Arial"/>
        </w:rPr>
        <w:t>NexSpace’s</w:t>
      </w:r>
      <w:proofErr w:type="spellEnd"/>
      <w:r w:rsidRPr="00FB3829">
        <w:rPr>
          <w:rFonts w:ascii="Arial" w:hAnsi="Arial" w:cs="Arial"/>
        </w:rPr>
        <w:t xml:space="preserve"> context, EX is weakened by limited growth opportunities, inconsistent collaboration across countries and unclear workload expectations. Strengthening EX requires redesigning work processes, leadership behaviours and learning systems to create an environment where employees feel valued, supported and able to develop.</w:t>
      </w:r>
      <w:r w:rsidRPr="00FB3829">
        <w:rPr>
          <w:rFonts w:ascii="Arial" w:hAnsi="Arial" w:cs="Arial"/>
          <w:b/>
          <w:bCs/>
        </w:rPr>
        <w:t xml:space="preserve"> </w:t>
      </w:r>
      <w:r w:rsidRPr="00FB3829">
        <w:rPr>
          <w:rFonts w:ascii="Arial" w:hAnsi="Arial" w:cs="Arial"/>
        </w:rPr>
        <w:t>Job crafting theory completes the talent-flourishing framework by recognising employees as active shapers of their roles. Through task, relational and cognitive crafting, employees align their work with strengths, interests and values (</w:t>
      </w:r>
      <w:proofErr w:type="spellStart"/>
      <w:r w:rsidRPr="00FB3829">
        <w:rPr>
          <w:rFonts w:ascii="Arial" w:hAnsi="Arial" w:cs="Arial"/>
        </w:rPr>
        <w:t>Wrzesniewski</w:t>
      </w:r>
      <w:proofErr w:type="spellEnd"/>
      <w:r w:rsidRPr="00FB3829">
        <w:rPr>
          <w:rFonts w:ascii="Arial" w:hAnsi="Arial" w:cs="Arial"/>
        </w:rPr>
        <w:t xml:space="preserve"> and Dutton, 2001). </w:t>
      </w:r>
      <w:proofErr w:type="spellStart"/>
      <w:r w:rsidRPr="00FB3829">
        <w:rPr>
          <w:rFonts w:ascii="Arial" w:hAnsi="Arial" w:cs="Arial"/>
        </w:rPr>
        <w:t>Tims</w:t>
      </w:r>
      <w:proofErr w:type="spellEnd"/>
      <w:r w:rsidRPr="00FB3829">
        <w:rPr>
          <w:rFonts w:ascii="Arial" w:hAnsi="Arial" w:cs="Arial"/>
        </w:rPr>
        <w:t xml:space="preserve"> and Bakker (2010) reinterpret crafting through the JD</w:t>
      </w:r>
      <w:r w:rsidRPr="00FB3829">
        <w:rPr>
          <w:rFonts w:ascii="Arial" w:hAnsi="Arial" w:cs="Arial"/>
        </w:rPr>
        <w:noBreakHyphen/>
        <w:t>R model: employees seek resources, seek challenges and reduce hindering demands. Crafting supports autonomy and competence needs identified by Self</w:t>
      </w:r>
      <w:r w:rsidRPr="00FB3829">
        <w:rPr>
          <w:rFonts w:ascii="Arial" w:hAnsi="Arial" w:cs="Arial"/>
        </w:rPr>
        <w:noBreakHyphen/>
        <w:t>Determination Theory (Deci and Ryan, 2000), increasing engagement and retention. However, unmanaged crafting can create role ambiguity or uneven workloads, so it requires clear boundaries and manager dialogue.</w:t>
      </w:r>
    </w:p>
    <w:p w:rsidR="00BE61A2" w:rsidRDefault="00FB3829" w:rsidP="00FB3829">
      <w:pPr>
        <w:pStyle w:val="NormalWeb"/>
        <w:spacing w:line="360" w:lineRule="auto"/>
        <w:jc w:val="both"/>
        <w:rPr>
          <w:rFonts w:ascii="Arial" w:hAnsi="Arial" w:cs="Arial"/>
        </w:rPr>
      </w:pPr>
      <w:r w:rsidRPr="00FB3829">
        <w:rPr>
          <w:rFonts w:ascii="Arial" w:hAnsi="Arial" w:cs="Arial"/>
        </w:rPr>
        <w:t>Together, these theories show that talent flourishes when learning is continuous, psychological safety is strong, employee experience is positive and employees have agency to shape their roles. NexSpace must therefore build a strategic talent ecosystem that integrates these elements into daily work.</w:t>
      </w:r>
      <w:bookmarkEnd w:id="17"/>
    </w:p>
    <w:p w:rsidR="00FB3829" w:rsidRDefault="00026B68" w:rsidP="00FB3829">
      <w:pPr>
        <w:pStyle w:val="NormalWeb"/>
        <w:spacing w:line="360" w:lineRule="auto"/>
        <w:jc w:val="both"/>
        <w:rPr>
          <w:rFonts w:ascii="Arial" w:eastAsia="Arial" w:hAnsi="Arial" w:cs="Arial"/>
          <w:b/>
          <w:bCs/>
          <w:color w:val="2E5496"/>
        </w:rPr>
      </w:pPr>
      <w:r>
        <w:rPr>
          <w:rFonts w:ascii="Arial" w:eastAsia="Arial" w:hAnsi="Arial" w:cs="Arial"/>
          <w:b/>
          <w:bCs/>
          <w:color w:val="2E5496"/>
        </w:rPr>
        <w:t xml:space="preserve">2. </w:t>
      </w:r>
      <w:r w:rsidRPr="00026B68">
        <w:rPr>
          <w:rFonts w:ascii="Arial" w:eastAsia="Arial" w:hAnsi="Arial" w:cs="Arial"/>
          <w:b/>
          <w:bCs/>
          <w:color w:val="2E5496"/>
        </w:rPr>
        <w:t>Talent Growth Strategy for NexSpace</w:t>
      </w:r>
    </w:p>
    <w:p w:rsidR="00026B68" w:rsidRDefault="00026B68" w:rsidP="00FB3829">
      <w:pPr>
        <w:pStyle w:val="NormalWeb"/>
        <w:spacing w:line="360" w:lineRule="auto"/>
        <w:jc w:val="both"/>
        <w:rPr>
          <w:rFonts w:ascii="Arial" w:hAnsi="Arial" w:cs="Arial"/>
        </w:rPr>
      </w:pPr>
      <w:r w:rsidRPr="00026B68">
        <w:rPr>
          <w:rFonts w:ascii="Arial" w:hAnsi="Arial" w:cs="Arial"/>
        </w:rPr>
        <w:t xml:space="preserve">Figure 5 conceptualises </w:t>
      </w:r>
      <w:proofErr w:type="spellStart"/>
      <w:r w:rsidRPr="00026B68">
        <w:rPr>
          <w:rFonts w:ascii="Arial" w:hAnsi="Arial" w:cs="Arial"/>
        </w:rPr>
        <w:t>NexSpace’s</w:t>
      </w:r>
      <w:proofErr w:type="spellEnd"/>
      <w:r w:rsidRPr="00026B68">
        <w:rPr>
          <w:rFonts w:ascii="Arial" w:hAnsi="Arial" w:cs="Arial"/>
        </w:rPr>
        <w:t xml:space="preserve"> strategic talent ecosystem, integrating learning organisation principles (</w:t>
      </w:r>
      <w:proofErr w:type="spellStart"/>
      <w:r w:rsidRPr="00026B68">
        <w:rPr>
          <w:rFonts w:ascii="Arial" w:hAnsi="Arial" w:cs="Arial"/>
        </w:rPr>
        <w:t>Senge</w:t>
      </w:r>
      <w:proofErr w:type="spellEnd"/>
      <w:r w:rsidRPr="00026B68">
        <w:rPr>
          <w:rFonts w:ascii="Arial" w:hAnsi="Arial" w:cs="Arial"/>
        </w:rPr>
        <w:t>, 1990), psychological safety (Edmondson, 1999), employee experience (EX) and job crafting (</w:t>
      </w:r>
      <w:proofErr w:type="spellStart"/>
      <w:r w:rsidRPr="00026B68">
        <w:rPr>
          <w:rFonts w:ascii="Arial" w:hAnsi="Arial" w:cs="Arial"/>
        </w:rPr>
        <w:t>Wrzesniewski</w:t>
      </w:r>
      <w:proofErr w:type="spellEnd"/>
      <w:r w:rsidRPr="00026B68">
        <w:rPr>
          <w:rFonts w:ascii="Arial" w:hAnsi="Arial" w:cs="Arial"/>
        </w:rPr>
        <w:t xml:space="preserve"> and Dutton, 2001). The strategy aims to strengthen capability development, retention, wellbeing and innovation.</w:t>
      </w:r>
    </w:p>
    <w:p w:rsidR="00026B68" w:rsidRDefault="00026B68" w:rsidP="00026B68">
      <w:pPr>
        <w:pStyle w:val="Heading3"/>
        <w:keepNext/>
        <w:spacing w:before="160" w:after="60" w:line="360" w:lineRule="auto"/>
      </w:pPr>
      <w:bookmarkStart w:id="18" w:name="_Toc242827558"/>
      <w:r>
        <w:t>Building a Learning Organisation</w:t>
      </w:r>
      <w:bookmarkEnd w:id="18"/>
    </w:p>
    <w:p w:rsidR="00026B68" w:rsidRPr="00FB3829" w:rsidRDefault="00026B68" w:rsidP="00026B68">
      <w:pPr>
        <w:pStyle w:val="NormalWeb"/>
        <w:spacing w:line="360" w:lineRule="auto"/>
        <w:jc w:val="both"/>
        <w:rPr>
          <w:rFonts w:ascii="Arial" w:hAnsi="Arial" w:cs="Arial"/>
        </w:rPr>
      </w:pPr>
      <w:r w:rsidRPr="00026B68">
        <w:rPr>
          <w:rFonts w:ascii="Arial" w:hAnsi="Arial" w:cs="Arial"/>
        </w:rPr>
        <w:t>NexSpace should establish capability academies focused on AI and data science, clinical knowledge, product management, ethical AI and people analytics. These academ</w:t>
      </w:r>
      <w:r>
        <w:rPr>
          <w:rFonts w:ascii="Arial" w:hAnsi="Arial" w:cs="Arial"/>
        </w:rPr>
        <w:t xml:space="preserve">ies should use blended learning </w:t>
      </w:r>
      <w:r w:rsidRPr="00026B68">
        <w:rPr>
          <w:rFonts w:ascii="Arial" w:hAnsi="Arial" w:cs="Arial"/>
        </w:rPr>
        <w:t xml:space="preserve">online modules, workshops, mentoring and project-based assignments. </w:t>
      </w:r>
      <w:r w:rsidRPr="00026B68">
        <w:rPr>
          <w:rFonts w:ascii="Arial" w:hAnsi="Arial" w:cs="Arial"/>
        </w:rPr>
        <w:lastRenderedPageBreak/>
        <w:t>Learning must be embedded within agile teams through documented lessons learned, shared in communities of practice and periodic “learning sprints” exploring new technologies or clinical domains. Kolb’s (1984) experiential learning cyc</w:t>
      </w:r>
      <w:r>
        <w:rPr>
          <w:rFonts w:ascii="Arial" w:hAnsi="Arial" w:cs="Arial"/>
        </w:rPr>
        <w:t xml:space="preserve">le: </w:t>
      </w:r>
      <w:r w:rsidRPr="00026B68">
        <w:rPr>
          <w:rFonts w:ascii="Arial" w:hAnsi="Arial" w:cs="Arial"/>
        </w:rPr>
        <w:t>concrete experience, reflection, concep</w:t>
      </w:r>
      <w:r>
        <w:rPr>
          <w:rFonts w:ascii="Arial" w:hAnsi="Arial" w:cs="Arial"/>
        </w:rPr>
        <w:t xml:space="preserve">tualisation and experimentation </w:t>
      </w:r>
      <w:r w:rsidRPr="00026B68">
        <w:rPr>
          <w:rFonts w:ascii="Arial" w:hAnsi="Arial" w:cs="Arial"/>
        </w:rPr>
        <w:t xml:space="preserve">should guide learning design. A shared talent vision, emphasising growth and safer, smarter healthcare, will align learning with organisational strategy. Systematic training also strengthens the “ability” component of the AMO framework </w:t>
      </w:r>
      <w:r>
        <w:rPr>
          <w:noProof/>
        </w:rPr>
        <w:drawing>
          <wp:anchor distT="0" distB="0" distL="114300" distR="114300" simplePos="0" relativeHeight="251667456" behindDoc="0" locked="0" layoutInCell="1" allowOverlap="1">
            <wp:simplePos x="0" y="0"/>
            <wp:positionH relativeFrom="margin">
              <wp:align>center</wp:align>
            </wp:positionH>
            <wp:positionV relativeFrom="paragraph">
              <wp:posOffset>1794510</wp:posOffset>
            </wp:positionV>
            <wp:extent cx="5909310" cy="5901055"/>
            <wp:effectExtent l="0" t="0" r="0" b="4445"/>
            <wp:wrapTopAndBottom/>
            <wp:docPr id="6" name="Figure 5: NexSpace strategic talent ecosystem" descr="Figure 5: NexSpace strategic talent ecosystem" title="Figure 5: NexSpace strategic talent eco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18644" cy="5910588"/>
                    </a:xfrm>
                    <a:prstGeom prst="rect">
                      <a:avLst/>
                    </a:prstGeom>
                  </pic:spPr>
                </pic:pic>
              </a:graphicData>
            </a:graphic>
            <wp14:sizeRelH relativeFrom="margin">
              <wp14:pctWidth>0</wp14:pctWidth>
            </wp14:sizeRelH>
            <wp14:sizeRelV relativeFrom="margin">
              <wp14:pctHeight>0</wp14:pctHeight>
            </wp14:sizeRelV>
          </wp:anchor>
        </w:drawing>
      </w:r>
      <w:r w:rsidRPr="00026B68">
        <w:rPr>
          <w:rFonts w:ascii="Arial" w:hAnsi="Arial" w:cs="Arial"/>
        </w:rPr>
        <w:t>(</w:t>
      </w:r>
      <w:proofErr w:type="spellStart"/>
      <w:r w:rsidRPr="00026B68">
        <w:rPr>
          <w:rFonts w:ascii="Arial" w:hAnsi="Arial" w:cs="Arial"/>
        </w:rPr>
        <w:t>Appelbaum</w:t>
      </w:r>
      <w:proofErr w:type="spellEnd"/>
      <w:r w:rsidRPr="00026B68">
        <w:rPr>
          <w:rFonts w:ascii="Arial" w:hAnsi="Arial" w:cs="Arial"/>
        </w:rPr>
        <w:t xml:space="preserve"> et al., 2000).</w:t>
      </w:r>
    </w:p>
    <w:p w:rsidR="00BE61A2" w:rsidRDefault="002D5962" w:rsidP="00026B68">
      <w:pPr>
        <w:spacing w:before="60" w:after="200"/>
        <w:jc w:val="center"/>
      </w:pPr>
      <w:r>
        <w:rPr>
          <w:rFonts w:cs="Arial"/>
          <w:i/>
          <w:iCs/>
          <w:color w:val="595959"/>
          <w:sz w:val="18"/>
          <w:szCs w:val="18"/>
        </w:rPr>
        <w:t xml:space="preserve">Figure 5: NexSpace Strategic Talent Ecosystem (Source: Author’s own synthesis, drawing on </w:t>
      </w:r>
      <w:proofErr w:type="spellStart"/>
      <w:r>
        <w:rPr>
          <w:rFonts w:cs="Arial"/>
          <w:i/>
          <w:iCs/>
          <w:color w:val="595959"/>
          <w:sz w:val="18"/>
          <w:szCs w:val="18"/>
        </w:rPr>
        <w:t>Senge</w:t>
      </w:r>
      <w:proofErr w:type="spellEnd"/>
      <w:r>
        <w:rPr>
          <w:rFonts w:cs="Arial"/>
          <w:i/>
          <w:iCs/>
          <w:color w:val="595959"/>
          <w:sz w:val="18"/>
          <w:szCs w:val="18"/>
        </w:rPr>
        <w:t xml:space="preserve">, 1990; Edmondson, 1999; </w:t>
      </w:r>
      <w:proofErr w:type="spellStart"/>
      <w:r>
        <w:rPr>
          <w:rFonts w:cs="Arial"/>
          <w:i/>
          <w:iCs/>
          <w:color w:val="595959"/>
          <w:sz w:val="18"/>
          <w:szCs w:val="18"/>
        </w:rPr>
        <w:t>Wrzesniewski</w:t>
      </w:r>
      <w:proofErr w:type="spellEnd"/>
      <w:r>
        <w:rPr>
          <w:rFonts w:cs="Arial"/>
          <w:i/>
          <w:iCs/>
          <w:color w:val="595959"/>
          <w:sz w:val="18"/>
          <w:szCs w:val="18"/>
        </w:rPr>
        <w:t xml:space="preserve"> and Dutton, 2001; Mitchell et al., 2001; </w:t>
      </w:r>
      <w:proofErr w:type="spellStart"/>
      <w:r>
        <w:rPr>
          <w:rFonts w:cs="Arial"/>
          <w:i/>
          <w:iCs/>
          <w:color w:val="595959"/>
          <w:sz w:val="18"/>
          <w:szCs w:val="18"/>
        </w:rPr>
        <w:t>Marler</w:t>
      </w:r>
      <w:proofErr w:type="spellEnd"/>
      <w:r>
        <w:rPr>
          <w:rFonts w:cs="Arial"/>
          <w:i/>
          <w:iCs/>
          <w:color w:val="595959"/>
          <w:sz w:val="18"/>
          <w:szCs w:val="18"/>
        </w:rPr>
        <w:t xml:space="preserve"> and Boudreau, 2017)</w:t>
      </w:r>
    </w:p>
    <w:p w:rsidR="00BE61A2" w:rsidRDefault="002D5962">
      <w:pPr>
        <w:pStyle w:val="Heading3"/>
        <w:keepNext/>
        <w:spacing w:before="160" w:after="60" w:line="360" w:lineRule="auto"/>
      </w:pPr>
      <w:bookmarkStart w:id="19" w:name="_Toc242826827"/>
      <w:bookmarkStart w:id="20" w:name="_Toc242827559"/>
      <w:r>
        <w:t>Creating Psychological Safety and Wellbeing</w:t>
      </w:r>
      <w:bookmarkEnd w:id="19"/>
      <w:bookmarkEnd w:id="20"/>
    </w:p>
    <w:p w:rsidR="00026B68" w:rsidRPr="00026B68" w:rsidRDefault="00026B68" w:rsidP="00026B68">
      <w:pPr>
        <w:pStyle w:val="Heading3"/>
        <w:keepNext/>
        <w:spacing w:before="160" w:after="60" w:line="360" w:lineRule="auto"/>
        <w:jc w:val="both"/>
        <w:rPr>
          <w:b w:val="0"/>
          <w:bCs w:val="0"/>
          <w:color w:val="000000" w:themeColor="text1"/>
        </w:rPr>
      </w:pPr>
      <w:bookmarkStart w:id="21" w:name="_Toc242826828"/>
      <w:bookmarkStart w:id="22" w:name="_Toc242827560"/>
      <w:r w:rsidRPr="00026B68">
        <w:rPr>
          <w:b w:val="0"/>
          <w:bCs w:val="0"/>
          <w:color w:val="000000" w:themeColor="text1"/>
        </w:rPr>
        <w:t>Managers should be trained to model curiosity, admit mistakes, invite challenge and respond constructively to bad</w:t>
      </w:r>
      <w:r>
        <w:rPr>
          <w:b w:val="0"/>
          <w:bCs w:val="0"/>
          <w:color w:val="000000" w:themeColor="text1"/>
        </w:rPr>
        <w:t xml:space="preserve"> news. Regular check-in rituals: </w:t>
      </w:r>
      <w:r w:rsidRPr="00026B68">
        <w:rPr>
          <w:b w:val="0"/>
          <w:bCs w:val="0"/>
          <w:color w:val="000000" w:themeColor="text1"/>
        </w:rPr>
        <w:t xml:space="preserve">weekly pulse discussions, workload </w:t>
      </w:r>
      <w:r>
        <w:rPr>
          <w:b w:val="0"/>
          <w:bCs w:val="0"/>
          <w:color w:val="000000" w:themeColor="text1"/>
        </w:rPr>
        <w:t xml:space="preserve">reviews and team retrospectives </w:t>
      </w:r>
      <w:r w:rsidRPr="00026B68">
        <w:rPr>
          <w:b w:val="0"/>
          <w:bCs w:val="0"/>
          <w:color w:val="000000" w:themeColor="text1"/>
        </w:rPr>
        <w:t xml:space="preserve">should normalise open dialogue. Small experiments such </w:t>
      </w:r>
      <w:r w:rsidRPr="00026B68">
        <w:rPr>
          <w:b w:val="0"/>
          <w:bCs w:val="0"/>
          <w:color w:val="000000" w:themeColor="text1"/>
        </w:rPr>
        <w:lastRenderedPageBreak/>
        <w:t>as A/B tests and pilots should be framed as learning opportunities, supported by blameless post-mortems that focus on insights rather than blame (Edmondson, 1999). People analytics should monitor workload indicators such as overtime, late-night working and meeting overload, enabling evidence-based adjustments to staffing and priorities (</w:t>
      </w:r>
      <w:proofErr w:type="spellStart"/>
      <w:r w:rsidRPr="00026B68">
        <w:rPr>
          <w:b w:val="0"/>
          <w:bCs w:val="0"/>
          <w:color w:val="000000" w:themeColor="text1"/>
        </w:rPr>
        <w:t>Marler</w:t>
      </w:r>
      <w:proofErr w:type="spellEnd"/>
      <w:r w:rsidRPr="00026B68">
        <w:rPr>
          <w:b w:val="0"/>
          <w:bCs w:val="0"/>
          <w:color w:val="000000" w:themeColor="text1"/>
        </w:rPr>
        <w:t xml:space="preserve"> and Boudreau, 2017). Because monitoring can feel intrusive, it must be transparent, aggregated where possible and governed by data-protection principles to maintain trust (</w:t>
      </w:r>
      <w:proofErr w:type="spellStart"/>
      <w:r w:rsidRPr="00026B68">
        <w:rPr>
          <w:b w:val="0"/>
          <w:bCs w:val="0"/>
          <w:color w:val="000000" w:themeColor="text1"/>
        </w:rPr>
        <w:t>Tursunbayeva</w:t>
      </w:r>
      <w:proofErr w:type="spellEnd"/>
      <w:r w:rsidRPr="00026B68">
        <w:rPr>
          <w:b w:val="0"/>
          <w:bCs w:val="0"/>
          <w:color w:val="000000" w:themeColor="text1"/>
        </w:rPr>
        <w:t xml:space="preserve">, Di </w:t>
      </w:r>
      <w:proofErr w:type="spellStart"/>
      <w:r w:rsidRPr="00026B68">
        <w:rPr>
          <w:b w:val="0"/>
          <w:bCs w:val="0"/>
          <w:color w:val="000000" w:themeColor="text1"/>
        </w:rPr>
        <w:t>Lauro</w:t>
      </w:r>
      <w:proofErr w:type="spellEnd"/>
      <w:r w:rsidRPr="00026B68">
        <w:rPr>
          <w:b w:val="0"/>
          <w:bCs w:val="0"/>
          <w:color w:val="000000" w:themeColor="text1"/>
        </w:rPr>
        <w:t xml:space="preserve"> and </w:t>
      </w:r>
      <w:proofErr w:type="spellStart"/>
      <w:r w:rsidRPr="00026B68">
        <w:rPr>
          <w:b w:val="0"/>
          <w:bCs w:val="0"/>
          <w:color w:val="000000" w:themeColor="text1"/>
        </w:rPr>
        <w:t>Pagliari</w:t>
      </w:r>
      <w:proofErr w:type="spellEnd"/>
      <w:r w:rsidRPr="00026B68">
        <w:rPr>
          <w:b w:val="0"/>
          <w:bCs w:val="0"/>
          <w:color w:val="000000" w:themeColor="text1"/>
        </w:rPr>
        <w:t>, 2018). Strengthening psychological safety will reduce burnout, improve engagement and support ethical decision-making in AI development.</w:t>
      </w:r>
      <w:bookmarkEnd w:id="21"/>
      <w:bookmarkEnd w:id="22"/>
    </w:p>
    <w:p w:rsidR="00BE61A2" w:rsidRDefault="002D5962">
      <w:pPr>
        <w:pStyle w:val="Heading3"/>
        <w:keepNext/>
        <w:spacing w:before="160" w:after="60" w:line="360" w:lineRule="auto"/>
      </w:pPr>
      <w:bookmarkStart w:id="23" w:name="_Toc242827561"/>
      <w:r>
        <w:t>Enabling Job Crafting and Career Pathways</w:t>
      </w:r>
      <w:bookmarkEnd w:id="23"/>
    </w:p>
    <w:p w:rsidR="00026B68" w:rsidRDefault="00026B68">
      <w:pPr>
        <w:pStyle w:val="Heading3"/>
        <w:keepNext/>
        <w:spacing w:before="160" w:after="60" w:line="360" w:lineRule="auto"/>
        <w:rPr>
          <w:b w:val="0"/>
          <w:bCs w:val="0"/>
          <w:color w:val="auto"/>
        </w:rPr>
      </w:pPr>
      <w:bookmarkStart w:id="24" w:name="_Toc242826830"/>
      <w:bookmarkStart w:id="25" w:name="_Toc242827562"/>
      <w:r w:rsidRPr="00026B68">
        <w:rPr>
          <w:b w:val="0"/>
          <w:bCs w:val="0"/>
          <w:color w:val="auto"/>
        </w:rPr>
        <w:t>Quarterly development conversations should include structured job-crafting discussions where employees identify tasks to expand, reduce or reshape. Managers should co-design feasible adjustments, ensuring alignment with team goals and regulatory requ</w:t>
      </w:r>
      <w:r>
        <w:rPr>
          <w:b w:val="0"/>
          <w:bCs w:val="0"/>
          <w:color w:val="auto"/>
        </w:rPr>
        <w:t xml:space="preserve">irements. Clear career pathways; </w:t>
      </w:r>
      <w:r w:rsidRPr="00026B68">
        <w:rPr>
          <w:b w:val="0"/>
          <w:bCs w:val="0"/>
          <w:color w:val="auto"/>
        </w:rPr>
        <w:t>for example, AI engineer → senior AI engineer → AI ethics lead, or clinical liaison → product own</w:t>
      </w:r>
      <w:r>
        <w:rPr>
          <w:b w:val="0"/>
          <w:bCs w:val="0"/>
          <w:color w:val="auto"/>
        </w:rPr>
        <w:t xml:space="preserve">er → regional clinical director </w:t>
      </w:r>
      <w:r w:rsidRPr="00026B68">
        <w:rPr>
          <w:b w:val="0"/>
          <w:bCs w:val="0"/>
          <w:color w:val="auto"/>
        </w:rPr>
        <w:t>should be mapped and supported by an internal job board and short-term projects that allow employees to test new roles. Strengths-based assessments should guide project allocation. These measures strengthen fit, links and perceived sacrifice (Mitchell et al., 2001), enabling high performers to grow within NexSpace rather than exit. They also enhance EX by giving employees clarity, agency and meaningful progression.</w:t>
      </w:r>
      <w:bookmarkEnd w:id="24"/>
      <w:bookmarkEnd w:id="25"/>
    </w:p>
    <w:p w:rsidR="00BE61A2" w:rsidRDefault="002D5962">
      <w:pPr>
        <w:pStyle w:val="Heading3"/>
        <w:keepNext/>
        <w:spacing w:before="160" w:after="60" w:line="360" w:lineRule="auto"/>
      </w:pPr>
      <w:bookmarkStart w:id="26" w:name="_Toc242827563"/>
      <w:r>
        <w:t>Measuring Impact</w:t>
      </w:r>
      <w:bookmarkEnd w:id="26"/>
    </w:p>
    <w:p w:rsidR="00026B68" w:rsidRPr="00026B68" w:rsidRDefault="00026B68" w:rsidP="00026B68">
      <w:pPr>
        <w:pStyle w:val="Heading3"/>
        <w:keepNext/>
        <w:spacing w:before="160" w:after="60" w:line="360" w:lineRule="auto"/>
        <w:jc w:val="both"/>
        <w:rPr>
          <w:b w:val="0"/>
          <w:bCs w:val="0"/>
          <w:color w:val="000000" w:themeColor="text1"/>
        </w:rPr>
      </w:pPr>
      <w:bookmarkStart w:id="27" w:name="_Toc242826832"/>
      <w:bookmarkStart w:id="28" w:name="_Toc242827564"/>
      <w:r w:rsidRPr="00026B68">
        <w:rPr>
          <w:b w:val="0"/>
          <w:bCs w:val="0"/>
          <w:color w:val="000000" w:themeColor="text1"/>
        </w:rPr>
        <w:t>Impact should be tracked through retention of high performers, internal mobility rates, psychological safety scores, engagement levels and workload indicators. These metrics should be reviewed in the same governance forum that oversees agile work systems, ensuring alignment between talent strategy and work design. Continuous monitoring will allow NexSpace to refine its talent ecosystem and maintain a healthy balance between wellbeing and performance.</w:t>
      </w:r>
      <w:bookmarkEnd w:id="27"/>
      <w:bookmarkEnd w:id="28"/>
    </w:p>
    <w:p w:rsidR="00BE61A2" w:rsidRDefault="002D5962">
      <w:pPr>
        <w:pStyle w:val="Heading1"/>
        <w:pageBreakBefore/>
        <w:pBdr>
          <w:bottom w:val="single" w:sz="4" w:space="4" w:color="2E5496"/>
        </w:pBdr>
        <w:spacing w:after="200" w:line="360" w:lineRule="auto"/>
      </w:pPr>
      <w:bookmarkStart w:id="29" w:name="taskC"/>
      <w:bookmarkStart w:id="30" w:name="_Toc242827565"/>
      <w:r>
        <w:lastRenderedPageBreak/>
        <w:t>Task C: Reflective Report</w:t>
      </w:r>
      <w:bookmarkEnd w:id="29"/>
      <w:bookmarkEnd w:id="30"/>
    </w:p>
    <w:p w:rsidR="00BE61A2" w:rsidRDefault="002D5962">
      <w:pPr>
        <w:pStyle w:val="Heading2"/>
        <w:keepNext/>
        <w:spacing w:before="240" w:after="120" w:line="360" w:lineRule="auto"/>
      </w:pPr>
      <w:bookmarkStart w:id="31" w:name="c1"/>
      <w:bookmarkStart w:id="32" w:name="_Toc242827566"/>
      <w:r>
        <w:t>1. AI as a Strategic Decision-Support Tool in HRM</w:t>
      </w:r>
      <w:bookmarkEnd w:id="31"/>
      <w:bookmarkEnd w:id="32"/>
    </w:p>
    <w:p w:rsidR="004F4D11" w:rsidRPr="004F4D11" w:rsidRDefault="004F4D11" w:rsidP="004F4D11">
      <w:pPr>
        <w:pStyle w:val="Heading2"/>
        <w:keepNext/>
        <w:spacing w:before="240" w:after="120" w:line="360" w:lineRule="auto"/>
        <w:jc w:val="both"/>
        <w:rPr>
          <w:b w:val="0"/>
          <w:bCs w:val="0"/>
          <w:color w:val="auto"/>
        </w:rPr>
      </w:pPr>
      <w:bookmarkStart w:id="33" w:name="_Toc242826835"/>
      <w:bookmarkStart w:id="34" w:name="_Toc242827567"/>
      <w:bookmarkStart w:id="35" w:name="c2"/>
      <w:r w:rsidRPr="004F4D11">
        <w:rPr>
          <w:b w:val="0"/>
          <w:bCs w:val="0"/>
          <w:color w:val="auto"/>
        </w:rPr>
        <w:t>Artificial Intelligence is increasingly central to strategic HRM because it improves the quality and speed of decisions. People analytics can reveal patterns in engagement, burnout and skills gaps, while AI</w:t>
      </w:r>
      <w:r w:rsidRPr="004F4D11">
        <w:rPr>
          <w:rFonts w:ascii="Cambria Math" w:hAnsi="Cambria Math" w:cs="Cambria Math"/>
          <w:b w:val="0"/>
          <w:bCs w:val="0"/>
          <w:color w:val="auto"/>
        </w:rPr>
        <w:t>‑</w:t>
      </w:r>
      <w:r w:rsidRPr="004F4D11">
        <w:rPr>
          <w:b w:val="0"/>
          <w:bCs w:val="0"/>
          <w:color w:val="auto"/>
        </w:rPr>
        <w:t>enabled talent systems support recruitment, mobility and personalised learning. Predictive analytics also strengthen workforce planning (</w:t>
      </w:r>
      <w:proofErr w:type="spellStart"/>
      <w:r w:rsidRPr="004F4D11">
        <w:rPr>
          <w:b w:val="0"/>
          <w:bCs w:val="0"/>
          <w:color w:val="auto"/>
        </w:rPr>
        <w:t>Marler</w:t>
      </w:r>
      <w:proofErr w:type="spellEnd"/>
      <w:r w:rsidRPr="004F4D11">
        <w:rPr>
          <w:b w:val="0"/>
          <w:bCs w:val="0"/>
          <w:color w:val="auto"/>
        </w:rPr>
        <w:t xml:space="preserve"> and Boudreau, 2017; </w:t>
      </w:r>
      <w:proofErr w:type="spellStart"/>
      <w:r w:rsidRPr="004F4D11">
        <w:rPr>
          <w:b w:val="0"/>
          <w:bCs w:val="0"/>
          <w:color w:val="auto"/>
        </w:rPr>
        <w:t>Tambe</w:t>
      </w:r>
      <w:proofErr w:type="spellEnd"/>
      <w:r w:rsidRPr="004F4D11">
        <w:rPr>
          <w:b w:val="0"/>
          <w:bCs w:val="0"/>
          <w:color w:val="auto"/>
        </w:rPr>
        <w:t xml:space="preserve"> et al., 2019). Yet AI carries ethical risks: algorithms may reinforce bias (</w:t>
      </w:r>
      <w:proofErr w:type="spellStart"/>
      <w:r w:rsidRPr="004F4D11">
        <w:rPr>
          <w:b w:val="0"/>
          <w:bCs w:val="0"/>
          <w:color w:val="auto"/>
        </w:rPr>
        <w:t>Raghavan</w:t>
      </w:r>
      <w:proofErr w:type="spellEnd"/>
      <w:r w:rsidRPr="004F4D11">
        <w:rPr>
          <w:b w:val="0"/>
          <w:bCs w:val="0"/>
          <w:color w:val="auto"/>
        </w:rPr>
        <w:t xml:space="preserve"> et al., 2020), employees expect transparent decisions (</w:t>
      </w:r>
      <w:proofErr w:type="spellStart"/>
      <w:r w:rsidRPr="004F4D11">
        <w:rPr>
          <w:b w:val="0"/>
          <w:bCs w:val="0"/>
          <w:color w:val="auto"/>
        </w:rPr>
        <w:t>Floridi</w:t>
      </w:r>
      <w:proofErr w:type="spellEnd"/>
      <w:r w:rsidRPr="004F4D11">
        <w:rPr>
          <w:b w:val="0"/>
          <w:bCs w:val="0"/>
          <w:color w:val="auto"/>
        </w:rPr>
        <w:t xml:space="preserve"> and Cowls, 2019), and automation can distort judgement. As a future HR professional, my responsibility is to interpret AI critically, challenge bias and ensure decisions remain human</w:t>
      </w:r>
      <w:r w:rsidRPr="004F4D11">
        <w:rPr>
          <w:rFonts w:ascii="Cambria Math" w:hAnsi="Cambria Math" w:cs="Cambria Math"/>
          <w:b w:val="0"/>
          <w:bCs w:val="0"/>
          <w:color w:val="auto"/>
        </w:rPr>
        <w:t>‑</w:t>
      </w:r>
      <w:r w:rsidRPr="004F4D11">
        <w:rPr>
          <w:b w:val="0"/>
          <w:bCs w:val="0"/>
          <w:color w:val="auto"/>
        </w:rPr>
        <w:t>centred and compliant with regulations such as the Data Protection Act (2018).</w:t>
      </w:r>
      <w:bookmarkEnd w:id="33"/>
      <w:bookmarkEnd w:id="34"/>
    </w:p>
    <w:p w:rsidR="00BE61A2" w:rsidRDefault="002D5962">
      <w:pPr>
        <w:pStyle w:val="Heading2"/>
        <w:keepNext/>
        <w:spacing w:before="240" w:after="120" w:line="360" w:lineRule="auto"/>
      </w:pPr>
      <w:bookmarkStart w:id="36" w:name="_Toc242827568"/>
      <w:r>
        <w:t>2. Reflective Analysis: Three Examples of Using AI</w:t>
      </w:r>
      <w:bookmarkEnd w:id="35"/>
      <w:bookmarkEnd w:id="36"/>
    </w:p>
    <w:p w:rsidR="00BE61A2" w:rsidRDefault="00D648F4">
      <w:pPr>
        <w:spacing w:after="120" w:line="360" w:lineRule="auto"/>
        <w:jc w:val="both"/>
      </w:pPr>
      <w:r>
        <w:t>I applied Gibbs’ (1988) reflective cycle to evaluate how AI supported and challenged my capability development.</w:t>
      </w:r>
    </w:p>
    <w:p w:rsidR="00D648F4" w:rsidRDefault="00D648F4">
      <w:pPr>
        <w:spacing w:after="120" w:line="360" w:lineRule="auto"/>
        <w:jc w:val="both"/>
      </w:pPr>
      <w:r>
        <w:rPr>
          <w:rStyle w:val="Strong"/>
        </w:rPr>
        <w:t>Example 1: Literature search.</w:t>
      </w:r>
      <w:r>
        <w:t xml:space="preserve"> AI helped me quickly identify key theories such as HPWS, HIWS, psychological safety and job crafting. This broadened my perspective and accelerated my initial research. However, I noticed myself trusting AI summaries too readily, which made me aware of my tendency to prioritise efficiency over depth. I learned that while AI is excellent for scanning, genuine academic understanding requires critical reading of original sources. Going forward, I will use AI only as a starting point, not a substitute for scholarly engagement.</w:t>
      </w:r>
    </w:p>
    <w:p w:rsidR="00026B68" w:rsidRDefault="00026B68" w:rsidP="00026B68">
      <w:pPr>
        <w:spacing w:after="120" w:line="360" w:lineRule="auto"/>
        <w:jc w:val="both"/>
      </w:pPr>
      <w:r>
        <w:rPr>
          <w:rStyle w:val="Strong"/>
        </w:rPr>
        <w:t>Example 2: Structuring the assignment.</w:t>
      </w:r>
      <w:r>
        <w:t xml:space="preserve"> AI provided a logical structure for Tasks A, B and C, improving clarity and ensuring alignment with the brief. Yet I realised that accepting AI</w:t>
      </w:r>
      <w:r>
        <w:noBreakHyphen/>
        <w:t>generated structures without questioning them risks weakening the argument’s relevance to the case study. This experience taught me to treat AI as a planning partner rather than an architect. I now consciously adapt AI suggestions to fit context, ensuring that my analytical voice remains central.</w:t>
      </w:r>
    </w:p>
    <w:p w:rsidR="00026B68" w:rsidRPr="00026B68" w:rsidRDefault="00026B68">
      <w:pPr>
        <w:spacing w:after="120" w:line="360" w:lineRule="auto"/>
        <w:jc w:val="both"/>
        <w:rPr>
          <w:rFonts w:cs="Arial"/>
        </w:rPr>
      </w:pPr>
      <w:r>
        <w:rPr>
          <w:rFonts w:cs="Arial"/>
          <w:b/>
          <w:bCs/>
        </w:rPr>
        <w:t>Example 3: Self-development insights.</w:t>
      </w:r>
      <w:r>
        <w:rPr>
          <w:rFonts w:cs="Arial"/>
        </w:rPr>
        <w:t xml:space="preserve"> </w:t>
      </w:r>
      <w:r w:rsidRPr="00D648F4">
        <w:rPr>
          <w:rFonts w:cs="Arial"/>
        </w:rPr>
        <w:t>AI helped me identify emerging HR capabilities such as ethical AI governance, people analytics and strategic HR. Although the suggestions were helpful, some were generic and required filtering against my personal goals. This highlighted the importance of reflective judgement: AI can generate options, but only I can determine which capabilities align with my values and career direction.</w:t>
      </w:r>
    </w:p>
    <w:p w:rsidR="00BE61A2" w:rsidRDefault="002D5962">
      <w:pPr>
        <w:keepNext/>
        <w:spacing w:before="120" w:after="60"/>
        <w:jc w:val="center"/>
      </w:pPr>
      <w:r>
        <w:rPr>
          <w:noProof/>
        </w:rPr>
        <w:lastRenderedPageBreak/>
        <w:drawing>
          <wp:inline distT="0" distB="0" distL="0" distR="0">
            <wp:extent cx="5367867" cy="4831080"/>
            <wp:effectExtent l="0" t="0" r="4445" b="7620"/>
            <wp:docPr id="7" name="Figure 6: Gibbs' reflective cycle applied to my use of AI" descr="Figure 6: Gibbs' reflective cycle applied to my use of AI" title="Figure 6: Gibbs' reflective cycle applied to my use of A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5374697" cy="4837227"/>
                    </a:xfrm>
                    <a:prstGeom prst="rect">
                      <a:avLst/>
                    </a:prstGeom>
                  </pic:spPr>
                </pic:pic>
              </a:graphicData>
            </a:graphic>
          </wp:inline>
        </w:drawing>
      </w:r>
    </w:p>
    <w:p w:rsidR="00D648F4" w:rsidRPr="00026B68" w:rsidRDefault="002D5962" w:rsidP="00026B68">
      <w:pPr>
        <w:spacing w:before="60" w:after="200"/>
        <w:jc w:val="center"/>
      </w:pPr>
      <w:r>
        <w:rPr>
          <w:rFonts w:cs="Arial"/>
          <w:i/>
          <w:iCs/>
          <w:color w:val="595959"/>
          <w:sz w:val="18"/>
          <w:szCs w:val="18"/>
        </w:rPr>
        <w:t>Figure 6: Gibbs’ Reflective Cycle Applied to My Use of AI (Source: Adapted from Gibbs, 1988)</w:t>
      </w:r>
      <w:bookmarkStart w:id="37" w:name="c3"/>
    </w:p>
    <w:p w:rsidR="00D648F4" w:rsidRDefault="00D648F4" w:rsidP="00D648F4">
      <w:pPr>
        <w:spacing w:after="120" w:line="360" w:lineRule="auto"/>
        <w:jc w:val="both"/>
        <w:rPr>
          <w:rFonts w:cs="Arial"/>
        </w:rPr>
      </w:pPr>
      <w:r w:rsidRPr="00D648F4">
        <w:rPr>
          <w:rFonts w:cs="Arial"/>
        </w:rPr>
        <w:t>Across these experiences, AI enhanced my efficiency and broadened my thinking, but also revealed the importance of critical evaluation, ethical</w:t>
      </w:r>
      <w:r w:rsidR="002E7B18">
        <w:rPr>
          <w:rFonts w:cs="Arial"/>
        </w:rPr>
        <w:t xml:space="preserve"> awareness and human judgement,</w:t>
      </w:r>
      <w:r w:rsidRPr="00D648F4">
        <w:rPr>
          <w:rFonts w:cs="Arial"/>
        </w:rPr>
        <w:t xml:space="preserve"> the foundations of responsible HR practice.</w:t>
      </w:r>
    </w:p>
    <w:p w:rsidR="00026B68" w:rsidRDefault="002D5962" w:rsidP="004F4D11">
      <w:pPr>
        <w:spacing w:after="120" w:line="360" w:lineRule="auto"/>
        <w:jc w:val="both"/>
      </w:pPr>
      <w:r>
        <w:rPr>
          <w:rFonts w:cs="Arial"/>
          <w:b/>
          <w:bCs/>
          <w:color w:val="2E5496"/>
        </w:rPr>
        <w:t>3. Personal Capability Development Plan</w:t>
      </w:r>
      <w:bookmarkEnd w:id="37"/>
    </w:p>
    <w:p w:rsidR="004F4D11" w:rsidRPr="004F4D11" w:rsidRDefault="00D648F4" w:rsidP="004F4D11">
      <w:pPr>
        <w:spacing w:after="120" w:line="360" w:lineRule="auto"/>
        <w:jc w:val="both"/>
      </w:pPr>
      <w:r>
        <w:t xml:space="preserve">To strengthen my future employability, understood as the adaptive capacity to identify and realise career opportunities (Fugate, </w:t>
      </w:r>
      <w:proofErr w:type="spellStart"/>
      <w:r>
        <w:t>Kinicki</w:t>
      </w:r>
      <w:proofErr w:type="spellEnd"/>
      <w:r>
        <w:t xml:space="preserve"> and </w:t>
      </w:r>
      <w:proofErr w:type="spellStart"/>
      <w:r>
        <w:t>Ashforth</w:t>
      </w:r>
      <w:proofErr w:type="spellEnd"/>
      <w:r>
        <w:t>, 2004), I will focus on three capability areas aligned with HR competencies at the intersection of people, business and technology (Ulrich et al., 2008):</w:t>
      </w:r>
    </w:p>
    <w:p w:rsidR="00482B57" w:rsidRDefault="00026B68" w:rsidP="00482B57">
      <w:pPr>
        <w:keepNext/>
        <w:spacing w:before="120" w:after="80"/>
        <w:jc w:val="center"/>
      </w:pPr>
      <w:r w:rsidRPr="004F4D11">
        <w:rPr>
          <w:rFonts w:cs="Arial"/>
          <w:i/>
          <w:iCs/>
          <w:noProof/>
          <w:color w:val="595959"/>
          <w:sz w:val="18"/>
          <w:szCs w:val="18"/>
        </w:rPr>
        <w:lastRenderedPageBreak/>
        <w:drawing>
          <wp:anchor distT="0" distB="0" distL="114300" distR="114300" simplePos="0" relativeHeight="251658240" behindDoc="0" locked="0" layoutInCell="1" allowOverlap="1">
            <wp:simplePos x="0" y="0"/>
            <wp:positionH relativeFrom="column">
              <wp:posOffset>194099</wp:posOffset>
            </wp:positionH>
            <wp:positionV relativeFrom="paragraph">
              <wp:posOffset>37888</wp:posOffset>
            </wp:positionV>
            <wp:extent cx="5733415" cy="4851400"/>
            <wp:effectExtent l="0" t="0" r="635" b="635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5733415" cy="4851400"/>
                    </a:xfrm>
                    <a:prstGeom prst="rect">
                      <a:avLst/>
                    </a:prstGeom>
                  </pic:spPr>
                </pic:pic>
              </a:graphicData>
            </a:graphic>
          </wp:anchor>
        </w:drawing>
      </w:r>
      <w:r w:rsidR="00482B57" w:rsidRPr="00482B57">
        <w:rPr>
          <w:rFonts w:cs="Arial"/>
          <w:i/>
          <w:iCs/>
          <w:color w:val="595959"/>
          <w:sz w:val="18"/>
          <w:szCs w:val="18"/>
        </w:rPr>
        <w:t xml:space="preserve"> </w:t>
      </w:r>
      <w:r w:rsidR="00482B57">
        <w:rPr>
          <w:rFonts w:cs="Arial"/>
          <w:i/>
          <w:iCs/>
          <w:color w:val="595959"/>
          <w:sz w:val="18"/>
          <w:szCs w:val="18"/>
        </w:rPr>
        <w:t>Table 1: Personal Capability Development Plan (Source: Author’s own analysis)</w:t>
      </w:r>
    </w:p>
    <w:p w:rsidR="00482B57" w:rsidRPr="004F4D11" w:rsidRDefault="00482B57" w:rsidP="00482B57"/>
    <w:p w:rsidR="00482B57" w:rsidRPr="00026B68" w:rsidRDefault="00482B57" w:rsidP="00482B57">
      <w:pPr>
        <w:spacing w:line="360" w:lineRule="auto"/>
        <w:rPr>
          <w:rFonts w:cs="Arial"/>
        </w:rPr>
      </w:pPr>
      <w:r w:rsidRPr="00026B68">
        <w:rPr>
          <w:rFonts w:cs="Arial"/>
        </w:rPr>
        <w:t>Together, these capabilities will enable me to act as a strategic, ethical and human</w:t>
      </w:r>
      <w:r w:rsidRPr="00026B68">
        <w:rPr>
          <w:rFonts w:ascii="Cambria Math" w:hAnsi="Cambria Math" w:cs="Cambria Math"/>
        </w:rPr>
        <w:t>‑</w:t>
      </w:r>
      <w:r w:rsidRPr="00026B68">
        <w:rPr>
          <w:rFonts w:cs="Arial"/>
        </w:rPr>
        <w:t>centred HR professional capable of leveraging AI without losing sight of the people it affects.</w:t>
      </w:r>
    </w:p>
    <w:p w:rsidR="00BE61A2" w:rsidRPr="004F4D11" w:rsidRDefault="00BE61A2" w:rsidP="004F4D11">
      <w:pPr>
        <w:tabs>
          <w:tab w:val="left" w:pos="3893"/>
        </w:tabs>
      </w:pPr>
    </w:p>
    <w:p w:rsidR="00BE61A2" w:rsidRDefault="002D5962">
      <w:pPr>
        <w:pStyle w:val="Heading1"/>
        <w:pageBreakBefore/>
        <w:pBdr>
          <w:bottom w:val="single" w:sz="4" w:space="4" w:color="2E5496"/>
        </w:pBdr>
        <w:spacing w:after="200" w:line="360" w:lineRule="auto"/>
      </w:pPr>
      <w:bookmarkStart w:id="38" w:name="refs"/>
      <w:bookmarkStart w:id="39" w:name="_Toc242827569"/>
      <w:r>
        <w:lastRenderedPageBreak/>
        <w:t>References</w:t>
      </w:r>
      <w:bookmarkEnd w:id="38"/>
      <w:bookmarkEnd w:id="39"/>
    </w:p>
    <w:p w:rsidR="008A7407" w:rsidRPr="008A7407" w:rsidRDefault="008A7407" w:rsidP="008A7407">
      <w:pPr>
        <w:pStyle w:val="NormalWeb"/>
        <w:jc w:val="both"/>
        <w:rPr>
          <w:rFonts w:ascii="Arial" w:hAnsi="Arial" w:cs="Arial"/>
        </w:rPr>
      </w:pPr>
      <w:bookmarkStart w:id="40" w:name="appx"/>
      <w:r w:rsidRPr="008A7407">
        <w:rPr>
          <w:rFonts w:ascii="Arial" w:hAnsi="Arial" w:cs="Arial"/>
        </w:rPr>
        <w:t xml:space="preserve">Allen, T.D., Golden, T.D. and Shockley, K.M. (2015) ‘How effective is telecommuting? Assessing the status of our scientific findings’, </w:t>
      </w:r>
      <w:r w:rsidRPr="008A7407">
        <w:rPr>
          <w:rStyle w:val="Emphasis"/>
          <w:rFonts w:ascii="Arial" w:hAnsi="Arial" w:cs="Arial"/>
        </w:rPr>
        <w:t>Psychological Science in the Public Interest</w:t>
      </w:r>
      <w:r w:rsidRPr="008A7407">
        <w:rPr>
          <w:rFonts w:ascii="Arial" w:hAnsi="Arial" w:cs="Arial"/>
        </w:rPr>
        <w:t>, 16(2), pp. 40-68.</w:t>
      </w:r>
    </w:p>
    <w:p w:rsidR="008A7407" w:rsidRPr="008A7407" w:rsidRDefault="008A7407" w:rsidP="008A7407">
      <w:pPr>
        <w:pStyle w:val="NormalWeb"/>
        <w:jc w:val="both"/>
        <w:rPr>
          <w:rFonts w:ascii="Arial" w:hAnsi="Arial" w:cs="Arial"/>
        </w:rPr>
      </w:pPr>
      <w:proofErr w:type="spellStart"/>
      <w:r w:rsidRPr="008A7407">
        <w:rPr>
          <w:rFonts w:ascii="Arial" w:hAnsi="Arial" w:cs="Arial"/>
        </w:rPr>
        <w:t>Appelbaum</w:t>
      </w:r>
      <w:proofErr w:type="spellEnd"/>
      <w:r w:rsidRPr="008A7407">
        <w:rPr>
          <w:rFonts w:ascii="Arial" w:hAnsi="Arial" w:cs="Arial"/>
        </w:rPr>
        <w:t xml:space="preserve">, E., Bailey, T., Berg, P. and </w:t>
      </w:r>
      <w:proofErr w:type="spellStart"/>
      <w:r w:rsidRPr="008A7407">
        <w:rPr>
          <w:rFonts w:ascii="Arial" w:hAnsi="Arial" w:cs="Arial"/>
        </w:rPr>
        <w:t>Kalleberg</w:t>
      </w:r>
      <w:proofErr w:type="spellEnd"/>
      <w:r w:rsidRPr="008A7407">
        <w:rPr>
          <w:rFonts w:ascii="Arial" w:hAnsi="Arial" w:cs="Arial"/>
        </w:rPr>
        <w:t xml:space="preserve">, A.L. (2000) </w:t>
      </w:r>
      <w:r w:rsidRPr="008A7407">
        <w:rPr>
          <w:rStyle w:val="Emphasis"/>
          <w:rFonts w:ascii="Arial" w:hAnsi="Arial" w:cs="Arial"/>
        </w:rPr>
        <w:t>Manufacturing advantage: Why high-performance work systems pay off</w:t>
      </w:r>
      <w:r w:rsidRPr="008A7407">
        <w:rPr>
          <w:rFonts w:ascii="Arial" w:hAnsi="Arial" w:cs="Arial"/>
        </w:rPr>
        <w:t>. Ithaca, NY: Cornell University Press.</w:t>
      </w:r>
    </w:p>
    <w:p w:rsidR="008A7407" w:rsidRPr="008A7407" w:rsidRDefault="008A7407" w:rsidP="008A7407">
      <w:pPr>
        <w:pStyle w:val="NormalWeb"/>
        <w:jc w:val="both"/>
        <w:rPr>
          <w:rFonts w:ascii="Arial" w:hAnsi="Arial" w:cs="Arial"/>
        </w:rPr>
      </w:pPr>
      <w:proofErr w:type="spellStart"/>
      <w:r w:rsidRPr="008A7407">
        <w:rPr>
          <w:rFonts w:ascii="Arial" w:hAnsi="Arial" w:cs="Arial"/>
        </w:rPr>
        <w:t>Argyris</w:t>
      </w:r>
      <w:proofErr w:type="spellEnd"/>
      <w:r w:rsidRPr="008A7407">
        <w:rPr>
          <w:rFonts w:ascii="Arial" w:hAnsi="Arial" w:cs="Arial"/>
        </w:rPr>
        <w:t xml:space="preserve">, C. and </w:t>
      </w:r>
      <w:proofErr w:type="spellStart"/>
      <w:r w:rsidRPr="008A7407">
        <w:rPr>
          <w:rFonts w:ascii="Arial" w:hAnsi="Arial" w:cs="Arial"/>
        </w:rPr>
        <w:t>Schön</w:t>
      </w:r>
      <w:proofErr w:type="spellEnd"/>
      <w:r w:rsidRPr="008A7407">
        <w:rPr>
          <w:rFonts w:ascii="Arial" w:hAnsi="Arial" w:cs="Arial"/>
        </w:rPr>
        <w:t xml:space="preserve">, D.A. (1978) </w:t>
      </w:r>
      <w:r w:rsidRPr="008A7407">
        <w:rPr>
          <w:rStyle w:val="Emphasis"/>
          <w:rFonts w:ascii="Arial" w:hAnsi="Arial" w:cs="Arial"/>
        </w:rPr>
        <w:t>Organizational learning: A theory of action perspective</w:t>
      </w:r>
      <w:r w:rsidRPr="008A7407">
        <w:rPr>
          <w:rFonts w:ascii="Arial" w:hAnsi="Arial" w:cs="Arial"/>
        </w:rPr>
        <w:t>. Reading, MA: Addison-Wesley.</w:t>
      </w:r>
    </w:p>
    <w:p w:rsidR="008A7407" w:rsidRPr="008A7407" w:rsidRDefault="008A7407" w:rsidP="008A7407">
      <w:pPr>
        <w:pStyle w:val="NormalWeb"/>
        <w:jc w:val="both"/>
        <w:rPr>
          <w:rFonts w:ascii="Arial" w:hAnsi="Arial" w:cs="Arial"/>
        </w:rPr>
      </w:pPr>
      <w:r w:rsidRPr="008A7407">
        <w:rPr>
          <w:rFonts w:ascii="Arial" w:hAnsi="Arial" w:cs="Arial"/>
        </w:rPr>
        <w:t xml:space="preserve">Bakker, A.B. and </w:t>
      </w:r>
      <w:proofErr w:type="spellStart"/>
      <w:r w:rsidRPr="008A7407">
        <w:rPr>
          <w:rFonts w:ascii="Arial" w:hAnsi="Arial" w:cs="Arial"/>
        </w:rPr>
        <w:t>Demerouti</w:t>
      </w:r>
      <w:proofErr w:type="spellEnd"/>
      <w:r w:rsidRPr="008A7407">
        <w:rPr>
          <w:rFonts w:ascii="Arial" w:hAnsi="Arial" w:cs="Arial"/>
        </w:rPr>
        <w:t>, E. (2007) ‘</w:t>
      </w:r>
      <w:proofErr w:type="gramStart"/>
      <w:r w:rsidRPr="008A7407">
        <w:rPr>
          <w:rFonts w:ascii="Arial" w:hAnsi="Arial" w:cs="Arial"/>
        </w:rPr>
        <w:t>The</w:t>
      </w:r>
      <w:proofErr w:type="gramEnd"/>
      <w:r w:rsidRPr="008A7407">
        <w:rPr>
          <w:rFonts w:ascii="Arial" w:hAnsi="Arial" w:cs="Arial"/>
        </w:rPr>
        <w:t xml:space="preserve"> job demands-resources model: State of the art’, </w:t>
      </w:r>
      <w:r w:rsidRPr="008A7407">
        <w:rPr>
          <w:rStyle w:val="Emphasis"/>
          <w:rFonts w:ascii="Arial" w:hAnsi="Arial" w:cs="Arial"/>
        </w:rPr>
        <w:t>Journal of Managerial Psychology</w:t>
      </w:r>
      <w:r w:rsidRPr="008A7407">
        <w:rPr>
          <w:rFonts w:ascii="Arial" w:hAnsi="Arial" w:cs="Arial"/>
        </w:rPr>
        <w:t>, 22(3), pp. 309-328.</w:t>
      </w:r>
    </w:p>
    <w:p w:rsidR="008A7407" w:rsidRPr="008A7407" w:rsidRDefault="008A7407" w:rsidP="008A7407">
      <w:pPr>
        <w:pStyle w:val="NormalWeb"/>
        <w:jc w:val="both"/>
        <w:rPr>
          <w:rFonts w:ascii="Arial" w:hAnsi="Arial" w:cs="Arial"/>
        </w:rPr>
      </w:pPr>
      <w:r w:rsidRPr="008A7407">
        <w:rPr>
          <w:rFonts w:ascii="Arial" w:hAnsi="Arial" w:cs="Arial"/>
        </w:rPr>
        <w:t xml:space="preserve">Barney, J. (1991) ‘Firm resources and sustained competitive advantage’, </w:t>
      </w:r>
      <w:r w:rsidRPr="008A7407">
        <w:rPr>
          <w:rStyle w:val="Emphasis"/>
          <w:rFonts w:ascii="Arial" w:hAnsi="Arial" w:cs="Arial"/>
        </w:rPr>
        <w:t>Journal of Management</w:t>
      </w:r>
      <w:r w:rsidRPr="008A7407">
        <w:rPr>
          <w:rFonts w:ascii="Arial" w:hAnsi="Arial" w:cs="Arial"/>
        </w:rPr>
        <w:t>, 17(1), pp. 99-120.</w:t>
      </w:r>
    </w:p>
    <w:p w:rsidR="008A7407" w:rsidRPr="008A7407" w:rsidRDefault="008A7407" w:rsidP="008A7407">
      <w:pPr>
        <w:pStyle w:val="NormalWeb"/>
        <w:jc w:val="both"/>
        <w:rPr>
          <w:rFonts w:ascii="Arial" w:hAnsi="Arial" w:cs="Arial"/>
        </w:rPr>
      </w:pPr>
      <w:r w:rsidRPr="008A7407">
        <w:rPr>
          <w:rFonts w:ascii="Arial" w:hAnsi="Arial" w:cs="Arial"/>
        </w:rPr>
        <w:t xml:space="preserve">Becker, B.E. and </w:t>
      </w:r>
      <w:proofErr w:type="spellStart"/>
      <w:r w:rsidRPr="008A7407">
        <w:rPr>
          <w:rFonts w:ascii="Arial" w:hAnsi="Arial" w:cs="Arial"/>
        </w:rPr>
        <w:t>Huselid</w:t>
      </w:r>
      <w:proofErr w:type="spellEnd"/>
      <w:r w:rsidRPr="008A7407">
        <w:rPr>
          <w:rFonts w:ascii="Arial" w:hAnsi="Arial" w:cs="Arial"/>
        </w:rPr>
        <w:t xml:space="preserve">, M.A. (1998) ‘High performance work systems and firm performance: A synthesis of research and managerial implications’, </w:t>
      </w:r>
      <w:r w:rsidRPr="008A7407">
        <w:rPr>
          <w:rStyle w:val="Emphasis"/>
          <w:rFonts w:ascii="Arial" w:hAnsi="Arial" w:cs="Arial"/>
        </w:rPr>
        <w:t>Research in Personnel and Human Resources Management</w:t>
      </w:r>
      <w:r w:rsidRPr="008A7407">
        <w:rPr>
          <w:rFonts w:ascii="Arial" w:hAnsi="Arial" w:cs="Arial"/>
        </w:rPr>
        <w:t>, 16, pp. 53-101.</w:t>
      </w:r>
    </w:p>
    <w:p w:rsidR="008A7407" w:rsidRPr="008A7407" w:rsidRDefault="008A7407" w:rsidP="008A7407">
      <w:pPr>
        <w:pStyle w:val="NormalWeb"/>
        <w:jc w:val="both"/>
        <w:rPr>
          <w:rFonts w:ascii="Arial" w:hAnsi="Arial" w:cs="Arial"/>
        </w:rPr>
      </w:pPr>
      <w:r w:rsidRPr="008A7407">
        <w:rPr>
          <w:rFonts w:ascii="Arial" w:hAnsi="Arial" w:cs="Arial"/>
        </w:rPr>
        <w:t xml:space="preserve">Becker, G.S. (1964) </w:t>
      </w:r>
      <w:r w:rsidRPr="008A7407">
        <w:rPr>
          <w:rStyle w:val="Emphasis"/>
          <w:rFonts w:ascii="Arial" w:hAnsi="Arial" w:cs="Arial"/>
        </w:rPr>
        <w:t>Human capital: A theoretical and empirical analysis, with special reference to education</w:t>
      </w:r>
      <w:r w:rsidRPr="008A7407">
        <w:rPr>
          <w:rFonts w:ascii="Arial" w:hAnsi="Arial" w:cs="Arial"/>
        </w:rPr>
        <w:t>. New York: Columbia University Press.</w:t>
      </w:r>
    </w:p>
    <w:p w:rsidR="008A7407" w:rsidRPr="008A7407" w:rsidRDefault="008A7407" w:rsidP="008A7407">
      <w:pPr>
        <w:pStyle w:val="NormalWeb"/>
        <w:jc w:val="both"/>
        <w:rPr>
          <w:rFonts w:ascii="Arial" w:hAnsi="Arial" w:cs="Arial"/>
        </w:rPr>
      </w:pPr>
      <w:r w:rsidRPr="008A7407">
        <w:rPr>
          <w:rFonts w:ascii="Arial" w:hAnsi="Arial" w:cs="Arial"/>
        </w:rPr>
        <w:t xml:space="preserve">Boxall, P. and Purcell, J. (2016) </w:t>
      </w:r>
      <w:r w:rsidRPr="008A7407">
        <w:rPr>
          <w:rStyle w:val="Emphasis"/>
          <w:rFonts w:ascii="Arial" w:hAnsi="Arial" w:cs="Arial"/>
        </w:rPr>
        <w:t>Strategy and human resource management</w:t>
      </w:r>
      <w:r w:rsidRPr="008A7407">
        <w:rPr>
          <w:rFonts w:ascii="Arial" w:hAnsi="Arial" w:cs="Arial"/>
        </w:rPr>
        <w:t xml:space="preserve">. 4th </w:t>
      </w:r>
      <w:proofErr w:type="spellStart"/>
      <w:r w:rsidRPr="008A7407">
        <w:rPr>
          <w:rFonts w:ascii="Arial" w:hAnsi="Arial" w:cs="Arial"/>
        </w:rPr>
        <w:t>edn</w:t>
      </w:r>
      <w:proofErr w:type="spellEnd"/>
      <w:r w:rsidRPr="008A7407">
        <w:rPr>
          <w:rFonts w:ascii="Arial" w:hAnsi="Arial" w:cs="Arial"/>
        </w:rPr>
        <w:t>. London: Palgrave Macmillan.</w:t>
      </w:r>
    </w:p>
    <w:p w:rsidR="008A7407" w:rsidRPr="008A7407" w:rsidRDefault="008A7407" w:rsidP="008A7407">
      <w:pPr>
        <w:pStyle w:val="NormalWeb"/>
        <w:jc w:val="both"/>
        <w:rPr>
          <w:rFonts w:ascii="Arial" w:hAnsi="Arial" w:cs="Arial"/>
        </w:rPr>
      </w:pPr>
      <w:r w:rsidRPr="008A7407">
        <w:rPr>
          <w:rFonts w:ascii="Arial" w:hAnsi="Arial" w:cs="Arial"/>
        </w:rPr>
        <w:t xml:space="preserve">Burns, T. and Stalker, G.M. (1961) </w:t>
      </w:r>
      <w:proofErr w:type="gramStart"/>
      <w:r w:rsidRPr="008A7407">
        <w:rPr>
          <w:rStyle w:val="Emphasis"/>
          <w:rFonts w:ascii="Arial" w:hAnsi="Arial" w:cs="Arial"/>
        </w:rPr>
        <w:t>The</w:t>
      </w:r>
      <w:proofErr w:type="gramEnd"/>
      <w:r w:rsidRPr="008A7407">
        <w:rPr>
          <w:rStyle w:val="Emphasis"/>
          <w:rFonts w:ascii="Arial" w:hAnsi="Arial" w:cs="Arial"/>
        </w:rPr>
        <w:t xml:space="preserve"> management of innovation</w:t>
      </w:r>
      <w:r w:rsidRPr="008A7407">
        <w:rPr>
          <w:rFonts w:ascii="Arial" w:hAnsi="Arial" w:cs="Arial"/>
        </w:rPr>
        <w:t>. London: Tavistock.</w:t>
      </w:r>
    </w:p>
    <w:p w:rsidR="008A7407" w:rsidRPr="008A7407" w:rsidRDefault="008A7407" w:rsidP="008A7407">
      <w:pPr>
        <w:pStyle w:val="NormalWeb"/>
        <w:jc w:val="both"/>
        <w:rPr>
          <w:rFonts w:ascii="Arial" w:hAnsi="Arial" w:cs="Arial"/>
        </w:rPr>
      </w:pPr>
      <w:r w:rsidRPr="008A7407">
        <w:rPr>
          <w:rFonts w:ascii="Arial" w:hAnsi="Arial" w:cs="Arial"/>
        </w:rPr>
        <w:t xml:space="preserve">Collings, D.G. and </w:t>
      </w:r>
      <w:proofErr w:type="spellStart"/>
      <w:r w:rsidRPr="008A7407">
        <w:rPr>
          <w:rFonts w:ascii="Arial" w:hAnsi="Arial" w:cs="Arial"/>
        </w:rPr>
        <w:t>Mellahi</w:t>
      </w:r>
      <w:proofErr w:type="spellEnd"/>
      <w:r w:rsidRPr="008A7407">
        <w:rPr>
          <w:rFonts w:ascii="Arial" w:hAnsi="Arial" w:cs="Arial"/>
        </w:rPr>
        <w:t xml:space="preserve">, K. (2009) ‘Strategic talent management: A review and research agenda’, </w:t>
      </w:r>
      <w:r w:rsidRPr="008A7407">
        <w:rPr>
          <w:rStyle w:val="Emphasis"/>
          <w:rFonts w:ascii="Arial" w:hAnsi="Arial" w:cs="Arial"/>
        </w:rPr>
        <w:t>Human Resource Management Review</w:t>
      </w:r>
      <w:r w:rsidRPr="008A7407">
        <w:rPr>
          <w:rFonts w:ascii="Arial" w:hAnsi="Arial" w:cs="Arial"/>
        </w:rPr>
        <w:t>, 19(4), pp. 304-313.</w:t>
      </w:r>
    </w:p>
    <w:p w:rsidR="008A7407" w:rsidRPr="008A7407" w:rsidRDefault="008A7407" w:rsidP="008A7407">
      <w:pPr>
        <w:pStyle w:val="NormalWeb"/>
        <w:jc w:val="both"/>
        <w:rPr>
          <w:rFonts w:ascii="Arial" w:hAnsi="Arial" w:cs="Arial"/>
        </w:rPr>
      </w:pPr>
      <w:r w:rsidRPr="008A7407">
        <w:rPr>
          <w:rFonts w:ascii="Arial" w:hAnsi="Arial" w:cs="Arial"/>
        </w:rPr>
        <w:t>Data Protection Act (2018) c. 12. London: The Stationery Office.</w:t>
      </w:r>
    </w:p>
    <w:p w:rsidR="008A7407" w:rsidRPr="008A7407" w:rsidRDefault="008A7407" w:rsidP="008A7407">
      <w:pPr>
        <w:pStyle w:val="NormalWeb"/>
        <w:jc w:val="both"/>
        <w:rPr>
          <w:rFonts w:ascii="Arial" w:hAnsi="Arial" w:cs="Arial"/>
        </w:rPr>
      </w:pPr>
      <w:r w:rsidRPr="008A7407">
        <w:rPr>
          <w:rFonts w:ascii="Arial" w:hAnsi="Arial" w:cs="Arial"/>
        </w:rPr>
        <w:t>Deci, E.L. and Ryan, R.M. (2000) ‘</w:t>
      </w:r>
      <w:proofErr w:type="gramStart"/>
      <w:r w:rsidRPr="008A7407">
        <w:rPr>
          <w:rFonts w:ascii="Arial" w:hAnsi="Arial" w:cs="Arial"/>
        </w:rPr>
        <w:t>The</w:t>
      </w:r>
      <w:proofErr w:type="gramEnd"/>
      <w:r w:rsidRPr="008A7407">
        <w:rPr>
          <w:rFonts w:ascii="Arial" w:hAnsi="Arial" w:cs="Arial"/>
        </w:rPr>
        <w:t xml:space="preserve"> “what” and “why” of goal pursuits: Human needs and the self-determination of </w:t>
      </w:r>
      <w:proofErr w:type="spellStart"/>
      <w:r w:rsidRPr="008A7407">
        <w:rPr>
          <w:rFonts w:ascii="Arial" w:hAnsi="Arial" w:cs="Arial"/>
        </w:rPr>
        <w:t>behavior</w:t>
      </w:r>
      <w:proofErr w:type="spellEnd"/>
      <w:r w:rsidRPr="008A7407">
        <w:rPr>
          <w:rFonts w:ascii="Arial" w:hAnsi="Arial" w:cs="Arial"/>
        </w:rPr>
        <w:t xml:space="preserve">’, </w:t>
      </w:r>
      <w:r w:rsidRPr="008A7407">
        <w:rPr>
          <w:rStyle w:val="Emphasis"/>
          <w:rFonts w:ascii="Arial" w:hAnsi="Arial" w:cs="Arial"/>
        </w:rPr>
        <w:t>Psychological Inquiry</w:t>
      </w:r>
      <w:r w:rsidRPr="008A7407">
        <w:rPr>
          <w:rFonts w:ascii="Arial" w:hAnsi="Arial" w:cs="Arial"/>
        </w:rPr>
        <w:t>, 11(4), pp. 227-268.</w:t>
      </w:r>
    </w:p>
    <w:p w:rsidR="008A7407" w:rsidRPr="008A7407" w:rsidRDefault="008A7407" w:rsidP="008A7407">
      <w:pPr>
        <w:pStyle w:val="NormalWeb"/>
        <w:jc w:val="both"/>
        <w:rPr>
          <w:rFonts w:ascii="Arial" w:hAnsi="Arial" w:cs="Arial"/>
        </w:rPr>
      </w:pPr>
      <w:proofErr w:type="spellStart"/>
      <w:r w:rsidRPr="008A7407">
        <w:rPr>
          <w:rFonts w:ascii="Arial" w:hAnsi="Arial" w:cs="Arial"/>
        </w:rPr>
        <w:t>Demerouti</w:t>
      </w:r>
      <w:proofErr w:type="spellEnd"/>
      <w:r w:rsidRPr="008A7407">
        <w:rPr>
          <w:rFonts w:ascii="Arial" w:hAnsi="Arial" w:cs="Arial"/>
        </w:rPr>
        <w:t xml:space="preserve">, E., Bakker, A.B., </w:t>
      </w:r>
      <w:proofErr w:type="spellStart"/>
      <w:r w:rsidRPr="008A7407">
        <w:rPr>
          <w:rFonts w:ascii="Arial" w:hAnsi="Arial" w:cs="Arial"/>
        </w:rPr>
        <w:t>Nachreiner</w:t>
      </w:r>
      <w:proofErr w:type="spellEnd"/>
      <w:r w:rsidRPr="008A7407">
        <w:rPr>
          <w:rFonts w:ascii="Arial" w:hAnsi="Arial" w:cs="Arial"/>
        </w:rPr>
        <w:t xml:space="preserve">, F. and </w:t>
      </w:r>
      <w:proofErr w:type="spellStart"/>
      <w:r w:rsidRPr="008A7407">
        <w:rPr>
          <w:rFonts w:ascii="Arial" w:hAnsi="Arial" w:cs="Arial"/>
        </w:rPr>
        <w:t>Schaufeli</w:t>
      </w:r>
      <w:proofErr w:type="spellEnd"/>
      <w:r w:rsidRPr="008A7407">
        <w:rPr>
          <w:rFonts w:ascii="Arial" w:hAnsi="Arial" w:cs="Arial"/>
        </w:rPr>
        <w:t xml:space="preserve">, W.B. (2001) ‘The job demands-resources model of burnout’, </w:t>
      </w:r>
      <w:r w:rsidRPr="008A7407">
        <w:rPr>
          <w:rStyle w:val="Emphasis"/>
          <w:rFonts w:ascii="Arial" w:hAnsi="Arial" w:cs="Arial"/>
        </w:rPr>
        <w:t>Journal of Applied Psychology</w:t>
      </w:r>
      <w:r w:rsidRPr="008A7407">
        <w:rPr>
          <w:rFonts w:ascii="Arial" w:hAnsi="Arial" w:cs="Arial"/>
        </w:rPr>
        <w:t>, 86(3), pp. 499-512.</w:t>
      </w:r>
    </w:p>
    <w:p w:rsidR="008A7407" w:rsidRPr="008A7407" w:rsidRDefault="008A7407" w:rsidP="008A7407">
      <w:pPr>
        <w:pStyle w:val="NormalWeb"/>
        <w:jc w:val="both"/>
        <w:rPr>
          <w:rFonts w:ascii="Arial" w:hAnsi="Arial" w:cs="Arial"/>
        </w:rPr>
      </w:pPr>
      <w:proofErr w:type="spellStart"/>
      <w:r w:rsidRPr="008A7407">
        <w:rPr>
          <w:rFonts w:ascii="Arial" w:hAnsi="Arial" w:cs="Arial"/>
        </w:rPr>
        <w:t>Dietvorst</w:t>
      </w:r>
      <w:proofErr w:type="spellEnd"/>
      <w:r w:rsidRPr="008A7407">
        <w:rPr>
          <w:rFonts w:ascii="Arial" w:hAnsi="Arial" w:cs="Arial"/>
        </w:rPr>
        <w:t xml:space="preserve">, B.J., Simmons, J.P. and Massey, C. (2015) ‘Algorithm aversion: People erroneously avoid algorithms after seeing them err’, </w:t>
      </w:r>
      <w:r w:rsidRPr="008A7407">
        <w:rPr>
          <w:rStyle w:val="Emphasis"/>
          <w:rFonts w:ascii="Arial" w:hAnsi="Arial" w:cs="Arial"/>
        </w:rPr>
        <w:t>Journal of Experimental Psychology: General</w:t>
      </w:r>
      <w:r w:rsidRPr="008A7407">
        <w:rPr>
          <w:rFonts w:ascii="Arial" w:hAnsi="Arial" w:cs="Arial"/>
        </w:rPr>
        <w:t>, 144(1), pp. 114-126.</w:t>
      </w:r>
    </w:p>
    <w:p w:rsidR="008A7407" w:rsidRPr="008A7407" w:rsidRDefault="008A7407" w:rsidP="008A7407">
      <w:pPr>
        <w:pStyle w:val="NormalWeb"/>
        <w:jc w:val="both"/>
        <w:rPr>
          <w:rFonts w:ascii="Arial" w:hAnsi="Arial" w:cs="Arial"/>
        </w:rPr>
      </w:pPr>
      <w:r w:rsidRPr="008A7407">
        <w:rPr>
          <w:rFonts w:ascii="Arial" w:hAnsi="Arial" w:cs="Arial"/>
        </w:rPr>
        <w:t xml:space="preserve">Edmondson, A. (1999) ‘Psychological safety and learning </w:t>
      </w:r>
      <w:proofErr w:type="spellStart"/>
      <w:r w:rsidRPr="008A7407">
        <w:rPr>
          <w:rFonts w:ascii="Arial" w:hAnsi="Arial" w:cs="Arial"/>
        </w:rPr>
        <w:t>behavior</w:t>
      </w:r>
      <w:proofErr w:type="spellEnd"/>
      <w:r w:rsidRPr="008A7407">
        <w:rPr>
          <w:rFonts w:ascii="Arial" w:hAnsi="Arial" w:cs="Arial"/>
        </w:rPr>
        <w:t xml:space="preserve"> in work teams’, </w:t>
      </w:r>
      <w:r w:rsidRPr="008A7407">
        <w:rPr>
          <w:rStyle w:val="Emphasis"/>
          <w:rFonts w:ascii="Arial" w:hAnsi="Arial" w:cs="Arial"/>
        </w:rPr>
        <w:t>Administrative Science Quarterly</w:t>
      </w:r>
      <w:r w:rsidRPr="008A7407">
        <w:rPr>
          <w:rFonts w:ascii="Arial" w:hAnsi="Arial" w:cs="Arial"/>
        </w:rPr>
        <w:t>, 44(2), pp. 350-383.</w:t>
      </w:r>
    </w:p>
    <w:p w:rsidR="008A7407" w:rsidRPr="008A7407" w:rsidRDefault="008A7407" w:rsidP="008A7407">
      <w:pPr>
        <w:pStyle w:val="NormalWeb"/>
        <w:jc w:val="both"/>
        <w:rPr>
          <w:rFonts w:ascii="Arial" w:hAnsi="Arial" w:cs="Arial"/>
        </w:rPr>
      </w:pPr>
      <w:r w:rsidRPr="008A7407">
        <w:rPr>
          <w:rFonts w:ascii="Arial" w:hAnsi="Arial" w:cs="Arial"/>
        </w:rPr>
        <w:t xml:space="preserve">Edmondson, A.C. (2012) </w:t>
      </w:r>
      <w:r w:rsidRPr="008A7407">
        <w:rPr>
          <w:rStyle w:val="Emphasis"/>
          <w:rFonts w:ascii="Arial" w:hAnsi="Arial" w:cs="Arial"/>
        </w:rPr>
        <w:t>Teaming: How organizations learn, innovate, and compete in the knowledge economy</w:t>
      </w:r>
      <w:r w:rsidRPr="008A7407">
        <w:rPr>
          <w:rFonts w:ascii="Arial" w:hAnsi="Arial" w:cs="Arial"/>
        </w:rPr>
        <w:t xml:space="preserve">. San Francisco: </w:t>
      </w:r>
      <w:proofErr w:type="spellStart"/>
      <w:r w:rsidRPr="008A7407">
        <w:rPr>
          <w:rFonts w:ascii="Arial" w:hAnsi="Arial" w:cs="Arial"/>
        </w:rPr>
        <w:t>Jossey</w:t>
      </w:r>
      <w:proofErr w:type="spellEnd"/>
      <w:r w:rsidRPr="008A7407">
        <w:rPr>
          <w:rFonts w:ascii="Arial" w:hAnsi="Arial" w:cs="Arial"/>
        </w:rPr>
        <w:t>-Bass.</w:t>
      </w:r>
    </w:p>
    <w:p w:rsidR="008A7407" w:rsidRPr="008A7407" w:rsidRDefault="008A7407" w:rsidP="008A7407">
      <w:pPr>
        <w:pStyle w:val="NormalWeb"/>
        <w:jc w:val="both"/>
        <w:rPr>
          <w:rFonts w:ascii="Arial" w:hAnsi="Arial" w:cs="Arial"/>
        </w:rPr>
      </w:pPr>
      <w:r w:rsidRPr="008A7407">
        <w:rPr>
          <w:rFonts w:ascii="Arial" w:hAnsi="Arial" w:cs="Arial"/>
        </w:rPr>
        <w:lastRenderedPageBreak/>
        <w:t xml:space="preserve">Edmondson, A.C. and Lei, Z. (2014) ‘Psychological safety: The history, renaissance, and future of an interpersonal construct’, </w:t>
      </w:r>
      <w:r w:rsidRPr="008A7407">
        <w:rPr>
          <w:rStyle w:val="Emphasis"/>
          <w:rFonts w:ascii="Arial" w:hAnsi="Arial" w:cs="Arial"/>
        </w:rPr>
        <w:t xml:space="preserve">Annual Review of Organizational Psychology and Organizational </w:t>
      </w:r>
      <w:proofErr w:type="spellStart"/>
      <w:r w:rsidRPr="008A7407">
        <w:rPr>
          <w:rStyle w:val="Emphasis"/>
          <w:rFonts w:ascii="Arial" w:hAnsi="Arial" w:cs="Arial"/>
        </w:rPr>
        <w:t>Behavior</w:t>
      </w:r>
      <w:proofErr w:type="spellEnd"/>
      <w:r w:rsidRPr="008A7407">
        <w:rPr>
          <w:rFonts w:ascii="Arial" w:hAnsi="Arial" w:cs="Arial"/>
        </w:rPr>
        <w:t>, 1, pp. 23-43.</w:t>
      </w:r>
    </w:p>
    <w:p w:rsidR="008A7407" w:rsidRPr="008A7407" w:rsidRDefault="008A7407" w:rsidP="008A7407">
      <w:pPr>
        <w:pStyle w:val="NormalWeb"/>
        <w:jc w:val="both"/>
        <w:rPr>
          <w:rFonts w:ascii="Arial" w:hAnsi="Arial" w:cs="Arial"/>
        </w:rPr>
      </w:pPr>
      <w:proofErr w:type="spellStart"/>
      <w:r w:rsidRPr="008A7407">
        <w:rPr>
          <w:rFonts w:ascii="Arial" w:hAnsi="Arial" w:cs="Arial"/>
        </w:rPr>
        <w:t>Floridi</w:t>
      </w:r>
      <w:proofErr w:type="spellEnd"/>
      <w:r w:rsidRPr="008A7407">
        <w:rPr>
          <w:rFonts w:ascii="Arial" w:hAnsi="Arial" w:cs="Arial"/>
        </w:rPr>
        <w:t xml:space="preserve">, L. and Cowls, J. (2019) ‘A unified framework of five principles for AI in society’, </w:t>
      </w:r>
      <w:r w:rsidRPr="008A7407">
        <w:rPr>
          <w:rStyle w:val="Emphasis"/>
          <w:rFonts w:ascii="Arial" w:hAnsi="Arial" w:cs="Arial"/>
        </w:rPr>
        <w:t>Harvard Data Science Review</w:t>
      </w:r>
      <w:r w:rsidRPr="008A7407">
        <w:rPr>
          <w:rFonts w:ascii="Arial" w:hAnsi="Arial" w:cs="Arial"/>
        </w:rPr>
        <w:t>, 1(1).</w:t>
      </w:r>
    </w:p>
    <w:p w:rsidR="008A7407" w:rsidRPr="008A7407" w:rsidRDefault="008A7407" w:rsidP="008A7407">
      <w:pPr>
        <w:pStyle w:val="NormalWeb"/>
        <w:jc w:val="both"/>
        <w:rPr>
          <w:rFonts w:ascii="Arial" w:hAnsi="Arial" w:cs="Arial"/>
        </w:rPr>
      </w:pPr>
      <w:r w:rsidRPr="008A7407">
        <w:rPr>
          <w:rFonts w:ascii="Arial" w:hAnsi="Arial" w:cs="Arial"/>
        </w:rPr>
        <w:t xml:space="preserve">Fugate, M., </w:t>
      </w:r>
      <w:proofErr w:type="spellStart"/>
      <w:r w:rsidRPr="008A7407">
        <w:rPr>
          <w:rFonts w:ascii="Arial" w:hAnsi="Arial" w:cs="Arial"/>
        </w:rPr>
        <w:t>Kinicki</w:t>
      </w:r>
      <w:proofErr w:type="spellEnd"/>
      <w:r w:rsidRPr="008A7407">
        <w:rPr>
          <w:rFonts w:ascii="Arial" w:hAnsi="Arial" w:cs="Arial"/>
        </w:rPr>
        <w:t xml:space="preserve">, A.J. and </w:t>
      </w:r>
      <w:proofErr w:type="spellStart"/>
      <w:r w:rsidRPr="008A7407">
        <w:rPr>
          <w:rFonts w:ascii="Arial" w:hAnsi="Arial" w:cs="Arial"/>
        </w:rPr>
        <w:t>Ashforth</w:t>
      </w:r>
      <w:proofErr w:type="spellEnd"/>
      <w:r w:rsidRPr="008A7407">
        <w:rPr>
          <w:rFonts w:ascii="Arial" w:hAnsi="Arial" w:cs="Arial"/>
        </w:rPr>
        <w:t xml:space="preserve">, B.E. (2004) ‘Employability: A psycho-social construct, its dimensions, and applications’, </w:t>
      </w:r>
      <w:r w:rsidRPr="008A7407">
        <w:rPr>
          <w:rStyle w:val="Emphasis"/>
          <w:rFonts w:ascii="Arial" w:hAnsi="Arial" w:cs="Arial"/>
        </w:rPr>
        <w:t xml:space="preserve">Journal of Vocational </w:t>
      </w:r>
      <w:proofErr w:type="spellStart"/>
      <w:r w:rsidRPr="008A7407">
        <w:rPr>
          <w:rStyle w:val="Emphasis"/>
          <w:rFonts w:ascii="Arial" w:hAnsi="Arial" w:cs="Arial"/>
        </w:rPr>
        <w:t>Behavior</w:t>
      </w:r>
      <w:proofErr w:type="spellEnd"/>
      <w:r w:rsidRPr="008A7407">
        <w:rPr>
          <w:rFonts w:ascii="Arial" w:hAnsi="Arial" w:cs="Arial"/>
        </w:rPr>
        <w:t>, 65(1), pp. 14-38.</w:t>
      </w:r>
    </w:p>
    <w:p w:rsidR="008A7407" w:rsidRPr="008A7407" w:rsidRDefault="008A7407" w:rsidP="008A7407">
      <w:pPr>
        <w:pStyle w:val="NormalWeb"/>
        <w:jc w:val="both"/>
        <w:rPr>
          <w:rFonts w:ascii="Arial" w:hAnsi="Arial" w:cs="Arial"/>
        </w:rPr>
      </w:pPr>
      <w:r w:rsidRPr="008A7407">
        <w:rPr>
          <w:rFonts w:ascii="Arial" w:hAnsi="Arial" w:cs="Arial"/>
        </w:rPr>
        <w:t xml:space="preserve">Gibbs, G. (1988) </w:t>
      </w:r>
      <w:r w:rsidRPr="008A7407">
        <w:rPr>
          <w:rStyle w:val="Emphasis"/>
          <w:rFonts w:ascii="Arial" w:hAnsi="Arial" w:cs="Arial"/>
        </w:rPr>
        <w:t>Learning by doing: A guide to teaching and learning methods</w:t>
      </w:r>
      <w:r w:rsidRPr="008A7407">
        <w:rPr>
          <w:rFonts w:ascii="Arial" w:hAnsi="Arial" w:cs="Arial"/>
        </w:rPr>
        <w:t>. Oxford: Further Education Unit, Oxford Polytechnic.</w:t>
      </w:r>
    </w:p>
    <w:p w:rsidR="008A7407" w:rsidRPr="008A7407" w:rsidRDefault="008A7407" w:rsidP="008A7407">
      <w:pPr>
        <w:pStyle w:val="NormalWeb"/>
        <w:jc w:val="both"/>
        <w:rPr>
          <w:rFonts w:ascii="Arial" w:hAnsi="Arial" w:cs="Arial"/>
        </w:rPr>
      </w:pPr>
      <w:r w:rsidRPr="008A7407">
        <w:rPr>
          <w:rFonts w:ascii="Arial" w:hAnsi="Arial" w:cs="Arial"/>
        </w:rPr>
        <w:t xml:space="preserve">Gibson, C.B. and Gibbs, J.L. (2006) ‘Unpacking the concept of </w:t>
      </w:r>
      <w:proofErr w:type="spellStart"/>
      <w:r w:rsidRPr="008A7407">
        <w:rPr>
          <w:rFonts w:ascii="Arial" w:hAnsi="Arial" w:cs="Arial"/>
        </w:rPr>
        <w:t>virtuality</w:t>
      </w:r>
      <w:proofErr w:type="spellEnd"/>
      <w:r w:rsidRPr="008A7407">
        <w:rPr>
          <w:rFonts w:ascii="Arial" w:hAnsi="Arial" w:cs="Arial"/>
        </w:rPr>
        <w:t xml:space="preserve">: The effects of geographic dispersion, electronic dependence, dynamic structure, and national diversity on team innovation’, </w:t>
      </w:r>
      <w:r w:rsidRPr="008A7407">
        <w:rPr>
          <w:rStyle w:val="Emphasis"/>
          <w:rFonts w:ascii="Arial" w:hAnsi="Arial" w:cs="Arial"/>
        </w:rPr>
        <w:t>Administrative Science Quarterly</w:t>
      </w:r>
      <w:r w:rsidRPr="008A7407">
        <w:rPr>
          <w:rFonts w:ascii="Arial" w:hAnsi="Arial" w:cs="Arial"/>
        </w:rPr>
        <w:t>, 51(3), pp. 451-495.</w:t>
      </w:r>
    </w:p>
    <w:p w:rsidR="008A7407" w:rsidRPr="008A7407" w:rsidRDefault="008A7407" w:rsidP="008A7407">
      <w:pPr>
        <w:pStyle w:val="NormalWeb"/>
        <w:jc w:val="both"/>
        <w:rPr>
          <w:rFonts w:ascii="Arial" w:hAnsi="Arial" w:cs="Arial"/>
        </w:rPr>
      </w:pPr>
      <w:r w:rsidRPr="008A7407">
        <w:rPr>
          <w:rFonts w:ascii="Arial" w:hAnsi="Arial" w:cs="Arial"/>
        </w:rPr>
        <w:t xml:space="preserve">Kahn, W.A. (1990) ‘Psychological conditions of personal engagement and disengagement at work’, </w:t>
      </w:r>
      <w:r w:rsidRPr="008A7407">
        <w:rPr>
          <w:rStyle w:val="Emphasis"/>
          <w:rFonts w:ascii="Arial" w:hAnsi="Arial" w:cs="Arial"/>
        </w:rPr>
        <w:t>Academy of Management Journal</w:t>
      </w:r>
      <w:r w:rsidRPr="008A7407">
        <w:rPr>
          <w:rFonts w:ascii="Arial" w:hAnsi="Arial" w:cs="Arial"/>
        </w:rPr>
        <w:t>, 33(4), pp. 692-724.</w:t>
      </w:r>
    </w:p>
    <w:p w:rsidR="008A7407" w:rsidRPr="008A7407" w:rsidRDefault="008A7407" w:rsidP="008A7407">
      <w:pPr>
        <w:pStyle w:val="NormalWeb"/>
        <w:jc w:val="both"/>
        <w:rPr>
          <w:rFonts w:ascii="Arial" w:hAnsi="Arial" w:cs="Arial"/>
        </w:rPr>
      </w:pPr>
      <w:proofErr w:type="spellStart"/>
      <w:r w:rsidRPr="008A7407">
        <w:rPr>
          <w:rFonts w:ascii="Arial" w:hAnsi="Arial" w:cs="Arial"/>
        </w:rPr>
        <w:t>Kelliher</w:t>
      </w:r>
      <w:proofErr w:type="spellEnd"/>
      <w:r w:rsidRPr="008A7407">
        <w:rPr>
          <w:rFonts w:ascii="Arial" w:hAnsi="Arial" w:cs="Arial"/>
        </w:rPr>
        <w:t xml:space="preserve">, C. and Anderson, D. (2010) ‘Doing more with less? Flexible working practices and the intensification of work’, </w:t>
      </w:r>
      <w:r w:rsidRPr="008A7407">
        <w:rPr>
          <w:rStyle w:val="Emphasis"/>
          <w:rFonts w:ascii="Arial" w:hAnsi="Arial" w:cs="Arial"/>
        </w:rPr>
        <w:t>Human Relations</w:t>
      </w:r>
      <w:r w:rsidRPr="008A7407">
        <w:rPr>
          <w:rFonts w:ascii="Arial" w:hAnsi="Arial" w:cs="Arial"/>
        </w:rPr>
        <w:t>, 63(1), pp. 83–106.</w:t>
      </w:r>
    </w:p>
    <w:p w:rsidR="008A7407" w:rsidRPr="008A7407" w:rsidRDefault="008A7407" w:rsidP="008A7407">
      <w:pPr>
        <w:pStyle w:val="NormalWeb"/>
        <w:jc w:val="both"/>
        <w:rPr>
          <w:rFonts w:ascii="Arial" w:hAnsi="Arial" w:cs="Arial"/>
        </w:rPr>
      </w:pPr>
      <w:r w:rsidRPr="008A7407">
        <w:rPr>
          <w:rFonts w:ascii="Arial" w:hAnsi="Arial" w:cs="Arial"/>
        </w:rPr>
        <w:t xml:space="preserve">Kolb, D.A. (1984) </w:t>
      </w:r>
      <w:r w:rsidRPr="008A7407">
        <w:rPr>
          <w:rStyle w:val="Emphasis"/>
          <w:rFonts w:ascii="Arial" w:hAnsi="Arial" w:cs="Arial"/>
        </w:rPr>
        <w:t>Experiential learning: Experience as the source of learning and development</w:t>
      </w:r>
      <w:r w:rsidRPr="008A7407">
        <w:rPr>
          <w:rFonts w:ascii="Arial" w:hAnsi="Arial" w:cs="Arial"/>
        </w:rPr>
        <w:t>. Englewood Cliffs, NJ: Prentice Hall.</w:t>
      </w:r>
    </w:p>
    <w:p w:rsidR="008A7407" w:rsidRPr="008A7407" w:rsidRDefault="008A7407" w:rsidP="008A7407">
      <w:pPr>
        <w:pStyle w:val="NormalWeb"/>
        <w:jc w:val="both"/>
        <w:rPr>
          <w:rFonts w:ascii="Arial" w:hAnsi="Arial" w:cs="Arial"/>
        </w:rPr>
      </w:pPr>
      <w:r w:rsidRPr="008A7407">
        <w:rPr>
          <w:rFonts w:ascii="Arial" w:hAnsi="Arial" w:cs="Arial"/>
        </w:rPr>
        <w:t xml:space="preserve">Lawler, E.E. (1986) </w:t>
      </w:r>
      <w:r w:rsidRPr="008A7407">
        <w:rPr>
          <w:rStyle w:val="Emphasis"/>
          <w:rFonts w:ascii="Arial" w:hAnsi="Arial" w:cs="Arial"/>
        </w:rPr>
        <w:t>High-involvement management</w:t>
      </w:r>
      <w:r w:rsidRPr="008A7407">
        <w:rPr>
          <w:rFonts w:ascii="Arial" w:hAnsi="Arial" w:cs="Arial"/>
        </w:rPr>
        <w:t xml:space="preserve">. San Francisco: </w:t>
      </w:r>
      <w:proofErr w:type="spellStart"/>
      <w:r w:rsidRPr="008A7407">
        <w:rPr>
          <w:rFonts w:ascii="Arial" w:hAnsi="Arial" w:cs="Arial"/>
        </w:rPr>
        <w:t>Jossey</w:t>
      </w:r>
      <w:proofErr w:type="spellEnd"/>
      <w:r w:rsidRPr="008A7407">
        <w:rPr>
          <w:rFonts w:ascii="Arial" w:hAnsi="Arial" w:cs="Arial"/>
        </w:rPr>
        <w:t>-Bass.</w:t>
      </w:r>
    </w:p>
    <w:p w:rsidR="008A7407" w:rsidRPr="008A7407" w:rsidRDefault="008A7407" w:rsidP="008A7407">
      <w:pPr>
        <w:pStyle w:val="NormalWeb"/>
        <w:jc w:val="both"/>
        <w:rPr>
          <w:rFonts w:ascii="Arial" w:hAnsi="Arial" w:cs="Arial"/>
        </w:rPr>
      </w:pPr>
      <w:proofErr w:type="spellStart"/>
      <w:r w:rsidRPr="008A7407">
        <w:rPr>
          <w:rFonts w:ascii="Arial" w:hAnsi="Arial" w:cs="Arial"/>
        </w:rPr>
        <w:t>Lepak</w:t>
      </w:r>
      <w:proofErr w:type="spellEnd"/>
      <w:r w:rsidRPr="008A7407">
        <w:rPr>
          <w:rFonts w:ascii="Arial" w:hAnsi="Arial" w:cs="Arial"/>
        </w:rPr>
        <w:t>, D.P. and Snell, S.A. (1999) ‘</w:t>
      </w:r>
      <w:proofErr w:type="gramStart"/>
      <w:r w:rsidRPr="008A7407">
        <w:rPr>
          <w:rFonts w:ascii="Arial" w:hAnsi="Arial" w:cs="Arial"/>
        </w:rPr>
        <w:t>The</w:t>
      </w:r>
      <w:proofErr w:type="gramEnd"/>
      <w:r w:rsidRPr="008A7407">
        <w:rPr>
          <w:rFonts w:ascii="Arial" w:hAnsi="Arial" w:cs="Arial"/>
        </w:rPr>
        <w:t xml:space="preserve"> human resource architecture: Toward a theory of human capital allocation and development’, </w:t>
      </w:r>
      <w:r w:rsidRPr="008A7407">
        <w:rPr>
          <w:rStyle w:val="Emphasis"/>
          <w:rFonts w:ascii="Arial" w:hAnsi="Arial" w:cs="Arial"/>
        </w:rPr>
        <w:t>Academy of Management Review</w:t>
      </w:r>
      <w:r w:rsidRPr="008A7407">
        <w:rPr>
          <w:rFonts w:ascii="Arial" w:hAnsi="Arial" w:cs="Arial"/>
        </w:rPr>
        <w:t>, 24(1), pp. 31-48.</w:t>
      </w:r>
    </w:p>
    <w:p w:rsidR="008A7407" w:rsidRPr="008A7407" w:rsidRDefault="008A7407" w:rsidP="008A7407">
      <w:pPr>
        <w:pStyle w:val="NormalWeb"/>
        <w:jc w:val="both"/>
        <w:rPr>
          <w:rFonts w:ascii="Arial" w:hAnsi="Arial" w:cs="Arial"/>
        </w:rPr>
      </w:pPr>
      <w:proofErr w:type="spellStart"/>
      <w:r w:rsidRPr="008A7407">
        <w:rPr>
          <w:rFonts w:ascii="Arial" w:hAnsi="Arial" w:cs="Arial"/>
        </w:rPr>
        <w:t>Marler</w:t>
      </w:r>
      <w:proofErr w:type="spellEnd"/>
      <w:r w:rsidRPr="008A7407">
        <w:rPr>
          <w:rFonts w:ascii="Arial" w:hAnsi="Arial" w:cs="Arial"/>
        </w:rPr>
        <w:t xml:space="preserve">, J.H. and Boudreau, J.W. (2017) ‘An evidence-based review of HR analytics’, </w:t>
      </w:r>
      <w:r w:rsidRPr="008A7407">
        <w:rPr>
          <w:rStyle w:val="Emphasis"/>
          <w:rFonts w:ascii="Arial" w:hAnsi="Arial" w:cs="Arial"/>
        </w:rPr>
        <w:t>The International Journal of Human Resource Management</w:t>
      </w:r>
      <w:r w:rsidRPr="008A7407">
        <w:rPr>
          <w:rFonts w:ascii="Arial" w:hAnsi="Arial" w:cs="Arial"/>
        </w:rPr>
        <w:t>, 28(1), pp. 3-26.</w:t>
      </w:r>
    </w:p>
    <w:p w:rsidR="008A7407" w:rsidRPr="008A7407" w:rsidRDefault="008A7407" w:rsidP="008A7407">
      <w:pPr>
        <w:pStyle w:val="NormalWeb"/>
        <w:jc w:val="both"/>
        <w:rPr>
          <w:rFonts w:ascii="Arial" w:hAnsi="Arial" w:cs="Arial"/>
        </w:rPr>
      </w:pPr>
      <w:r w:rsidRPr="008A7407">
        <w:rPr>
          <w:rFonts w:ascii="Arial" w:hAnsi="Arial" w:cs="Arial"/>
        </w:rPr>
        <w:t xml:space="preserve">Mitchell, T.R., </w:t>
      </w:r>
      <w:proofErr w:type="spellStart"/>
      <w:r w:rsidRPr="008A7407">
        <w:rPr>
          <w:rFonts w:ascii="Arial" w:hAnsi="Arial" w:cs="Arial"/>
        </w:rPr>
        <w:t>Holtom</w:t>
      </w:r>
      <w:proofErr w:type="spellEnd"/>
      <w:r w:rsidRPr="008A7407">
        <w:rPr>
          <w:rFonts w:ascii="Arial" w:hAnsi="Arial" w:cs="Arial"/>
        </w:rPr>
        <w:t xml:space="preserve">, B.C., Lee, T.W., </w:t>
      </w:r>
      <w:proofErr w:type="spellStart"/>
      <w:r w:rsidRPr="008A7407">
        <w:rPr>
          <w:rFonts w:ascii="Arial" w:hAnsi="Arial" w:cs="Arial"/>
        </w:rPr>
        <w:t>Sablynski</w:t>
      </w:r>
      <w:proofErr w:type="spellEnd"/>
      <w:r w:rsidRPr="008A7407">
        <w:rPr>
          <w:rFonts w:ascii="Arial" w:hAnsi="Arial" w:cs="Arial"/>
        </w:rPr>
        <w:t xml:space="preserve">, C.J. and </w:t>
      </w:r>
      <w:proofErr w:type="spellStart"/>
      <w:r w:rsidRPr="008A7407">
        <w:rPr>
          <w:rFonts w:ascii="Arial" w:hAnsi="Arial" w:cs="Arial"/>
        </w:rPr>
        <w:t>Erez</w:t>
      </w:r>
      <w:proofErr w:type="spellEnd"/>
      <w:r w:rsidRPr="008A7407">
        <w:rPr>
          <w:rFonts w:ascii="Arial" w:hAnsi="Arial" w:cs="Arial"/>
        </w:rPr>
        <w:t xml:space="preserve">, M. (2001) ‘Why people stay: Using job embeddedness to predict voluntary turnover’, </w:t>
      </w:r>
      <w:r w:rsidRPr="008A7407">
        <w:rPr>
          <w:rStyle w:val="Emphasis"/>
          <w:rFonts w:ascii="Arial" w:hAnsi="Arial" w:cs="Arial"/>
        </w:rPr>
        <w:t>Academy of Management Journal</w:t>
      </w:r>
      <w:r w:rsidRPr="008A7407">
        <w:rPr>
          <w:rFonts w:ascii="Arial" w:hAnsi="Arial" w:cs="Arial"/>
        </w:rPr>
        <w:t>, 44(6), pp. 1102-1121.</w:t>
      </w:r>
    </w:p>
    <w:p w:rsidR="008A7407" w:rsidRPr="008A7407" w:rsidRDefault="008A7407" w:rsidP="008A7407">
      <w:pPr>
        <w:pStyle w:val="NormalWeb"/>
        <w:jc w:val="both"/>
        <w:rPr>
          <w:rFonts w:ascii="Arial" w:hAnsi="Arial" w:cs="Arial"/>
        </w:rPr>
      </w:pPr>
      <w:r w:rsidRPr="008A7407">
        <w:rPr>
          <w:rFonts w:ascii="Arial" w:hAnsi="Arial" w:cs="Arial"/>
        </w:rPr>
        <w:t xml:space="preserve">Nonaka, I. and Takeuchi, H. (1995) </w:t>
      </w:r>
      <w:proofErr w:type="gramStart"/>
      <w:r w:rsidRPr="008A7407">
        <w:rPr>
          <w:rStyle w:val="Emphasis"/>
          <w:rFonts w:ascii="Arial" w:hAnsi="Arial" w:cs="Arial"/>
        </w:rPr>
        <w:t>The</w:t>
      </w:r>
      <w:proofErr w:type="gramEnd"/>
      <w:r w:rsidRPr="008A7407">
        <w:rPr>
          <w:rStyle w:val="Emphasis"/>
          <w:rFonts w:ascii="Arial" w:hAnsi="Arial" w:cs="Arial"/>
        </w:rPr>
        <w:t xml:space="preserve"> knowledge-creating company</w:t>
      </w:r>
      <w:r w:rsidRPr="008A7407">
        <w:rPr>
          <w:rFonts w:ascii="Arial" w:hAnsi="Arial" w:cs="Arial"/>
        </w:rPr>
        <w:t>. New York: Oxford University Press.</w:t>
      </w:r>
    </w:p>
    <w:p w:rsidR="008A7407" w:rsidRPr="008A7407" w:rsidRDefault="008A7407" w:rsidP="008A7407">
      <w:pPr>
        <w:pStyle w:val="NormalWeb"/>
        <w:jc w:val="both"/>
        <w:rPr>
          <w:rFonts w:ascii="Arial" w:hAnsi="Arial" w:cs="Arial"/>
        </w:rPr>
      </w:pPr>
      <w:r w:rsidRPr="008A7407">
        <w:rPr>
          <w:rFonts w:ascii="Arial" w:hAnsi="Arial" w:cs="Arial"/>
        </w:rPr>
        <w:t xml:space="preserve">O’Reilly, C.A. and </w:t>
      </w:r>
      <w:proofErr w:type="spellStart"/>
      <w:r w:rsidRPr="008A7407">
        <w:rPr>
          <w:rFonts w:ascii="Arial" w:hAnsi="Arial" w:cs="Arial"/>
        </w:rPr>
        <w:t>Tushman</w:t>
      </w:r>
      <w:proofErr w:type="spellEnd"/>
      <w:r w:rsidRPr="008A7407">
        <w:rPr>
          <w:rFonts w:ascii="Arial" w:hAnsi="Arial" w:cs="Arial"/>
        </w:rPr>
        <w:t xml:space="preserve">, M.L. (2013) ‘Organizational ambidexterity: Past, present, and future’, </w:t>
      </w:r>
      <w:r w:rsidRPr="008A7407">
        <w:rPr>
          <w:rStyle w:val="Emphasis"/>
          <w:rFonts w:ascii="Arial" w:hAnsi="Arial" w:cs="Arial"/>
        </w:rPr>
        <w:t>Academy of Management Perspectives</w:t>
      </w:r>
      <w:r w:rsidRPr="008A7407">
        <w:rPr>
          <w:rFonts w:ascii="Arial" w:hAnsi="Arial" w:cs="Arial"/>
        </w:rPr>
        <w:t>, 27(4), pp. 324-338.</w:t>
      </w:r>
    </w:p>
    <w:p w:rsidR="008A7407" w:rsidRPr="008A7407" w:rsidRDefault="008A7407" w:rsidP="008A7407">
      <w:pPr>
        <w:pStyle w:val="NormalWeb"/>
        <w:jc w:val="both"/>
        <w:rPr>
          <w:rFonts w:ascii="Arial" w:hAnsi="Arial" w:cs="Arial"/>
        </w:rPr>
      </w:pPr>
      <w:proofErr w:type="spellStart"/>
      <w:r w:rsidRPr="008A7407">
        <w:rPr>
          <w:rFonts w:ascii="Arial" w:hAnsi="Arial" w:cs="Arial"/>
        </w:rPr>
        <w:t>Parasuraman</w:t>
      </w:r>
      <w:proofErr w:type="spellEnd"/>
      <w:r w:rsidRPr="008A7407">
        <w:rPr>
          <w:rFonts w:ascii="Arial" w:hAnsi="Arial" w:cs="Arial"/>
        </w:rPr>
        <w:t xml:space="preserve">, R. and </w:t>
      </w:r>
      <w:proofErr w:type="spellStart"/>
      <w:r w:rsidRPr="008A7407">
        <w:rPr>
          <w:rFonts w:ascii="Arial" w:hAnsi="Arial" w:cs="Arial"/>
        </w:rPr>
        <w:t>Manzey</w:t>
      </w:r>
      <w:proofErr w:type="spellEnd"/>
      <w:r w:rsidRPr="008A7407">
        <w:rPr>
          <w:rFonts w:ascii="Arial" w:hAnsi="Arial" w:cs="Arial"/>
        </w:rPr>
        <w:t xml:space="preserve">, D.H. (2010) ‘Complacency and bias in human use of automation: An attentional integration’, </w:t>
      </w:r>
      <w:r w:rsidRPr="008A7407">
        <w:rPr>
          <w:rStyle w:val="Emphasis"/>
          <w:rFonts w:ascii="Arial" w:hAnsi="Arial" w:cs="Arial"/>
        </w:rPr>
        <w:t>Human Factors</w:t>
      </w:r>
      <w:r w:rsidRPr="008A7407">
        <w:rPr>
          <w:rFonts w:ascii="Arial" w:hAnsi="Arial" w:cs="Arial"/>
        </w:rPr>
        <w:t>, 52(3), pp. 381-410.</w:t>
      </w:r>
    </w:p>
    <w:p w:rsidR="008A7407" w:rsidRPr="008A7407" w:rsidRDefault="008A7407" w:rsidP="008A7407">
      <w:pPr>
        <w:pStyle w:val="NormalWeb"/>
        <w:jc w:val="both"/>
        <w:rPr>
          <w:rFonts w:ascii="Arial" w:hAnsi="Arial" w:cs="Arial"/>
        </w:rPr>
      </w:pPr>
      <w:proofErr w:type="spellStart"/>
      <w:r w:rsidRPr="008A7407">
        <w:rPr>
          <w:rFonts w:ascii="Arial" w:hAnsi="Arial" w:cs="Arial"/>
        </w:rPr>
        <w:t>Pasmore</w:t>
      </w:r>
      <w:proofErr w:type="spellEnd"/>
      <w:r w:rsidRPr="008A7407">
        <w:rPr>
          <w:rFonts w:ascii="Arial" w:hAnsi="Arial" w:cs="Arial"/>
        </w:rPr>
        <w:t xml:space="preserve">, W.A. (1988) </w:t>
      </w:r>
      <w:r w:rsidRPr="008A7407">
        <w:rPr>
          <w:rStyle w:val="Emphasis"/>
          <w:rFonts w:ascii="Arial" w:hAnsi="Arial" w:cs="Arial"/>
        </w:rPr>
        <w:t>Designing effective organizations: The sociotechnical systems perspective</w:t>
      </w:r>
      <w:r w:rsidRPr="008A7407">
        <w:rPr>
          <w:rFonts w:ascii="Arial" w:hAnsi="Arial" w:cs="Arial"/>
        </w:rPr>
        <w:t>. New York: Wiley.</w:t>
      </w:r>
    </w:p>
    <w:p w:rsidR="008A7407" w:rsidRPr="008A7407" w:rsidRDefault="008A7407" w:rsidP="008A7407">
      <w:pPr>
        <w:pStyle w:val="NormalWeb"/>
        <w:jc w:val="both"/>
        <w:rPr>
          <w:rFonts w:ascii="Arial" w:hAnsi="Arial" w:cs="Arial"/>
        </w:rPr>
      </w:pPr>
      <w:proofErr w:type="spellStart"/>
      <w:r w:rsidRPr="008A7407">
        <w:rPr>
          <w:rFonts w:ascii="Arial" w:hAnsi="Arial" w:cs="Arial"/>
        </w:rPr>
        <w:lastRenderedPageBreak/>
        <w:t>Raghavan</w:t>
      </w:r>
      <w:proofErr w:type="spellEnd"/>
      <w:r w:rsidRPr="008A7407">
        <w:rPr>
          <w:rFonts w:ascii="Arial" w:hAnsi="Arial" w:cs="Arial"/>
        </w:rPr>
        <w:t xml:space="preserve">, M., </w:t>
      </w:r>
      <w:proofErr w:type="spellStart"/>
      <w:r w:rsidRPr="008A7407">
        <w:rPr>
          <w:rFonts w:ascii="Arial" w:hAnsi="Arial" w:cs="Arial"/>
        </w:rPr>
        <w:t>Barocas</w:t>
      </w:r>
      <w:proofErr w:type="spellEnd"/>
      <w:r w:rsidRPr="008A7407">
        <w:rPr>
          <w:rFonts w:ascii="Arial" w:hAnsi="Arial" w:cs="Arial"/>
        </w:rPr>
        <w:t xml:space="preserve">, S., Kleinberg, J. and Levy, K. (2020) ‘Mitigating bias in algorithmic hiring’, </w:t>
      </w:r>
      <w:r w:rsidRPr="008A7407">
        <w:rPr>
          <w:rStyle w:val="Emphasis"/>
          <w:rFonts w:ascii="Arial" w:hAnsi="Arial" w:cs="Arial"/>
        </w:rPr>
        <w:t>Proceedings of the 2020 Conference on Fairness, Accountability, and Transparency</w:t>
      </w:r>
      <w:r w:rsidRPr="008A7407">
        <w:rPr>
          <w:rFonts w:ascii="Arial" w:hAnsi="Arial" w:cs="Arial"/>
        </w:rPr>
        <w:t>, pp. 469-481.</w:t>
      </w:r>
    </w:p>
    <w:p w:rsidR="008A7407" w:rsidRPr="008A7407" w:rsidRDefault="008A7407" w:rsidP="008A7407">
      <w:pPr>
        <w:pStyle w:val="NormalWeb"/>
        <w:jc w:val="both"/>
        <w:rPr>
          <w:rFonts w:ascii="Arial" w:hAnsi="Arial" w:cs="Arial"/>
        </w:rPr>
      </w:pPr>
      <w:r w:rsidRPr="008A7407">
        <w:rPr>
          <w:rFonts w:ascii="Arial" w:hAnsi="Arial" w:cs="Arial"/>
        </w:rPr>
        <w:t xml:space="preserve">Rigby, D.K., Sutherland, J. and Takeuchi, H. (2016) ‘Embracing agile’, </w:t>
      </w:r>
      <w:r w:rsidRPr="008A7407">
        <w:rPr>
          <w:rStyle w:val="Emphasis"/>
          <w:rFonts w:ascii="Arial" w:hAnsi="Arial" w:cs="Arial"/>
        </w:rPr>
        <w:t>Harvard Business Review</w:t>
      </w:r>
      <w:r w:rsidRPr="008A7407">
        <w:rPr>
          <w:rFonts w:ascii="Arial" w:hAnsi="Arial" w:cs="Arial"/>
        </w:rPr>
        <w:t>, 94(5), pp. 40-50.</w:t>
      </w:r>
    </w:p>
    <w:p w:rsidR="008A7407" w:rsidRPr="008A7407" w:rsidRDefault="008A7407" w:rsidP="008A7407">
      <w:pPr>
        <w:pStyle w:val="NormalWeb"/>
        <w:jc w:val="both"/>
        <w:rPr>
          <w:rFonts w:ascii="Arial" w:hAnsi="Arial" w:cs="Arial"/>
        </w:rPr>
      </w:pPr>
      <w:proofErr w:type="spellStart"/>
      <w:r w:rsidRPr="008A7407">
        <w:rPr>
          <w:rFonts w:ascii="Arial" w:hAnsi="Arial" w:cs="Arial"/>
        </w:rPr>
        <w:t>Schön</w:t>
      </w:r>
      <w:proofErr w:type="spellEnd"/>
      <w:r w:rsidRPr="008A7407">
        <w:rPr>
          <w:rFonts w:ascii="Arial" w:hAnsi="Arial" w:cs="Arial"/>
        </w:rPr>
        <w:t xml:space="preserve">, D.A. (1983) </w:t>
      </w:r>
      <w:proofErr w:type="gramStart"/>
      <w:r w:rsidRPr="008A7407">
        <w:rPr>
          <w:rStyle w:val="Emphasis"/>
          <w:rFonts w:ascii="Arial" w:hAnsi="Arial" w:cs="Arial"/>
        </w:rPr>
        <w:t>The</w:t>
      </w:r>
      <w:proofErr w:type="gramEnd"/>
      <w:r w:rsidRPr="008A7407">
        <w:rPr>
          <w:rStyle w:val="Emphasis"/>
          <w:rFonts w:ascii="Arial" w:hAnsi="Arial" w:cs="Arial"/>
        </w:rPr>
        <w:t xml:space="preserve"> reflective practitioner</w:t>
      </w:r>
      <w:r w:rsidRPr="008A7407">
        <w:rPr>
          <w:rFonts w:ascii="Arial" w:hAnsi="Arial" w:cs="Arial"/>
        </w:rPr>
        <w:t>. New York: Basic Books.</w:t>
      </w:r>
    </w:p>
    <w:p w:rsidR="008A7407" w:rsidRPr="008A7407" w:rsidRDefault="008A7407" w:rsidP="008A7407">
      <w:pPr>
        <w:pStyle w:val="NormalWeb"/>
        <w:jc w:val="both"/>
        <w:rPr>
          <w:rFonts w:ascii="Arial" w:hAnsi="Arial" w:cs="Arial"/>
        </w:rPr>
      </w:pPr>
      <w:proofErr w:type="spellStart"/>
      <w:r w:rsidRPr="008A7407">
        <w:rPr>
          <w:rFonts w:ascii="Arial" w:hAnsi="Arial" w:cs="Arial"/>
        </w:rPr>
        <w:t>Senge</w:t>
      </w:r>
      <w:proofErr w:type="spellEnd"/>
      <w:r w:rsidRPr="008A7407">
        <w:rPr>
          <w:rFonts w:ascii="Arial" w:hAnsi="Arial" w:cs="Arial"/>
        </w:rPr>
        <w:t xml:space="preserve">, P.M. (1990) </w:t>
      </w:r>
      <w:proofErr w:type="gramStart"/>
      <w:r w:rsidRPr="008A7407">
        <w:rPr>
          <w:rStyle w:val="Emphasis"/>
          <w:rFonts w:ascii="Arial" w:hAnsi="Arial" w:cs="Arial"/>
        </w:rPr>
        <w:t>The</w:t>
      </w:r>
      <w:proofErr w:type="gramEnd"/>
      <w:r w:rsidRPr="008A7407">
        <w:rPr>
          <w:rStyle w:val="Emphasis"/>
          <w:rFonts w:ascii="Arial" w:hAnsi="Arial" w:cs="Arial"/>
        </w:rPr>
        <w:t xml:space="preserve"> fifth discipline</w:t>
      </w:r>
      <w:r w:rsidRPr="008A7407">
        <w:rPr>
          <w:rFonts w:ascii="Arial" w:hAnsi="Arial" w:cs="Arial"/>
        </w:rPr>
        <w:t>. New York: Doubleday.</w:t>
      </w:r>
    </w:p>
    <w:p w:rsidR="008A7407" w:rsidRPr="008A7407" w:rsidRDefault="008A7407" w:rsidP="008A7407">
      <w:pPr>
        <w:pStyle w:val="NormalWeb"/>
        <w:jc w:val="both"/>
        <w:rPr>
          <w:rFonts w:ascii="Arial" w:hAnsi="Arial" w:cs="Arial"/>
        </w:rPr>
      </w:pPr>
      <w:proofErr w:type="spellStart"/>
      <w:r w:rsidRPr="008A7407">
        <w:rPr>
          <w:rFonts w:ascii="Arial" w:hAnsi="Arial" w:cs="Arial"/>
        </w:rPr>
        <w:t>Spreitzer</w:t>
      </w:r>
      <w:proofErr w:type="spellEnd"/>
      <w:r w:rsidRPr="008A7407">
        <w:rPr>
          <w:rFonts w:ascii="Arial" w:hAnsi="Arial" w:cs="Arial"/>
        </w:rPr>
        <w:t xml:space="preserve">, G.M. (1995) ‘Psychological empowerment in the workplace: Dimensions, measurement, and validation’, </w:t>
      </w:r>
      <w:r w:rsidRPr="008A7407">
        <w:rPr>
          <w:rStyle w:val="Emphasis"/>
          <w:rFonts w:ascii="Arial" w:hAnsi="Arial" w:cs="Arial"/>
        </w:rPr>
        <w:t>Academy of Management Journal</w:t>
      </w:r>
      <w:r w:rsidRPr="008A7407">
        <w:rPr>
          <w:rFonts w:ascii="Arial" w:hAnsi="Arial" w:cs="Arial"/>
        </w:rPr>
        <w:t>, 38(5), pp. 1442-1465.</w:t>
      </w:r>
    </w:p>
    <w:p w:rsidR="008A7407" w:rsidRPr="008A7407" w:rsidRDefault="008A7407" w:rsidP="008A7407">
      <w:pPr>
        <w:pStyle w:val="NormalWeb"/>
        <w:jc w:val="both"/>
        <w:rPr>
          <w:rFonts w:ascii="Arial" w:hAnsi="Arial" w:cs="Arial"/>
        </w:rPr>
      </w:pPr>
      <w:proofErr w:type="spellStart"/>
      <w:r w:rsidRPr="008A7407">
        <w:rPr>
          <w:rFonts w:ascii="Arial" w:hAnsi="Arial" w:cs="Arial"/>
        </w:rPr>
        <w:t>Tambe</w:t>
      </w:r>
      <w:proofErr w:type="spellEnd"/>
      <w:r w:rsidRPr="008A7407">
        <w:rPr>
          <w:rFonts w:ascii="Arial" w:hAnsi="Arial" w:cs="Arial"/>
        </w:rPr>
        <w:t xml:space="preserve">, P., </w:t>
      </w:r>
      <w:proofErr w:type="spellStart"/>
      <w:r w:rsidRPr="008A7407">
        <w:rPr>
          <w:rFonts w:ascii="Arial" w:hAnsi="Arial" w:cs="Arial"/>
        </w:rPr>
        <w:t>Cappelli</w:t>
      </w:r>
      <w:proofErr w:type="spellEnd"/>
      <w:r w:rsidRPr="008A7407">
        <w:rPr>
          <w:rFonts w:ascii="Arial" w:hAnsi="Arial" w:cs="Arial"/>
        </w:rPr>
        <w:t xml:space="preserve">, P. and </w:t>
      </w:r>
      <w:proofErr w:type="spellStart"/>
      <w:r w:rsidRPr="008A7407">
        <w:rPr>
          <w:rFonts w:ascii="Arial" w:hAnsi="Arial" w:cs="Arial"/>
        </w:rPr>
        <w:t>Yakubovich</w:t>
      </w:r>
      <w:proofErr w:type="spellEnd"/>
      <w:r w:rsidRPr="008A7407">
        <w:rPr>
          <w:rFonts w:ascii="Arial" w:hAnsi="Arial" w:cs="Arial"/>
        </w:rPr>
        <w:t xml:space="preserve">, V. (2019) ‘Artificial intelligence in human resources management’, </w:t>
      </w:r>
      <w:r w:rsidRPr="008A7407">
        <w:rPr>
          <w:rStyle w:val="Emphasis"/>
          <w:rFonts w:ascii="Arial" w:hAnsi="Arial" w:cs="Arial"/>
        </w:rPr>
        <w:t>California Management Review</w:t>
      </w:r>
      <w:r w:rsidRPr="008A7407">
        <w:rPr>
          <w:rFonts w:ascii="Arial" w:hAnsi="Arial" w:cs="Arial"/>
        </w:rPr>
        <w:t>, 61(4), pp. 15-42.</w:t>
      </w:r>
    </w:p>
    <w:p w:rsidR="008A7407" w:rsidRPr="008A7407" w:rsidRDefault="008A7407" w:rsidP="008A7407">
      <w:pPr>
        <w:pStyle w:val="NormalWeb"/>
        <w:jc w:val="both"/>
        <w:rPr>
          <w:rFonts w:ascii="Arial" w:hAnsi="Arial" w:cs="Arial"/>
        </w:rPr>
      </w:pPr>
      <w:proofErr w:type="spellStart"/>
      <w:r w:rsidRPr="008A7407">
        <w:rPr>
          <w:rFonts w:ascii="Arial" w:hAnsi="Arial" w:cs="Arial"/>
        </w:rPr>
        <w:t>Tims</w:t>
      </w:r>
      <w:proofErr w:type="spellEnd"/>
      <w:r w:rsidRPr="008A7407">
        <w:rPr>
          <w:rFonts w:ascii="Arial" w:hAnsi="Arial" w:cs="Arial"/>
        </w:rPr>
        <w:t xml:space="preserve">, M. and Bakker, A.B. (2010) ‘Job crafting: Towards a new model of individual job redesign’, </w:t>
      </w:r>
      <w:r w:rsidRPr="008A7407">
        <w:rPr>
          <w:rStyle w:val="Emphasis"/>
          <w:rFonts w:ascii="Arial" w:hAnsi="Arial" w:cs="Arial"/>
        </w:rPr>
        <w:t>SA Journal of Industrial Psychology</w:t>
      </w:r>
      <w:r w:rsidRPr="008A7407">
        <w:rPr>
          <w:rFonts w:ascii="Arial" w:hAnsi="Arial" w:cs="Arial"/>
        </w:rPr>
        <w:t>, 36(2), pp. 1-9.</w:t>
      </w:r>
    </w:p>
    <w:p w:rsidR="008A7407" w:rsidRPr="008A7407" w:rsidRDefault="008A7407" w:rsidP="008A7407">
      <w:pPr>
        <w:pStyle w:val="NormalWeb"/>
        <w:jc w:val="both"/>
        <w:rPr>
          <w:rFonts w:ascii="Arial" w:hAnsi="Arial" w:cs="Arial"/>
        </w:rPr>
      </w:pPr>
      <w:r w:rsidRPr="008A7407">
        <w:rPr>
          <w:rFonts w:ascii="Arial" w:hAnsi="Arial" w:cs="Arial"/>
        </w:rPr>
        <w:t xml:space="preserve">Trist, E.L. and </w:t>
      </w:r>
      <w:proofErr w:type="spellStart"/>
      <w:r w:rsidRPr="008A7407">
        <w:rPr>
          <w:rFonts w:ascii="Arial" w:hAnsi="Arial" w:cs="Arial"/>
        </w:rPr>
        <w:t>Bamforth</w:t>
      </w:r>
      <w:proofErr w:type="spellEnd"/>
      <w:r w:rsidRPr="008A7407">
        <w:rPr>
          <w:rFonts w:ascii="Arial" w:hAnsi="Arial" w:cs="Arial"/>
        </w:rPr>
        <w:t xml:space="preserve">, K.W. (1951) ‘Some social and psychological consequences of the longwall method of coal-getting’, </w:t>
      </w:r>
      <w:r w:rsidRPr="008A7407">
        <w:rPr>
          <w:rStyle w:val="Emphasis"/>
          <w:rFonts w:ascii="Arial" w:hAnsi="Arial" w:cs="Arial"/>
        </w:rPr>
        <w:t>Human Relations</w:t>
      </w:r>
      <w:r w:rsidRPr="008A7407">
        <w:rPr>
          <w:rFonts w:ascii="Arial" w:hAnsi="Arial" w:cs="Arial"/>
        </w:rPr>
        <w:t>, 4(1), pp. 3-38.</w:t>
      </w:r>
    </w:p>
    <w:p w:rsidR="008A7407" w:rsidRPr="008A7407" w:rsidRDefault="008A7407" w:rsidP="008A7407">
      <w:pPr>
        <w:pStyle w:val="NormalWeb"/>
        <w:jc w:val="both"/>
        <w:rPr>
          <w:rFonts w:ascii="Arial" w:hAnsi="Arial" w:cs="Arial"/>
        </w:rPr>
      </w:pPr>
      <w:proofErr w:type="spellStart"/>
      <w:r w:rsidRPr="008A7407">
        <w:rPr>
          <w:rFonts w:ascii="Arial" w:hAnsi="Arial" w:cs="Arial"/>
        </w:rPr>
        <w:t>Tursunbayeva</w:t>
      </w:r>
      <w:proofErr w:type="spellEnd"/>
      <w:r w:rsidRPr="008A7407">
        <w:rPr>
          <w:rFonts w:ascii="Arial" w:hAnsi="Arial" w:cs="Arial"/>
        </w:rPr>
        <w:t xml:space="preserve">, A., Di </w:t>
      </w:r>
      <w:proofErr w:type="spellStart"/>
      <w:r w:rsidRPr="008A7407">
        <w:rPr>
          <w:rFonts w:ascii="Arial" w:hAnsi="Arial" w:cs="Arial"/>
        </w:rPr>
        <w:t>Lauro</w:t>
      </w:r>
      <w:proofErr w:type="spellEnd"/>
      <w:r w:rsidRPr="008A7407">
        <w:rPr>
          <w:rFonts w:ascii="Arial" w:hAnsi="Arial" w:cs="Arial"/>
        </w:rPr>
        <w:t xml:space="preserve">, S. and </w:t>
      </w:r>
      <w:proofErr w:type="spellStart"/>
      <w:r w:rsidRPr="008A7407">
        <w:rPr>
          <w:rFonts w:ascii="Arial" w:hAnsi="Arial" w:cs="Arial"/>
        </w:rPr>
        <w:t>Pagliari</w:t>
      </w:r>
      <w:proofErr w:type="spellEnd"/>
      <w:r w:rsidRPr="008A7407">
        <w:rPr>
          <w:rFonts w:ascii="Arial" w:hAnsi="Arial" w:cs="Arial"/>
        </w:rPr>
        <w:t xml:space="preserve">, C. (2018) ‘People analytics: A scoping review’, </w:t>
      </w:r>
      <w:r w:rsidRPr="008A7407">
        <w:rPr>
          <w:rStyle w:val="Emphasis"/>
          <w:rFonts w:ascii="Arial" w:hAnsi="Arial" w:cs="Arial"/>
        </w:rPr>
        <w:t>International Journal of Information Management</w:t>
      </w:r>
      <w:r w:rsidRPr="008A7407">
        <w:rPr>
          <w:rFonts w:ascii="Arial" w:hAnsi="Arial" w:cs="Arial"/>
        </w:rPr>
        <w:t>, 43, pp. 224-247.</w:t>
      </w:r>
    </w:p>
    <w:p w:rsidR="008A7407" w:rsidRPr="008A7407" w:rsidRDefault="008A7407" w:rsidP="008A7407">
      <w:pPr>
        <w:pStyle w:val="NormalWeb"/>
        <w:jc w:val="both"/>
        <w:rPr>
          <w:rFonts w:ascii="Arial" w:hAnsi="Arial" w:cs="Arial"/>
        </w:rPr>
      </w:pPr>
      <w:r w:rsidRPr="008A7407">
        <w:rPr>
          <w:rFonts w:ascii="Arial" w:hAnsi="Arial" w:cs="Arial"/>
        </w:rPr>
        <w:t xml:space="preserve">Ulrich, D., </w:t>
      </w:r>
      <w:proofErr w:type="spellStart"/>
      <w:r w:rsidRPr="008A7407">
        <w:rPr>
          <w:rFonts w:ascii="Arial" w:hAnsi="Arial" w:cs="Arial"/>
        </w:rPr>
        <w:t>Brockbank</w:t>
      </w:r>
      <w:proofErr w:type="spellEnd"/>
      <w:r w:rsidRPr="008A7407">
        <w:rPr>
          <w:rFonts w:ascii="Arial" w:hAnsi="Arial" w:cs="Arial"/>
        </w:rPr>
        <w:t xml:space="preserve">, W., Johnson, D., </w:t>
      </w:r>
      <w:proofErr w:type="spellStart"/>
      <w:r w:rsidRPr="008A7407">
        <w:rPr>
          <w:rFonts w:ascii="Arial" w:hAnsi="Arial" w:cs="Arial"/>
        </w:rPr>
        <w:t>Sandholtz</w:t>
      </w:r>
      <w:proofErr w:type="spellEnd"/>
      <w:r w:rsidRPr="008A7407">
        <w:rPr>
          <w:rFonts w:ascii="Arial" w:hAnsi="Arial" w:cs="Arial"/>
        </w:rPr>
        <w:t xml:space="preserve">, K. and Younger, J. (2008) </w:t>
      </w:r>
      <w:r w:rsidRPr="008A7407">
        <w:rPr>
          <w:rStyle w:val="Emphasis"/>
          <w:rFonts w:ascii="Arial" w:hAnsi="Arial" w:cs="Arial"/>
        </w:rPr>
        <w:t>HR competencies</w:t>
      </w:r>
      <w:r w:rsidRPr="008A7407">
        <w:rPr>
          <w:rFonts w:ascii="Arial" w:hAnsi="Arial" w:cs="Arial"/>
        </w:rPr>
        <w:t>. Alexandria, VA: SHRM.</w:t>
      </w:r>
    </w:p>
    <w:p w:rsidR="008A7407" w:rsidRPr="008A7407" w:rsidRDefault="008A7407" w:rsidP="008A7407">
      <w:pPr>
        <w:pStyle w:val="NormalWeb"/>
        <w:jc w:val="both"/>
        <w:rPr>
          <w:rFonts w:ascii="Arial" w:hAnsi="Arial" w:cs="Arial"/>
        </w:rPr>
      </w:pPr>
      <w:r w:rsidRPr="008A7407">
        <w:rPr>
          <w:rFonts w:ascii="Arial" w:hAnsi="Arial" w:cs="Arial"/>
        </w:rPr>
        <w:t xml:space="preserve">Wenger, E. (1998) </w:t>
      </w:r>
      <w:r w:rsidRPr="008A7407">
        <w:rPr>
          <w:rStyle w:val="Emphasis"/>
          <w:rFonts w:ascii="Arial" w:hAnsi="Arial" w:cs="Arial"/>
        </w:rPr>
        <w:t>Communities of practice</w:t>
      </w:r>
      <w:r w:rsidRPr="008A7407">
        <w:rPr>
          <w:rFonts w:ascii="Arial" w:hAnsi="Arial" w:cs="Arial"/>
        </w:rPr>
        <w:t>. Cambridge: Cambridge University Press.</w:t>
      </w:r>
    </w:p>
    <w:p w:rsidR="008A7407" w:rsidRPr="008A7407" w:rsidRDefault="008A7407" w:rsidP="008A7407">
      <w:pPr>
        <w:pStyle w:val="NormalWeb"/>
        <w:jc w:val="both"/>
        <w:rPr>
          <w:rFonts w:ascii="Arial" w:hAnsi="Arial" w:cs="Arial"/>
        </w:rPr>
      </w:pPr>
      <w:proofErr w:type="spellStart"/>
      <w:r w:rsidRPr="008A7407">
        <w:rPr>
          <w:rFonts w:ascii="Arial" w:hAnsi="Arial" w:cs="Arial"/>
        </w:rPr>
        <w:t>Wrzesniewski</w:t>
      </w:r>
      <w:proofErr w:type="spellEnd"/>
      <w:r w:rsidRPr="008A7407">
        <w:rPr>
          <w:rFonts w:ascii="Arial" w:hAnsi="Arial" w:cs="Arial"/>
        </w:rPr>
        <w:t xml:space="preserve">, A. and Dutton, J.E. (2001) ‘Crafting a job’, </w:t>
      </w:r>
      <w:r w:rsidRPr="008A7407">
        <w:rPr>
          <w:rStyle w:val="Emphasis"/>
          <w:rFonts w:ascii="Arial" w:hAnsi="Arial" w:cs="Arial"/>
        </w:rPr>
        <w:t>Academy of Management Review</w:t>
      </w:r>
      <w:r w:rsidRPr="008A7407">
        <w:rPr>
          <w:rFonts w:ascii="Arial" w:hAnsi="Arial" w:cs="Arial"/>
        </w:rPr>
        <w:t>, 26(2), pp. 179-201.</w:t>
      </w:r>
    </w:p>
    <w:p w:rsidR="00BE61A2" w:rsidRDefault="002D5962">
      <w:pPr>
        <w:pStyle w:val="Heading1"/>
        <w:pageBreakBefore/>
        <w:pBdr>
          <w:bottom w:val="single" w:sz="4" w:space="4" w:color="2E5496"/>
        </w:pBdr>
        <w:spacing w:after="200" w:line="360" w:lineRule="auto"/>
      </w:pPr>
      <w:bookmarkStart w:id="41" w:name="_Toc242827570"/>
      <w:r>
        <w:lastRenderedPageBreak/>
        <w:t>Appendix</w:t>
      </w:r>
      <w:bookmarkEnd w:id="40"/>
      <w:bookmarkEnd w:id="41"/>
    </w:p>
    <w:p w:rsidR="009414E8" w:rsidRDefault="009414E8" w:rsidP="009414E8">
      <w:pPr>
        <w:pStyle w:val="Heading1"/>
        <w:rPr>
          <w:rFonts w:cs="Times New Roman"/>
        </w:rPr>
      </w:pPr>
      <w:bookmarkStart w:id="42" w:name="_Toc242826839"/>
      <w:bookmarkStart w:id="43" w:name="_Toc242827571"/>
      <w:r>
        <w:rPr>
          <w:rStyle w:val="Strong"/>
          <w:b/>
          <w:bCs/>
        </w:rPr>
        <w:t>Appendix A: Statement on the Use of Generative AI</w:t>
      </w:r>
      <w:bookmarkEnd w:id="42"/>
      <w:bookmarkEnd w:id="43"/>
    </w:p>
    <w:p w:rsidR="009414E8" w:rsidRPr="009414E8" w:rsidRDefault="009414E8" w:rsidP="009414E8">
      <w:pPr>
        <w:pStyle w:val="NormalWeb"/>
        <w:spacing w:line="360" w:lineRule="auto"/>
        <w:jc w:val="both"/>
        <w:rPr>
          <w:rFonts w:ascii="Arial" w:hAnsi="Arial" w:cs="Arial"/>
        </w:rPr>
      </w:pPr>
      <w:r w:rsidRPr="009414E8">
        <w:rPr>
          <w:rFonts w:ascii="Arial" w:hAnsi="Arial" w:cs="Arial"/>
        </w:rPr>
        <w:t xml:space="preserve">Generative AI tools (Microsoft </w:t>
      </w:r>
      <w:proofErr w:type="spellStart"/>
      <w:r w:rsidRPr="009414E8">
        <w:rPr>
          <w:rFonts w:ascii="Arial" w:hAnsi="Arial" w:cs="Arial"/>
        </w:rPr>
        <w:t>Copilot</w:t>
      </w:r>
      <w:proofErr w:type="spellEnd"/>
      <w:r w:rsidRPr="009414E8">
        <w:rPr>
          <w:rFonts w:ascii="Arial" w:hAnsi="Arial" w:cs="Arial"/>
        </w:rPr>
        <w:t xml:space="preserve"> and </w:t>
      </w:r>
      <w:proofErr w:type="spellStart"/>
      <w:r w:rsidRPr="009414E8">
        <w:rPr>
          <w:rFonts w:ascii="Arial" w:hAnsi="Arial" w:cs="Arial"/>
        </w:rPr>
        <w:t>ChatGPT</w:t>
      </w:r>
      <w:proofErr w:type="spellEnd"/>
      <w:r w:rsidRPr="009414E8">
        <w:rPr>
          <w:rFonts w:ascii="Arial" w:hAnsi="Arial" w:cs="Arial"/>
        </w:rPr>
        <w:t>) were used to support early-stage thinking for this report. AI assisted in clarifying theoretical concepts, identifying relevant academic frameworks, and suggesting initial structural outlines for Tasks A, B and C. AI also supported brainstorming during the development of the innovative work design, talent ecosystem and capability development plan.</w:t>
      </w:r>
    </w:p>
    <w:p w:rsidR="009414E8" w:rsidRPr="009414E8" w:rsidRDefault="009414E8" w:rsidP="009414E8">
      <w:pPr>
        <w:pStyle w:val="NormalWeb"/>
        <w:spacing w:line="360" w:lineRule="auto"/>
        <w:jc w:val="both"/>
        <w:rPr>
          <w:rFonts w:ascii="Arial" w:hAnsi="Arial" w:cs="Arial"/>
        </w:rPr>
      </w:pPr>
      <w:r w:rsidRPr="009414E8">
        <w:rPr>
          <w:rFonts w:ascii="Arial" w:hAnsi="Arial" w:cs="Arial"/>
        </w:rPr>
        <w:t xml:space="preserve">Because generative AI can produce inaccurate or fabricated citations, </w:t>
      </w:r>
      <w:r w:rsidRPr="009414E8">
        <w:rPr>
          <w:rStyle w:val="Strong"/>
          <w:rFonts w:ascii="Arial" w:hAnsi="Arial" w:cs="Arial"/>
        </w:rPr>
        <w:t>every reference included in this report was independently verified</w:t>
      </w:r>
      <w:r w:rsidRPr="009414E8">
        <w:rPr>
          <w:rFonts w:ascii="Arial" w:hAnsi="Arial" w:cs="Arial"/>
        </w:rPr>
        <w:t xml:space="preserve"> using academic databases, publisher records or library catalogues. All arguments, interpretations and final wording were produced through critical evaluation and manual refinement by the author. AI was used as a supplementary thinking aid, not as a source of academic authority.</w:t>
      </w:r>
    </w:p>
    <w:p w:rsidR="009414E8" w:rsidRPr="009414E8" w:rsidRDefault="009414E8" w:rsidP="009414E8">
      <w:pPr>
        <w:pStyle w:val="NormalWeb"/>
        <w:spacing w:line="360" w:lineRule="auto"/>
        <w:jc w:val="both"/>
        <w:rPr>
          <w:rFonts w:ascii="Arial" w:hAnsi="Arial" w:cs="Arial"/>
        </w:rPr>
      </w:pPr>
      <w:r w:rsidRPr="009414E8">
        <w:rPr>
          <w:rFonts w:ascii="Arial" w:hAnsi="Arial" w:cs="Arial"/>
        </w:rPr>
        <w:t>The author retains full responsibility for the originality, accuracy, critical analysis and academic integrity of this report.</w:t>
      </w:r>
    </w:p>
    <w:p w:rsidR="009414E8" w:rsidRDefault="009414E8" w:rsidP="009414E8">
      <w:pPr>
        <w:pStyle w:val="Heading1"/>
      </w:pPr>
      <w:bookmarkStart w:id="44" w:name="_Toc242826840"/>
      <w:bookmarkStart w:id="45" w:name="_Toc242827572"/>
      <w:r>
        <w:rPr>
          <w:rStyle w:val="Strong"/>
          <w:b/>
          <w:bCs/>
        </w:rPr>
        <w:t>Appendix B: Integrated 12</w:t>
      </w:r>
      <w:r>
        <w:rPr>
          <w:rStyle w:val="Strong"/>
          <w:b/>
          <w:bCs/>
        </w:rPr>
        <w:noBreakHyphen/>
        <w:t>Month Strategic Roadmap</w:t>
      </w:r>
      <w:bookmarkEnd w:id="44"/>
      <w:bookmarkEnd w:id="45"/>
    </w:p>
    <w:p w:rsidR="009414E8" w:rsidRPr="009414E8" w:rsidRDefault="009414E8" w:rsidP="009414E8">
      <w:pPr>
        <w:pStyle w:val="NormalWeb"/>
        <w:spacing w:line="360" w:lineRule="auto"/>
        <w:jc w:val="both"/>
        <w:rPr>
          <w:rFonts w:ascii="Arial" w:hAnsi="Arial" w:cs="Arial"/>
        </w:rPr>
      </w:pPr>
      <w:r w:rsidRPr="009414E8">
        <w:rPr>
          <w:rFonts w:ascii="Arial" w:hAnsi="Arial" w:cs="Arial"/>
        </w:rPr>
        <w:t xml:space="preserve">This roadmap integrates the recommendations from </w:t>
      </w:r>
      <w:r w:rsidRPr="009414E8">
        <w:rPr>
          <w:rStyle w:val="Strong"/>
          <w:rFonts w:ascii="Arial" w:hAnsi="Arial" w:cs="Arial"/>
        </w:rPr>
        <w:t>Task A (Innovative Working Practices)</w:t>
      </w:r>
      <w:r w:rsidRPr="009414E8">
        <w:rPr>
          <w:rFonts w:ascii="Arial" w:hAnsi="Arial" w:cs="Arial"/>
        </w:rPr>
        <w:t xml:space="preserve">, </w:t>
      </w:r>
      <w:r w:rsidRPr="009414E8">
        <w:rPr>
          <w:rStyle w:val="Strong"/>
          <w:rFonts w:ascii="Arial" w:hAnsi="Arial" w:cs="Arial"/>
        </w:rPr>
        <w:t>Task B (Talent Growth Strategy)</w:t>
      </w:r>
      <w:r w:rsidRPr="009414E8">
        <w:rPr>
          <w:rFonts w:ascii="Arial" w:hAnsi="Arial" w:cs="Arial"/>
        </w:rPr>
        <w:t xml:space="preserve"> and </w:t>
      </w:r>
      <w:r w:rsidRPr="009414E8">
        <w:rPr>
          <w:rStyle w:val="Strong"/>
          <w:rFonts w:ascii="Arial" w:hAnsi="Arial" w:cs="Arial"/>
        </w:rPr>
        <w:t>Task C (Reflective Capability Development)</w:t>
      </w:r>
      <w:r w:rsidRPr="009414E8">
        <w:rPr>
          <w:rFonts w:ascii="Arial" w:hAnsi="Arial" w:cs="Arial"/>
        </w:rPr>
        <w:t xml:space="preserve"> into a coherent, phased 12</w:t>
      </w:r>
      <w:r w:rsidRPr="009414E8">
        <w:rPr>
          <w:rFonts w:ascii="Arial" w:hAnsi="Arial" w:cs="Arial"/>
        </w:rPr>
        <w:noBreakHyphen/>
        <w:t>month transformation plan. The sequence prioritises diagnostics, safeguards, learning systems, agile structu</w:t>
      </w:r>
      <w:r>
        <w:rPr>
          <w:rFonts w:ascii="Arial" w:hAnsi="Arial" w:cs="Arial"/>
        </w:rPr>
        <w:t xml:space="preserve">res and leadership capability </w:t>
      </w:r>
      <w:r w:rsidRPr="009414E8">
        <w:rPr>
          <w:rFonts w:ascii="Arial" w:hAnsi="Arial" w:cs="Arial"/>
        </w:rPr>
        <w:t>ensuring that innovation, wellbeing and regulatory compliance develop together.</w:t>
      </w:r>
    </w:p>
    <w:p w:rsidR="009414E8" w:rsidRDefault="003B5766" w:rsidP="009414E8">
      <w:pPr>
        <w:pStyle w:val="Heading3"/>
      </w:pPr>
      <w:bookmarkStart w:id="46" w:name="_Toc242826841"/>
      <w:bookmarkStart w:id="47" w:name="_Toc242827573"/>
      <w:r>
        <w:rPr>
          <w:rStyle w:val="Strong"/>
          <w:b/>
          <w:bCs/>
        </w:rPr>
        <w:t>Table 2</w:t>
      </w:r>
      <w:r w:rsidR="009414E8">
        <w:rPr>
          <w:rStyle w:val="Strong"/>
          <w:b/>
          <w:bCs/>
        </w:rPr>
        <w:t xml:space="preserve">: </w:t>
      </w:r>
      <w:proofErr w:type="spellStart"/>
      <w:r w:rsidR="009414E8">
        <w:rPr>
          <w:rStyle w:val="Strong"/>
          <w:b/>
          <w:bCs/>
        </w:rPr>
        <w:t>NexSpace</w:t>
      </w:r>
      <w:proofErr w:type="spellEnd"/>
      <w:r w:rsidR="009414E8">
        <w:rPr>
          <w:rStyle w:val="Strong"/>
          <w:b/>
          <w:bCs/>
        </w:rPr>
        <w:t xml:space="preserve"> 12</w:t>
      </w:r>
      <w:r w:rsidR="009414E8">
        <w:rPr>
          <w:rStyle w:val="Strong"/>
          <w:b/>
          <w:bCs/>
        </w:rPr>
        <w:noBreakHyphen/>
        <w:t>Month Integrated Transformation Roadmap</w:t>
      </w:r>
      <w:bookmarkEnd w:id="46"/>
      <w:bookmarkEnd w:id="47"/>
    </w:p>
    <w:tbl>
      <w:tblPr>
        <w:tblW w:w="9471"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49"/>
        <w:gridCol w:w="1506"/>
        <w:gridCol w:w="4010"/>
        <w:gridCol w:w="3006"/>
      </w:tblGrid>
      <w:tr w:rsidR="009414E8" w:rsidTr="009414E8">
        <w:trPr>
          <w:trHeight w:val="342"/>
          <w:tblHeader/>
          <w:tblCellSpacing w:w="15" w:type="dxa"/>
        </w:trPr>
        <w:tc>
          <w:tcPr>
            <w:tcW w:w="878" w:type="dxa"/>
            <w:vAlign w:val="center"/>
            <w:hideMark/>
          </w:tcPr>
          <w:p w:rsidR="009414E8" w:rsidRDefault="009414E8">
            <w:pPr>
              <w:jc w:val="center"/>
              <w:rPr>
                <w:b/>
                <w:bCs/>
              </w:rPr>
            </w:pPr>
            <w:r>
              <w:rPr>
                <w:rStyle w:val="Strong"/>
              </w:rPr>
              <w:t>Months</w:t>
            </w:r>
          </w:p>
        </w:tc>
        <w:tc>
          <w:tcPr>
            <w:tcW w:w="1476" w:type="dxa"/>
            <w:vAlign w:val="center"/>
            <w:hideMark/>
          </w:tcPr>
          <w:p w:rsidR="009414E8" w:rsidRDefault="009414E8">
            <w:pPr>
              <w:jc w:val="center"/>
              <w:rPr>
                <w:b/>
                <w:bCs/>
              </w:rPr>
            </w:pPr>
            <w:r>
              <w:rPr>
                <w:rStyle w:val="Strong"/>
              </w:rPr>
              <w:t>Phase</w:t>
            </w:r>
          </w:p>
        </w:tc>
        <w:tc>
          <w:tcPr>
            <w:tcW w:w="0" w:type="auto"/>
            <w:vAlign w:val="center"/>
            <w:hideMark/>
          </w:tcPr>
          <w:p w:rsidR="009414E8" w:rsidRDefault="009414E8">
            <w:pPr>
              <w:jc w:val="center"/>
              <w:rPr>
                <w:b/>
                <w:bCs/>
              </w:rPr>
            </w:pPr>
            <w:r>
              <w:rPr>
                <w:rStyle w:val="Strong"/>
              </w:rPr>
              <w:t>Key Actions</w:t>
            </w:r>
          </w:p>
        </w:tc>
        <w:tc>
          <w:tcPr>
            <w:tcW w:w="0" w:type="auto"/>
            <w:vAlign w:val="center"/>
            <w:hideMark/>
          </w:tcPr>
          <w:p w:rsidR="009414E8" w:rsidRDefault="009414E8">
            <w:pPr>
              <w:jc w:val="center"/>
              <w:rPr>
                <w:b/>
                <w:bCs/>
              </w:rPr>
            </w:pPr>
            <w:r>
              <w:rPr>
                <w:rStyle w:val="Strong"/>
              </w:rPr>
              <w:t>Success Indicators</w:t>
            </w:r>
          </w:p>
        </w:tc>
      </w:tr>
      <w:tr w:rsidR="009414E8" w:rsidTr="009414E8">
        <w:trPr>
          <w:trHeight w:val="3086"/>
          <w:tblCellSpacing w:w="15" w:type="dxa"/>
        </w:trPr>
        <w:tc>
          <w:tcPr>
            <w:tcW w:w="878" w:type="dxa"/>
            <w:vAlign w:val="center"/>
            <w:hideMark/>
          </w:tcPr>
          <w:p w:rsidR="009414E8" w:rsidRDefault="009414E8">
            <w:pPr>
              <w:jc w:val="center"/>
              <w:rPr>
                <w:b/>
                <w:bCs/>
              </w:rPr>
            </w:pPr>
            <w:r>
              <w:rPr>
                <w:rStyle w:val="Strong"/>
              </w:rPr>
              <w:t>1-2</w:t>
            </w:r>
          </w:p>
        </w:tc>
        <w:tc>
          <w:tcPr>
            <w:tcW w:w="1476" w:type="dxa"/>
            <w:vAlign w:val="center"/>
            <w:hideMark/>
          </w:tcPr>
          <w:p w:rsidR="009414E8" w:rsidRDefault="009414E8">
            <w:r>
              <w:rPr>
                <w:rStyle w:val="Strong"/>
              </w:rPr>
              <w:t>Diagnose &amp; Safeguard</w:t>
            </w:r>
          </w:p>
        </w:tc>
        <w:tc>
          <w:tcPr>
            <w:tcW w:w="0" w:type="auto"/>
            <w:vAlign w:val="center"/>
            <w:hideMark/>
          </w:tcPr>
          <w:p w:rsidR="009414E8" w:rsidRDefault="009414E8">
            <w:r>
              <w:t>• Conduct baseline diagnostics: attrition, cycle time, collaboration network, workload patterns. • Run psychological safety survey and manager briefings. • Perform bias audits on HR analytics and AI-supported decision tools. • Map regulatory constraints into decision-rights matrix.</w:t>
            </w:r>
          </w:p>
        </w:tc>
        <w:tc>
          <w:tcPr>
            <w:tcW w:w="0" w:type="auto"/>
            <w:vAlign w:val="center"/>
            <w:hideMark/>
          </w:tcPr>
          <w:p w:rsidR="009414E8" w:rsidRDefault="009414E8">
            <w:r>
              <w:t>• Diagnostic baselines approved by governance forum. • Bias audit completed with mitigation plan. • Psychological safety baseline established.</w:t>
            </w:r>
          </w:p>
        </w:tc>
      </w:tr>
      <w:tr w:rsidR="009414E8" w:rsidTr="009414E8">
        <w:trPr>
          <w:trHeight w:val="1401"/>
          <w:tblCellSpacing w:w="15" w:type="dxa"/>
        </w:trPr>
        <w:tc>
          <w:tcPr>
            <w:tcW w:w="878" w:type="dxa"/>
            <w:vAlign w:val="center"/>
            <w:hideMark/>
          </w:tcPr>
          <w:p w:rsidR="009414E8" w:rsidRDefault="009414E8">
            <w:pPr>
              <w:jc w:val="center"/>
              <w:rPr>
                <w:b/>
                <w:bCs/>
              </w:rPr>
            </w:pPr>
            <w:r>
              <w:rPr>
                <w:rStyle w:val="Strong"/>
              </w:rPr>
              <w:lastRenderedPageBreak/>
              <w:t>3-5</w:t>
            </w:r>
          </w:p>
        </w:tc>
        <w:tc>
          <w:tcPr>
            <w:tcW w:w="1476" w:type="dxa"/>
            <w:vAlign w:val="center"/>
            <w:hideMark/>
          </w:tcPr>
          <w:p w:rsidR="009414E8" w:rsidRDefault="009414E8">
            <w:r>
              <w:rPr>
                <w:rStyle w:val="Strong"/>
              </w:rPr>
              <w:t>Launch Structures</w:t>
            </w:r>
          </w:p>
        </w:tc>
        <w:tc>
          <w:tcPr>
            <w:tcW w:w="0" w:type="auto"/>
            <w:vAlign w:val="center"/>
            <w:hideMark/>
          </w:tcPr>
          <w:p w:rsidR="009414E8" w:rsidRDefault="009414E8">
            <w:r>
              <w:t xml:space="preserve">• Pilot cross-functional pods and global guilds. • Implement unified digital workspace and documentation norms. • Finalise hybrid charter (anchor days + bandwidth hours). • Launch </w:t>
            </w:r>
            <w:proofErr w:type="spellStart"/>
            <w:r>
              <w:t>NexSpace</w:t>
            </w:r>
            <w:proofErr w:type="spellEnd"/>
            <w:r>
              <w:t xml:space="preserve"> Growth Academy (AI, clinical, product, ethics).</w:t>
            </w:r>
          </w:p>
        </w:tc>
        <w:tc>
          <w:tcPr>
            <w:tcW w:w="0" w:type="auto"/>
            <w:vAlign w:val="center"/>
            <w:hideMark/>
          </w:tcPr>
          <w:p w:rsidR="009414E8" w:rsidRDefault="009414E8">
            <w:r>
              <w:t>• Pods operating with sprint cadence. • Guild participation rates. • Charter adoption across UK-India-UAE. • Academy enrolment and completion rates.</w:t>
            </w:r>
          </w:p>
        </w:tc>
      </w:tr>
      <w:tr w:rsidR="009414E8" w:rsidTr="009414E8">
        <w:trPr>
          <w:trHeight w:val="2072"/>
          <w:tblCellSpacing w:w="15" w:type="dxa"/>
        </w:trPr>
        <w:tc>
          <w:tcPr>
            <w:tcW w:w="878" w:type="dxa"/>
            <w:vAlign w:val="center"/>
            <w:hideMark/>
          </w:tcPr>
          <w:p w:rsidR="009414E8" w:rsidRDefault="009414E8">
            <w:pPr>
              <w:jc w:val="center"/>
              <w:rPr>
                <w:b/>
                <w:bCs/>
              </w:rPr>
            </w:pPr>
            <w:r>
              <w:rPr>
                <w:rStyle w:val="Strong"/>
              </w:rPr>
              <w:t>5-7</w:t>
            </w:r>
          </w:p>
        </w:tc>
        <w:tc>
          <w:tcPr>
            <w:tcW w:w="1476" w:type="dxa"/>
            <w:vAlign w:val="center"/>
            <w:hideMark/>
          </w:tcPr>
          <w:p w:rsidR="009414E8" w:rsidRDefault="009414E8">
            <w:r>
              <w:rPr>
                <w:rStyle w:val="Strong"/>
              </w:rPr>
              <w:t>Embed Flexibility, Autonomy &amp; Trust</w:t>
            </w:r>
          </w:p>
        </w:tc>
        <w:tc>
          <w:tcPr>
            <w:tcW w:w="0" w:type="auto"/>
            <w:vAlign w:val="center"/>
            <w:hideMark/>
          </w:tcPr>
          <w:p w:rsidR="009414E8" w:rsidRDefault="009414E8">
            <w:r>
              <w:t>• Introduce stretch roles and short secondments. • Implement human-in-the-loop oversight for AI HR tools. • Begin structured job-crafting conversations. • Establish availability norms to prevent intensification.</w:t>
            </w:r>
          </w:p>
        </w:tc>
        <w:tc>
          <w:tcPr>
            <w:tcW w:w="0" w:type="auto"/>
            <w:vAlign w:val="center"/>
            <w:hideMark/>
          </w:tcPr>
          <w:p w:rsidR="009414E8" w:rsidRDefault="009414E8">
            <w:r>
              <w:t>• Stretch roles filled. • Human override rate monitored. • Job-crafting adjustments documented. • Reduction in late-night working.</w:t>
            </w:r>
          </w:p>
        </w:tc>
      </w:tr>
      <w:tr w:rsidR="009414E8" w:rsidTr="009414E8">
        <w:trPr>
          <w:trHeight w:val="2758"/>
          <w:tblCellSpacing w:w="15" w:type="dxa"/>
        </w:trPr>
        <w:tc>
          <w:tcPr>
            <w:tcW w:w="878" w:type="dxa"/>
            <w:vAlign w:val="center"/>
            <w:hideMark/>
          </w:tcPr>
          <w:p w:rsidR="009414E8" w:rsidRDefault="009414E8">
            <w:pPr>
              <w:jc w:val="center"/>
              <w:rPr>
                <w:b/>
                <w:bCs/>
              </w:rPr>
            </w:pPr>
            <w:r>
              <w:rPr>
                <w:rStyle w:val="Strong"/>
              </w:rPr>
              <w:t>7-9</w:t>
            </w:r>
          </w:p>
        </w:tc>
        <w:tc>
          <w:tcPr>
            <w:tcW w:w="1476" w:type="dxa"/>
            <w:vAlign w:val="center"/>
            <w:hideMark/>
          </w:tcPr>
          <w:p w:rsidR="009414E8" w:rsidRDefault="009414E8">
            <w:r>
              <w:rPr>
                <w:rStyle w:val="Strong"/>
              </w:rPr>
              <w:t>Pilot, Evaluate &amp; Adjust</w:t>
            </w:r>
          </w:p>
        </w:tc>
        <w:tc>
          <w:tcPr>
            <w:tcW w:w="0" w:type="auto"/>
            <w:vAlign w:val="center"/>
            <w:hideMark/>
          </w:tcPr>
          <w:p w:rsidR="009414E8" w:rsidRDefault="009414E8">
            <w:r>
              <w:t xml:space="preserve">• Evaluate pods, hybrid model and guilds against baseline metrics. • Launch internal talent marketplace for short-term projects. • Run reflective practice workshops for managers (Gibbs, Kolb, </w:t>
            </w:r>
            <w:proofErr w:type="spellStart"/>
            <w:proofErr w:type="gramStart"/>
            <w:r>
              <w:t>Schön</w:t>
            </w:r>
            <w:proofErr w:type="spellEnd"/>
            <w:proofErr w:type="gramEnd"/>
            <w:r>
              <w:t>). • Review workload indicators using people analytics.</w:t>
            </w:r>
          </w:p>
        </w:tc>
        <w:tc>
          <w:tcPr>
            <w:tcW w:w="0" w:type="auto"/>
            <w:vAlign w:val="center"/>
            <w:hideMark/>
          </w:tcPr>
          <w:p w:rsidR="009414E8" w:rsidRDefault="009414E8">
            <w:r>
              <w:t>• Improvement in cycle time and collaboration density. • Increase in mobility applications. • Psychological safety score improvement. • Reduced overtime and meeting overload.</w:t>
            </w:r>
          </w:p>
        </w:tc>
      </w:tr>
      <w:tr w:rsidR="009414E8" w:rsidTr="009414E8">
        <w:trPr>
          <w:trHeight w:val="2400"/>
          <w:tblCellSpacing w:w="15" w:type="dxa"/>
        </w:trPr>
        <w:tc>
          <w:tcPr>
            <w:tcW w:w="878" w:type="dxa"/>
            <w:vAlign w:val="center"/>
            <w:hideMark/>
          </w:tcPr>
          <w:p w:rsidR="009414E8" w:rsidRDefault="009414E8">
            <w:pPr>
              <w:jc w:val="center"/>
              <w:rPr>
                <w:b/>
                <w:bCs/>
              </w:rPr>
            </w:pPr>
            <w:r>
              <w:rPr>
                <w:rStyle w:val="Strong"/>
              </w:rPr>
              <w:t>9-12</w:t>
            </w:r>
          </w:p>
        </w:tc>
        <w:tc>
          <w:tcPr>
            <w:tcW w:w="1476" w:type="dxa"/>
            <w:vAlign w:val="center"/>
            <w:hideMark/>
          </w:tcPr>
          <w:p w:rsidR="009414E8" w:rsidRDefault="009414E8">
            <w:r>
              <w:rPr>
                <w:rStyle w:val="Strong"/>
              </w:rPr>
              <w:t>Scale &amp; Sustain</w:t>
            </w:r>
          </w:p>
        </w:tc>
        <w:tc>
          <w:tcPr>
            <w:tcW w:w="0" w:type="auto"/>
            <w:vAlign w:val="center"/>
            <w:hideMark/>
          </w:tcPr>
          <w:p w:rsidR="009414E8" w:rsidRDefault="009414E8">
            <w:r>
              <w:t>• Scale pods across product lines. • Expand Growth Academy modules and mentoring. • Launch coaching programme aligned with Ulrich et al. (2008) competencies. • Integrate talent ecosystem metrics into quarterly governance reviews.</w:t>
            </w:r>
          </w:p>
        </w:tc>
        <w:tc>
          <w:tcPr>
            <w:tcW w:w="0" w:type="auto"/>
            <w:vAlign w:val="center"/>
            <w:hideMark/>
          </w:tcPr>
          <w:p w:rsidR="009414E8" w:rsidRDefault="009414E8">
            <w:r>
              <w:t xml:space="preserve">• Retention of high performers. • </w:t>
            </w:r>
            <w:proofErr w:type="spellStart"/>
            <w:proofErr w:type="gramStart"/>
            <w:r>
              <w:t>eNPS</w:t>
            </w:r>
            <w:proofErr w:type="spellEnd"/>
            <w:proofErr w:type="gramEnd"/>
            <w:r>
              <w:t xml:space="preserve"> improvement. • Delivery speed and clinical-quality indicators. • Increased internal promotions and mobility.</w:t>
            </w:r>
          </w:p>
        </w:tc>
      </w:tr>
    </w:tbl>
    <w:p w:rsidR="009414E8" w:rsidRDefault="009414E8" w:rsidP="009414E8">
      <w:pPr>
        <w:pStyle w:val="Heading1"/>
        <w:rPr>
          <w:rStyle w:val="Strong"/>
          <w:b/>
          <w:bCs/>
        </w:rPr>
      </w:pPr>
    </w:p>
    <w:p w:rsidR="009414E8" w:rsidRDefault="009414E8" w:rsidP="009414E8">
      <w:pPr>
        <w:pStyle w:val="Heading1"/>
      </w:pPr>
      <w:bookmarkStart w:id="48" w:name="_Toc242826842"/>
      <w:bookmarkStart w:id="49" w:name="_Toc242827574"/>
      <w:r>
        <w:rPr>
          <w:rStyle w:val="Strong"/>
          <w:b/>
          <w:bCs/>
        </w:rPr>
        <w:t>Appendix C: Alignment of Roadmap with Theoretical Foundations</w:t>
      </w:r>
      <w:bookmarkEnd w:id="48"/>
      <w:bookmarkEnd w:id="49"/>
    </w:p>
    <w:p w:rsidR="009414E8" w:rsidRPr="009414E8" w:rsidRDefault="009414E8" w:rsidP="009414E8">
      <w:pPr>
        <w:pStyle w:val="NormalWeb"/>
        <w:spacing w:line="360" w:lineRule="auto"/>
        <w:jc w:val="both"/>
        <w:rPr>
          <w:rFonts w:ascii="Arial" w:hAnsi="Arial" w:cs="Arial"/>
        </w:rPr>
      </w:pPr>
      <w:r w:rsidRPr="009414E8">
        <w:rPr>
          <w:rFonts w:ascii="Arial" w:hAnsi="Arial" w:cs="Arial"/>
        </w:rPr>
        <w:t>This appendix strengthens academic rigour by explicitly linking each roadmap phase to the theories used in Tasks A, B and C.</w:t>
      </w:r>
    </w:p>
    <w:p w:rsidR="009414E8" w:rsidRPr="009414E8" w:rsidRDefault="009414E8" w:rsidP="009414E8">
      <w:pPr>
        <w:pStyle w:val="Heading3"/>
        <w:spacing w:line="360" w:lineRule="auto"/>
        <w:jc w:val="both"/>
      </w:pPr>
      <w:bookmarkStart w:id="50" w:name="_Toc242826843"/>
      <w:bookmarkStart w:id="51" w:name="_Toc242827575"/>
      <w:r w:rsidRPr="009414E8">
        <w:rPr>
          <w:rStyle w:val="Strong"/>
          <w:b/>
          <w:bCs/>
        </w:rPr>
        <w:t>1. Diagnostics &amp; Safeguards (Months 1-2)</w:t>
      </w:r>
      <w:bookmarkEnd w:id="50"/>
      <w:bookmarkEnd w:id="51"/>
    </w:p>
    <w:p w:rsidR="009414E8" w:rsidRPr="009414E8" w:rsidRDefault="009414E8" w:rsidP="009414E8">
      <w:pPr>
        <w:pStyle w:val="NormalWeb"/>
        <w:numPr>
          <w:ilvl w:val="0"/>
          <w:numId w:val="5"/>
        </w:numPr>
        <w:spacing w:line="360" w:lineRule="auto"/>
        <w:jc w:val="both"/>
        <w:rPr>
          <w:rFonts w:ascii="Arial" w:hAnsi="Arial" w:cs="Arial"/>
        </w:rPr>
      </w:pPr>
      <w:r w:rsidRPr="009414E8">
        <w:rPr>
          <w:rStyle w:val="Strong"/>
          <w:rFonts w:ascii="Arial" w:hAnsi="Arial" w:cs="Arial"/>
        </w:rPr>
        <w:t>JD</w:t>
      </w:r>
      <w:r w:rsidRPr="009414E8">
        <w:rPr>
          <w:rStyle w:val="Strong"/>
          <w:rFonts w:ascii="Arial" w:hAnsi="Arial" w:cs="Arial"/>
        </w:rPr>
        <w:noBreakHyphen/>
        <w:t>R Model:</w:t>
      </w:r>
      <w:r w:rsidRPr="009414E8">
        <w:rPr>
          <w:rFonts w:ascii="Arial" w:hAnsi="Arial" w:cs="Arial"/>
        </w:rPr>
        <w:t xml:space="preserve"> Identifies demands (workload, time pressure) and resources (autonomy, support).</w:t>
      </w:r>
    </w:p>
    <w:p w:rsidR="009414E8" w:rsidRPr="009414E8" w:rsidRDefault="009414E8" w:rsidP="009414E8">
      <w:pPr>
        <w:pStyle w:val="NormalWeb"/>
        <w:numPr>
          <w:ilvl w:val="0"/>
          <w:numId w:val="5"/>
        </w:numPr>
        <w:spacing w:line="360" w:lineRule="auto"/>
        <w:jc w:val="both"/>
        <w:rPr>
          <w:rFonts w:ascii="Arial" w:hAnsi="Arial" w:cs="Arial"/>
        </w:rPr>
      </w:pPr>
      <w:r w:rsidRPr="009414E8">
        <w:rPr>
          <w:rStyle w:val="Strong"/>
          <w:rFonts w:ascii="Arial" w:hAnsi="Arial" w:cs="Arial"/>
        </w:rPr>
        <w:t>Ethical AI (</w:t>
      </w:r>
      <w:proofErr w:type="spellStart"/>
      <w:r w:rsidRPr="009414E8">
        <w:rPr>
          <w:rStyle w:val="Strong"/>
          <w:rFonts w:ascii="Arial" w:hAnsi="Arial" w:cs="Arial"/>
        </w:rPr>
        <w:t>Floridi</w:t>
      </w:r>
      <w:proofErr w:type="spellEnd"/>
      <w:r w:rsidRPr="009414E8">
        <w:rPr>
          <w:rStyle w:val="Strong"/>
          <w:rFonts w:ascii="Arial" w:hAnsi="Arial" w:cs="Arial"/>
        </w:rPr>
        <w:t xml:space="preserve"> &amp; Cowls, 2019; </w:t>
      </w:r>
      <w:proofErr w:type="spellStart"/>
      <w:r w:rsidRPr="009414E8">
        <w:rPr>
          <w:rStyle w:val="Strong"/>
          <w:rFonts w:ascii="Arial" w:hAnsi="Arial" w:cs="Arial"/>
        </w:rPr>
        <w:t>Raghavan</w:t>
      </w:r>
      <w:proofErr w:type="spellEnd"/>
      <w:r w:rsidRPr="009414E8">
        <w:rPr>
          <w:rStyle w:val="Strong"/>
          <w:rFonts w:ascii="Arial" w:hAnsi="Arial" w:cs="Arial"/>
        </w:rPr>
        <w:t xml:space="preserve"> et al., 2020):</w:t>
      </w:r>
      <w:r w:rsidRPr="009414E8">
        <w:rPr>
          <w:rFonts w:ascii="Arial" w:hAnsi="Arial" w:cs="Arial"/>
        </w:rPr>
        <w:t xml:space="preserve"> Bias audits ensure fairness and transparency.</w:t>
      </w:r>
    </w:p>
    <w:p w:rsidR="009414E8" w:rsidRPr="009414E8" w:rsidRDefault="009414E8" w:rsidP="009414E8">
      <w:pPr>
        <w:pStyle w:val="NormalWeb"/>
        <w:numPr>
          <w:ilvl w:val="0"/>
          <w:numId w:val="5"/>
        </w:numPr>
        <w:spacing w:line="360" w:lineRule="auto"/>
        <w:jc w:val="both"/>
        <w:rPr>
          <w:rFonts w:ascii="Arial" w:hAnsi="Arial" w:cs="Arial"/>
        </w:rPr>
      </w:pPr>
      <w:r w:rsidRPr="009414E8">
        <w:rPr>
          <w:rStyle w:val="Strong"/>
          <w:rFonts w:ascii="Arial" w:hAnsi="Arial" w:cs="Arial"/>
        </w:rPr>
        <w:lastRenderedPageBreak/>
        <w:t>Psychological Safety (Edmondson, 1999):</w:t>
      </w:r>
      <w:r w:rsidRPr="009414E8">
        <w:rPr>
          <w:rFonts w:ascii="Arial" w:hAnsi="Arial" w:cs="Arial"/>
        </w:rPr>
        <w:t xml:space="preserve"> Baseline measurement enables targeted interventions.</w:t>
      </w:r>
    </w:p>
    <w:p w:rsidR="009414E8" w:rsidRPr="009414E8" w:rsidRDefault="009414E8" w:rsidP="009414E8">
      <w:pPr>
        <w:pStyle w:val="Heading3"/>
        <w:spacing w:line="360" w:lineRule="auto"/>
        <w:jc w:val="both"/>
      </w:pPr>
      <w:bookmarkStart w:id="52" w:name="_Toc242826844"/>
      <w:bookmarkStart w:id="53" w:name="_Toc242827576"/>
      <w:r w:rsidRPr="009414E8">
        <w:rPr>
          <w:rStyle w:val="Strong"/>
          <w:b/>
          <w:bCs/>
        </w:rPr>
        <w:t>2. Launch Structures (Months 3-5)</w:t>
      </w:r>
      <w:bookmarkEnd w:id="52"/>
      <w:bookmarkEnd w:id="53"/>
    </w:p>
    <w:p w:rsidR="009414E8" w:rsidRPr="009414E8" w:rsidRDefault="009414E8" w:rsidP="009414E8">
      <w:pPr>
        <w:pStyle w:val="NormalWeb"/>
        <w:numPr>
          <w:ilvl w:val="0"/>
          <w:numId w:val="6"/>
        </w:numPr>
        <w:spacing w:line="360" w:lineRule="auto"/>
        <w:jc w:val="both"/>
        <w:rPr>
          <w:rFonts w:ascii="Arial" w:hAnsi="Arial" w:cs="Arial"/>
        </w:rPr>
      </w:pPr>
      <w:r w:rsidRPr="009414E8">
        <w:rPr>
          <w:rStyle w:val="Strong"/>
          <w:rFonts w:ascii="Arial" w:hAnsi="Arial" w:cs="Arial"/>
        </w:rPr>
        <w:t>HIWS &amp; SDT:</w:t>
      </w:r>
      <w:r w:rsidRPr="009414E8">
        <w:rPr>
          <w:rFonts w:ascii="Arial" w:hAnsi="Arial" w:cs="Arial"/>
        </w:rPr>
        <w:t xml:space="preserve"> Pods and guilds increase autonomy, competence and relatedness.</w:t>
      </w:r>
    </w:p>
    <w:p w:rsidR="009414E8" w:rsidRPr="009414E8" w:rsidRDefault="009414E8" w:rsidP="009414E8">
      <w:pPr>
        <w:pStyle w:val="NormalWeb"/>
        <w:numPr>
          <w:ilvl w:val="0"/>
          <w:numId w:val="6"/>
        </w:numPr>
        <w:spacing w:line="360" w:lineRule="auto"/>
        <w:jc w:val="both"/>
        <w:rPr>
          <w:rFonts w:ascii="Arial" w:hAnsi="Arial" w:cs="Arial"/>
        </w:rPr>
      </w:pPr>
      <w:r w:rsidRPr="009414E8">
        <w:rPr>
          <w:rStyle w:val="Strong"/>
          <w:rFonts w:ascii="Arial" w:hAnsi="Arial" w:cs="Arial"/>
        </w:rPr>
        <w:t>STS Theory:</w:t>
      </w:r>
      <w:r w:rsidRPr="009414E8">
        <w:rPr>
          <w:rFonts w:ascii="Arial" w:hAnsi="Arial" w:cs="Arial"/>
        </w:rPr>
        <w:t xml:space="preserve"> Digital workspace + norms = joint optimisation of social and technical systems.</w:t>
      </w:r>
    </w:p>
    <w:p w:rsidR="009414E8" w:rsidRPr="009414E8" w:rsidRDefault="009414E8" w:rsidP="009414E8">
      <w:pPr>
        <w:pStyle w:val="NormalWeb"/>
        <w:numPr>
          <w:ilvl w:val="0"/>
          <w:numId w:val="6"/>
        </w:numPr>
        <w:spacing w:line="360" w:lineRule="auto"/>
        <w:jc w:val="both"/>
        <w:rPr>
          <w:rFonts w:ascii="Arial" w:hAnsi="Arial" w:cs="Arial"/>
        </w:rPr>
      </w:pPr>
      <w:r w:rsidRPr="009414E8">
        <w:rPr>
          <w:rStyle w:val="Strong"/>
          <w:rFonts w:ascii="Arial" w:hAnsi="Arial" w:cs="Arial"/>
        </w:rPr>
        <w:t xml:space="preserve">Ambidexterity (O’Reilly &amp; </w:t>
      </w:r>
      <w:proofErr w:type="spellStart"/>
      <w:r w:rsidRPr="009414E8">
        <w:rPr>
          <w:rStyle w:val="Strong"/>
          <w:rFonts w:ascii="Arial" w:hAnsi="Arial" w:cs="Arial"/>
        </w:rPr>
        <w:t>Tushman</w:t>
      </w:r>
      <w:proofErr w:type="spellEnd"/>
      <w:r w:rsidRPr="009414E8">
        <w:rPr>
          <w:rStyle w:val="Strong"/>
          <w:rFonts w:ascii="Arial" w:hAnsi="Arial" w:cs="Arial"/>
        </w:rPr>
        <w:t>, 2013):</w:t>
      </w:r>
      <w:r w:rsidRPr="009414E8">
        <w:rPr>
          <w:rFonts w:ascii="Arial" w:hAnsi="Arial" w:cs="Arial"/>
        </w:rPr>
        <w:t xml:space="preserve"> Pods support exploration while platform teams support exploitation.</w:t>
      </w:r>
    </w:p>
    <w:p w:rsidR="009414E8" w:rsidRPr="009414E8" w:rsidRDefault="009414E8" w:rsidP="009414E8">
      <w:pPr>
        <w:pStyle w:val="Heading3"/>
        <w:spacing w:line="360" w:lineRule="auto"/>
        <w:jc w:val="both"/>
      </w:pPr>
      <w:bookmarkStart w:id="54" w:name="_Toc242826845"/>
      <w:bookmarkStart w:id="55" w:name="_Toc242827577"/>
      <w:r w:rsidRPr="009414E8">
        <w:rPr>
          <w:rStyle w:val="Strong"/>
          <w:b/>
          <w:bCs/>
        </w:rPr>
        <w:t>3. Embed Flexibility &amp; Trust (Months 5-7)</w:t>
      </w:r>
      <w:bookmarkEnd w:id="54"/>
      <w:bookmarkEnd w:id="55"/>
    </w:p>
    <w:p w:rsidR="009414E8" w:rsidRPr="009414E8" w:rsidRDefault="009414E8" w:rsidP="009414E8">
      <w:pPr>
        <w:pStyle w:val="NormalWeb"/>
        <w:numPr>
          <w:ilvl w:val="0"/>
          <w:numId w:val="7"/>
        </w:numPr>
        <w:spacing w:line="360" w:lineRule="auto"/>
        <w:jc w:val="both"/>
        <w:rPr>
          <w:rFonts w:ascii="Arial" w:hAnsi="Arial" w:cs="Arial"/>
        </w:rPr>
      </w:pPr>
      <w:r w:rsidRPr="009414E8">
        <w:rPr>
          <w:rStyle w:val="Strong"/>
          <w:rFonts w:ascii="Arial" w:hAnsi="Arial" w:cs="Arial"/>
        </w:rPr>
        <w:t>AMO:</w:t>
      </w:r>
      <w:r w:rsidRPr="009414E8">
        <w:rPr>
          <w:rFonts w:ascii="Arial" w:hAnsi="Arial" w:cs="Arial"/>
        </w:rPr>
        <w:t xml:space="preserve"> Hybrid charter increases opportunity; stretch roles increase ability; autonomy increases motivation.</w:t>
      </w:r>
    </w:p>
    <w:p w:rsidR="009414E8" w:rsidRPr="009414E8" w:rsidRDefault="009414E8" w:rsidP="009414E8">
      <w:pPr>
        <w:pStyle w:val="NormalWeb"/>
        <w:numPr>
          <w:ilvl w:val="0"/>
          <w:numId w:val="7"/>
        </w:numPr>
        <w:spacing w:line="360" w:lineRule="auto"/>
        <w:jc w:val="both"/>
        <w:rPr>
          <w:rFonts w:ascii="Arial" w:hAnsi="Arial" w:cs="Arial"/>
        </w:rPr>
      </w:pPr>
      <w:r w:rsidRPr="009414E8">
        <w:rPr>
          <w:rStyle w:val="Strong"/>
          <w:rFonts w:ascii="Arial" w:hAnsi="Arial" w:cs="Arial"/>
        </w:rPr>
        <w:t>Job Crafting (</w:t>
      </w:r>
      <w:proofErr w:type="spellStart"/>
      <w:r w:rsidRPr="009414E8">
        <w:rPr>
          <w:rStyle w:val="Strong"/>
          <w:rFonts w:ascii="Arial" w:hAnsi="Arial" w:cs="Arial"/>
        </w:rPr>
        <w:t>Wrzesniewski</w:t>
      </w:r>
      <w:proofErr w:type="spellEnd"/>
      <w:r w:rsidRPr="009414E8">
        <w:rPr>
          <w:rStyle w:val="Strong"/>
          <w:rFonts w:ascii="Arial" w:hAnsi="Arial" w:cs="Arial"/>
        </w:rPr>
        <w:t xml:space="preserve"> &amp; Dutton, 2001):</w:t>
      </w:r>
      <w:r w:rsidRPr="009414E8">
        <w:rPr>
          <w:rFonts w:ascii="Arial" w:hAnsi="Arial" w:cs="Arial"/>
        </w:rPr>
        <w:t xml:space="preserve"> Structured crafting supports engagement and retention.</w:t>
      </w:r>
    </w:p>
    <w:p w:rsidR="009414E8" w:rsidRPr="009414E8" w:rsidRDefault="009414E8" w:rsidP="009414E8">
      <w:pPr>
        <w:pStyle w:val="NormalWeb"/>
        <w:numPr>
          <w:ilvl w:val="0"/>
          <w:numId w:val="7"/>
        </w:numPr>
        <w:spacing w:line="360" w:lineRule="auto"/>
        <w:jc w:val="both"/>
        <w:rPr>
          <w:rFonts w:ascii="Arial" w:hAnsi="Arial" w:cs="Arial"/>
        </w:rPr>
      </w:pPr>
      <w:r w:rsidRPr="009414E8">
        <w:rPr>
          <w:rStyle w:val="Strong"/>
          <w:rFonts w:ascii="Arial" w:hAnsi="Arial" w:cs="Arial"/>
        </w:rPr>
        <w:t>Human-in-the-loop AI:</w:t>
      </w:r>
      <w:r w:rsidRPr="009414E8">
        <w:rPr>
          <w:rFonts w:ascii="Arial" w:hAnsi="Arial" w:cs="Arial"/>
        </w:rPr>
        <w:t xml:space="preserve"> Maintains ethical judgement and regulatory compliance.</w:t>
      </w:r>
    </w:p>
    <w:p w:rsidR="009414E8" w:rsidRPr="009414E8" w:rsidRDefault="009414E8" w:rsidP="009414E8">
      <w:pPr>
        <w:pStyle w:val="Heading3"/>
        <w:spacing w:line="360" w:lineRule="auto"/>
        <w:jc w:val="both"/>
      </w:pPr>
      <w:bookmarkStart w:id="56" w:name="_Toc242826846"/>
      <w:bookmarkStart w:id="57" w:name="_Toc242827578"/>
      <w:r w:rsidRPr="009414E8">
        <w:rPr>
          <w:rStyle w:val="Strong"/>
          <w:b/>
          <w:bCs/>
        </w:rPr>
        <w:t>4. Pilot &amp; Evaluate (Months 7-9)</w:t>
      </w:r>
      <w:bookmarkEnd w:id="56"/>
      <w:bookmarkEnd w:id="57"/>
    </w:p>
    <w:p w:rsidR="009414E8" w:rsidRPr="009414E8" w:rsidRDefault="009414E8" w:rsidP="009414E8">
      <w:pPr>
        <w:pStyle w:val="NormalWeb"/>
        <w:numPr>
          <w:ilvl w:val="0"/>
          <w:numId w:val="8"/>
        </w:numPr>
        <w:spacing w:line="360" w:lineRule="auto"/>
        <w:jc w:val="both"/>
        <w:rPr>
          <w:rFonts w:ascii="Arial" w:hAnsi="Arial" w:cs="Arial"/>
        </w:rPr>
      </w:pPr>
      <w:r w:rsidRPr="009414E8">
        <w:rPr>
          <w:rStyle w:val="Strong"/>
          <w:rFonts w:ascii="Arial" w:hAnsi="Arial" w:cs="Arial"/>
        </w:rPr>
        <w:t>Learning Organisation (</w:t>
      </w:r>
      <w:proofErr w:type="spellStart"/>
      <w:r w:rsidRPr="009414E8">
        <w:rPr>
          <w:rStyle w:val="Strong"/>
          <w:rFonts w:ascii="Arial" w:hAnsi="Arial" w:cs="Arial"/>
        </w:rPr>
        <w:t>Senge</w:t>
      </w:r>
      <w:proofErr w:type="spellEnd"/>
      <w:r w:rsidRPr="009414E8">
        <w:rPr>
          <w:rStyle w:val="Strong"/>
          <w:rFonts w:ascii="Arial" w:hAnsi="Arial" w:cs="Arial"/>
        </w:rPr>
        <w:t>, 1990):</w:t>
      </w:r>
      <w:r w:rsidRPr="009414E8">
        <w:rPr>
          <w:rFonts w:ascii="Arial" w:hAnsi="Arial" w:cs="Arial"/>
        </w:rPr>
        <w:t xml:space="preserve"> Reflection, feedback loops and shared learning.</w:t>
      </w:r>
    </w:p>
    <w:p w:rsidR="009414E8" w:rsidRPr="009414E8" w:rsidRDefault="009414E8" w:rsidP="009414E8">
      <w:pPr>
        <w:pStyle w:val="NormalWeb"/>
        <w:numPr>
          <w:ilvl w:val="0"/>
          <w:numId w:val="8"/>
        </w:numPr>
        <w:spacing w:line="360" w:lineRule="auto"/>
        <w:jc w:val="both"/>
        <w:rPr>
          <w:rFonts w:ascii="Arial" w:hAnsi="Arial" w:cs="Arial"/>
        </w:rPr>
      </w:pPr>
      <w:r w:rsidRPr="009414E8">
        <w:rPr>
          <w:rStyle w:val="Strong"/>
          <w:rFonts w:ascii="Arial" w:hAnsi="Arial" w:cs="Arial"/>
        </w:rPr>
        <w:t>Kolb (1984) &amp; Gibbs (1988):</w:t>
      </w:r>
      <w:r w:rsidRPr="009414E8">
        <w:rPr>
          <w:rFonts w:ascii="Arial" w:hAnsi="Arial" w:cs="Arial"/>
        </w:rPr>
        <w:t xml:space="preserve"> Experiential learning embedded in retrospectives and workshops.</w:t>
      </w:r>
    </w:p>
    <w:p w:rsidR="009414E8" w:rsidRPr="009414E8" w:rsidRDefault="009414E8" w:rsidP="009414E8">
      <w:pPr>
        <w:pStyle w:val="NormalWeb"/>
        <w:numPr>
          <w:ilvl w:val="0"/>
          <w:numId w:val="8"/>
        </w:numPr>
        <w:spacing w:line="360" w:lineRule="auto"/>
        <w:jc w:val="both"/>
        <w:rPr>
          <w:rFonts w:ascii="Arial" w:hAnsi="Arial" w:cs="Arial"/>
        </w:rPr>
      </w:pPr>
      <w:r w:rsidRPr="009414E8">
        <w:rPr>
          <w:rStyle w:val="Strong"/>
          <w:rFonts w:ascii="Arial" w:hAnsi="Arial" w:cs="Arial"/>
        </w:rPr>
        <w:t>People Analytics (</w:t>
      </w:r>
      <w:proofErr w:type="spellStart"/>
      <w:r w:rsidRPr="009414E8">
        <w:rPr>
          <w:rStyle w:val="Strong"/>
          <w:rFonts w:ascii="Arial" w:hAnsi="Arial" w:cs="Arial"/>
        </w:rPr>
        <w:t>Marler</w:t>
      </w:r>
      <w:proofErr w:type="spellEnd"/>
      <w:r w:rsidRPr="009414E8">
        <w:rPr>
          <w:rStyle w:val="Strong"/>
          <w:rFonts w:ascii="Arial" w:hAnsi="Arial" w:cs="Arial"/>
        </w:rPr>
        <w:t xml:space="preserve"> &amp; Boudreau, 2017):</w:t>
      </w:r>
      <w:r w:rsidRPr="009414E8">
        <w:rPr>
          <w:rFonts w:ascii="Arial" w:hAnsi="Arial" w:cs="Arial"/>
        </w:rPr>
        <w:t xml:space="preserve"> Evidence-based adjustments to workload and staffing.</w:t>
      </w:r>
    </w:p>
    <w:p w:rsidR="009414E8" w:rsidRPr="009414E8" w:rsidRDefault="009414E8" w:rsidP="009414E8">
      <w:pPr>
        <w:pStyle w:val="Heading3"/>
        <w:spacing w:line="360" w:lineRule="auto"/>
        <w:jc w:val="both"/>
      </w:pPr>
      <w:bookmarkStart w:id="58" w:name="_Toc242826847"/>
      <w:bookmarkStart w:id="59" w:name="_Toc242827579"/>
      <w:r w:rsidRPr="009414E8">
        <w:rPr>
          <w:rStyle w:val="Strong"/>
          <w:b/>
          <w:bCs/>
        </w:rPr>
        <w:t>5. Scale &amp; Sustain (Months 9-12)</w:t>
      </w:r>
      <w:bookmarkEnd w:id="58"/>
      <w:bookmarkEnd w:id="59"/>
    </w:p>
    <w:p w:rsidR="009414E8" w:rsidRPr="009414E8" w:rsidRDefault="009414E8" w:rsidP="009414E8">
      <w:pPr>
        <w:pStyle w:val="NormalWeb"/>
        <w:numPr>
          <w:ilvl w:val="0"/>
          <w:numId w:val="9"/>
        </w:numPr>
        <w:spacing w:line="360" w:lineRule="auto"/>
        <w:jc w:val="both"/>
        <w:rPr>
          <w:rFonts w:ascii="Arial" w:hAnsi="Arial" w:cs="Arial"/>
        </w:rPr>
      </w:pPr>
      <w:r w:rsidRPr="009414E8">
        <w:rPr>
          <w:rStyle w:val="Strong"/>
          <w:rFonts w:ascii="Arial" w:hAnsi="Arial" w:cs="Arial"/>
        </w:rPr>
        <w:t>Resource-Based View (Barney, 1991):</w:t>
      </w:r>
      <w:r w:rsidRPr="009414E8">
        <w:rPr>
          <w:rFonts w:ascii="Arial" w:hAnsi="Arial" w:cs="Arial"/>
        </w:rPr>
        <w:t xml:space="preserve"> Developing rare, valuable talent capabilities.</w:t>
      </w:r>
    </w:p>
    <w:p w:rsidR="009414E8" w:rsidRPr="009414E8" w:rsidRDefault="009414E8" w:rsidP="009414E8">
      <w:pPr>
        <w:pStyle w:val="NormalWeb"/>
        <w:numPr>
          <w:ilvl w:val="0"/>
          <w:numId w:val="9"/>
        </w:numPr>
        <w:spacing w:line="360" w:lineRule="auto"/>
        <w:jc w:val="both"/>
        <w:rPr>
          <w:rFonts w:ascii="Arial" w:hAnsi="Arial" w:cs="Arial"/>
        </w:rPr>
      </w:pPr>
      <w:r w:rsidRPr="009414E8">
        <w:rPr>
          <w:rStyle w:val="Strong"/>
          <w:rFonts w:ascii="Arial" w:hAnsi="Arial" w:cs="Arial"/>
        </w:rPr>
        <w:t>Job Embeddedness (Mitchell et al., 2001):</w:t>
      </w:r>
      <w:r w:rsidRPr="009414E8">
        <w:rPr>
          <w:rFonts w:ascii="Arial" w:hAnsi="Arial" w:cs="Arial"/>
        </w:rPr>
        <w:t xml:space="preserve"> Clear pathways and coaching strengthen fit, links and sacrifice.</w:t>
      </w:r>
    </w:p>
    <w:p w:rsidR="009414E8" w:rsidRPr="009414E8" w:rsidRDefault="009414E8" w:rsidP="009414E8">
      <w:pPr>
        <w:pStyle w:val="NormalWeb"/>
        <w:numPr>
          <w:ilvl w:val="0"/>
          <w:numId w:val="9"/>
        </w:numPr>
        <w:spacing w:line="360" w:lineRule="auto"/>
        <w:jc w:val="both"/>
        <w:rPr>
          <w:rFonts w:ascii="Arial" w:hAnsi="Arial" w:cs="Arial"/>
        </w:rPr>
      </w:pPr>
      <w:r w:rsidRPr="009414E8">
        <w:rPr>
          <w:rStyle w:val="Strong"/>
          <w:rFonts w:ascii="Arial" w:hAnsi="Arial" w:cs="Arial"/>
        </w:rPr>
        <w:t>Ulrich et al. (2008):</w:t>
      </w:r>
      <w:r w:rsidRPr="009414E8">
        <w:rPr>
          <w:rFonts w:ascii="Arial" w:hAnsi="Arial" w:cs="Arial"/>
        </w:rPr>
        <w:t xml:space="preserve"> Leadership competencies embedded into coaching and development.</w:t>
      </w:r>
    </w:p>
    <w:p w:rsidR="009414E8" w:rsidRPr="009414E8" w:rsidRDefault="009414E8" w:rsidP="009414E8">
      <w:pPr>
        <w:pStyle w:val="Heading1"/>
        <w:spacing w:line="360" w:lineRule="auto"/>
        <w:jc w:val="both"/>
        <w:rPr>
          <w:sz w:val="24"/>
          <w:szCs w:val="24"/>
        </w:rPr>
      </w:pPr>
      <w:bookmarkStart w:id="60" w:name="_Toc242826848"/>
      <w:bookmarkStart w:id="61" w:name="_Toc242827580"/>
      <w:r w:rsidRPr="009414E8">
        <w:rPr>
          <w:rStyle w:val="Strong"/>
          <w:b/>
          <w:bCs/>
          <w:sz w:val="24"/>
          <w:szCs w:val="24"/>
        </w:rPr>
        <w:t>Appendix D: Expanded Capability Development Plan</w:t>
      </w:r>
      <w:bookmarkEnd w:id="60"/>
      <w:bookmarkEnd w:id="61"/>
    </w:p>
    <w:p w:rsidR="009414E8" w:rsidRPr="009414E8" w:rsidRDefault="009414E8" w:rsidP="009414E8">
      <w:pPr>
        <w:pStyle w:val="NormalWeb"/>
        <w:spacing w:line="360" w:lineRule="auto"/>
        <w:jc w:val="both"/>
        <w:rPr>
          <w:rFonts w:ascii="Arial" w:hAnsi="Arial" w:cs="Arial"/>
        </w:rPr>
      </w:pPr>
      <w:r w:rsidRPr="009414E8">
        <w:rPr>
          <w:rFonts w:ascii="Arial" w:hAnsi="Arial" w:cs="Arial"/>
        </w:rPr>
        <w:lastRenderedPageBreak/>
        <w:t xml:space="preserve">This appendix deepens Task C by showing how your personal development aligns with </w:t>
      </w:r>
      <w:proofErr w:type="spellStart"/>
      <w:r w:rsidRPr="009414E8">
        <w:rPr>
          <w:rFonts w:ascii="Arial" w:hAnsi="Arial" w:cs="Arial"/>
        </w:rPr>
        <w:t>NexSpace’s</w:t>
      </w:r>
      <w:proofErr w:type="spellEnd"/>
      <w:r w:rsidRPr="009414E8">
        <w:rPr>
          <w:rFonts w:ascii="Arial" w:hAnsi="Arial" w:cs="Arial"/>
        </w:rPr>
        <w:t xml:space="preserve"> transformation.</w:t>
      </w:r>
    </w:p>
    <w:p w:rsidR="009414E8" w:rsidRPr="009414E8" w:rsidRDefault="009414E8" w:rsidP="009414E8">
      <w:pPr>
        <w:pStyle w:val="Heading3"/>
        <w:spacing w:line="360" w:lineRule="auto"/>
        <w:jc w:val="both"/>
      </w:pPr>
      <w:bookmarkStart w:id="62" w:name="_Toc242826849"/>
      <w:bookmarkStart w:id="63" w:name="_Toc242827581"/>
      <w:r w:rsidRPr="009414E8">
        <w:rPr>
          <w:rStyle w:val="Strong"/>
          <w:b/>
          <w:bCs/>
        </w:rPr>
        <w:t>Capability Area 1: Ethical AI &amp; People Analytics</w:t>
      </w:r>
      <w:bookmarkEnd w:id="62"/>
      <w:bookmarkEnd w:id="63"/>
    </w:p>
    <w:p w:rsidR="009414E8" w:rsidRPr="009414E8" w:rsidRDefault="009414E8" w:rsidP="009414E8">
      <w:pPr>
        <w:pStyle w:val="NormalWeb"/>
        <w:numPr>
          <w:ilvl w:val="0"/>
          <w:numId w:val="10"/>
        </w:numPr>
        <w:spacing w:line="360" w:lineRule="auto"/>
        <w:jc w:val="both"/>
        <w:rPr>
          <w:rFonts w:ascii="Arial" w:hAnsi="Arial" w:cs="Arial"/>
        </w:rPr>
      </w:pPr>
      <w:r w:rsidRPr="009414E8">
        <w:rPr>
          <w:rFonts w:ascii="Arial" w:hAnsi="Arial" w:cs="Arial"/>
        </w:rPr>
        <w:t>Complete courses on algorithmic fairness, bias mitigation and HR analytics.</w:t>
      </w:r>
    </w:p>
    <w:p w:rsidR="009414E8" w:rsidRPr="009414E8" w:rsidRDefault="009414E8" w:rsidP="009414E8">
      <w:pPr>
        <w:pStyle w:val="NormalWeb"/>
        <w:numPr>
          <w:ilvl w:val="0"/>
          <w:numId w:val="10"/>
        </w:numPr>
        <w:spacing w:line="360" w:lineRule="auto"/>
        <w:jc w:val="both"/>
        <w:rPr>
          <w:rFonts w:ascii="Arial" w:hAnsi="Arial" w:cs="Arial"/>
        </w:rPr>
      </w:pPr>
      <w:r w:rsidRPr="009414E8">
        <w:rPr>
          <w:rFonts w:ascii="Arial" w:hAnsi="Arial" w:cs="Arial"/>
        </w:rPr>
        <w:t>Apply learning through small projects analysing workload, burnout and mobility patterns.</w:t>
      </w:r>
    </w:p>
    <w:p w:rsidR="009414E8" w:rsidRPr="009414E8" w:rsidRDefault="009414E8" w:rsidP="009414E8">
      <w:pPr>
        <w:pStyle w:val="NormalWeb"/>
        <w:numPr>
          <w:ilvl w:val="0"/>
          <w:numId w:val="10"/>
        </w:numPr>
        <w:spacing w:line="360" w:lineRule="auto"/>
        <w:jc w:val="both"/>
        <w:rPr>
          <w:rFonts w:ascii="Arial" w:hAnsi="Arial" w:cs="Arial"/>
        </w:rPr>
      </w:pPr>
      <w:r w:rsidRPr="009414E8">
        <w:rPr>
          <w:rFonts w:ascii="Arial" w:hAnsi="Arial" w:cs="Arial"/>
        </w:rPr>
        <w:t>Shadow data governance meetings to understand regulatory constraints.</w:t>
      </w:r>
    </w:p>
    <w:p w:rsidR="009414E8" w:rsidRPr="009414E8" w:rsidRDefault="009414E8" w:rsidP="009414E8">
      <w:pPr>
        <w:pStyle w:val="Heading3"/>
        <w:spacing w:line="360" w:lineRule="auto"/>
        <w:jc w:val="both"/>
      </w:pPr>
      <w:bookmarkStart w:id="64" w:name="_Toc242826850"/>
      <w:bookmarkStart w:id="65" w:name="_Toc242827582"/>
      <w:r w:rsidRPr="009414E8">
        <w:rPr>
          <w:rStyle w:val="Strong"/>
          <w:b/>
          <w:bCs/>
        </w:rPr>
        <w:t>Capability Area 2: Strategic HR &amp; Organisational Design</w:t>
      </w:r>
      <w:bookmarkEnd w:id="64"/>
      <w:bookmarkEnd w:id="65"/>
    </w:p>
    <w:p w:rsidR="009414E8" w:rsidRPr="009414E8" w:rsidRDefault="009414E8" w:rsidP="009414E8">
      <w:pPr>
        <w:pStyle w:val="NormalWeb"/>
        <w:numPr>
          <w:ilvl w:val="0"/>
          <w:numId w:val="11"/>
        </w:numPr>
        <w:spacing w:line="360" w:lineRule="auto"/>
        <w:jc w:val="both"/>
        <w:rPr>
          <w:rFonts w:ascii="Arial" w:hAnsi="Arial" w:cs="Arial"/>
        </w:rPr>
      </w:pPr>
      <w:r w:rsidRPr="009414E8">
        <w:rPr>
          <w:rFonts w:ascii="Arial" w:hAnsi="Arial" w:cs="Arial"/>
        </w:rPr>
        <w:t>Study agile HR, sociotechnical systems and ambidexterity.</w:t>
      </w:r>
    </w:p>
    <w:p w:rsidR="009414E8" w:rsidRPr="009414E8" w:rsidRDefault="009414E8" w:rsidP="009414E8">
      <w:pPr>
        <w:pStyle w:val="NormalWeb"/>
        <w:numPr>
          <w:ilvl w:val="0"/>
          <w:numId w:val="11"/>
        </w:numPr>
        <w:spacing w:line="360" w:lineRule="auto"/>
        <w:jc w:val="both"/>
        <w:rPr>
          <w:rFonts w:ascii="Arial" w:hAnsi="Arial" w:cs="Arial"/>
        </w:rPr>
      </w:pPr>
      <w:r w:rsidRPr="009414E8">
        <w:rPr>
          <w:rFonts w:ascii="Arial" w:hAnsi="Arial" w:cs="Arial"/>
        </w:rPr>
        <w:t>Participate in cross-functional pods to experience organic structures.</w:t>
      </w:r>
    </w:p>
    <w:p w:rsidR="009414E8" w:rsidRPr="009414E8" w:rsidRDefault="009414E8" w:rsidP="009414E8">
      <w:pPr>
        <w:pStyle w:val="NormalWeb"/>
        <w:numPr>
          <w:ilvl w:val="0"/>
          <w:numId w:val="11"/>
        </w:numPr>
        <w:spacing w:line="360" w:lineRule="auto"/>
        <w:jc w:val="both"/>
        <w:rPr>
          <w:rFonts w:ascii="Arial" w:hAnsi="Arial" w:cs="Arial"/>
        </w:rPr>
      </w:pPr>
      <w:r w:rsidRPr="009414E8">
        <w:rPr>
          <w:rFonts w:ascii="Arial" w:hAnsi="Arial" w:cs="Arial"/>
        </w:rPr>
        <w:t>Lead a mini-project redesigning a workflow using JD</w:t>
      </w:r>
      <w:r w:rsidRPr="009414E8">
        <w:rPr>
          <w:rFonts w:ascii="Arial" w:hAnsi="Arial" w:cs="Arial"/>
        </w:rPr>
        <w:noBreakHyphen/>
        <w:t>R and SDT principles.</w:t>
      </w:r>
    </w:p>
    <w:p w:rsidR="009414E8" w:rsidRPr="009414E8" w:rsidRDefault="009414E8" w:rsidP="009414E8">
      <w:pPr>
        <w:pStyle w:val="Heading3"/>
        <w:spacing w:line="360" w:lineRule="auto"/>
        <w:jc w:val="both"/>
      </w:pPr>
      <w:bookmarkStart w:id="66" w:name="_Toc242826851"/>
      <w:bookmarkStart w:id="67" w:name="_Toc242827583"/>
      <w:r w:rsidRPr="009414E8">
        <w:rPr>
          <w:rStyle w:val="Strong"/>
          <w:b/>
          <w:bCs/>
        </w:rPr>
        <w:t>Capability Area 3: Human-Centred Leadership</w:t>
      </w:r>
      <w:bookmarkEnd w:id="66"/>
      <w:bookmarkEnd w:id="67"/>
    </w:p>
    <w:p w:rsidR="009414E8" w:rsidRPr="009414E8" w:rsidRDefault="009414E8" w:rsidP="009414E8">
      <w:pPr>
        <w:pStyle w:val="NormalWeb"/>
        <w:numPr>
          <w:ilvl w:val="0"/>
          <w:numId w:val="12"/>
        </w:numPr>
        <w:spacing w:line="360" w:lineRule="auto"/>
        <w:jc w:val="both"/>
        <w:rPr>
          <w:rFonts w:ascii="Arial" w:hAnsi="Arial" w:cs="Arial"/>
        </w:rPr>
      </w:pPr>
      <w:r w:rsidRPr="009414E8">
        <w:rPr>
          <w:rFonts w:ascii="Arial" w:hAnsi="Arial" w:cs="Arial"/>
        </w:rPr>
        <w:t>Train in coaching (Whitmore, 2017), psychological safety and reflective practice.</w:t>
      </w:r>
    </w:p>
    <w:p w:rsidR="009414E8" w:rsidRPr="009414E8" w:rsidRDefault="009414E8" w:rsidP="009414E8">
      <w:pPr>
        <w:pStyle w:val="NormalWeb"/>
        <w:numPr>
          <w:ilvl w:val="0"/>
          <w:numId w:val="12"/>
        </w:numPr>
        <w:spacing w:line="360" w:lineRule="auto"/>
        <w:jc w:val="both"/>
        <w:rPr>
          <w:rFonts w:ascii="Arial" w:hAnsi="Arial" w:cs="Arial"/>
        </w:rPr>
      </w:pPr>
      <w:r w:rsidRPr="009414E8">
        <w:rPr>
          <w:rFonts w:ascii="Arial" w:hAnsi="Arial" w:cs="Arial"/>
        </w:rPr>
        <w:t>Facilitate retrospectives and learning sprints.</w:t>
      </w:r>
    </w:p>
    <w:p w:rsidR="009414E8" w:rsidRPr="009414E8" w:rsidRDefault="009414E8" w:rsidP="009414E8">
      <w:pPr>
        <w:pStyle w:val="NormalWeb"/>
        <w:numPr>
          <w:ilvl w:val="0"/>
          <w:numId w:val="12"/>
        </w:numPr>
        <w:spacing w:line="360" w:lineRule="auto"/>
        <w:jc w:val="both"/>
        <w:rPr>
          <w:rFonts w:ascii="Arial" w:hAnsi="Arial" w:cs="Arial"/>
        </w:rPr>
      </w:pPr>
      <w:r w:rsidRPr="009414E8">
        <w:rPr>
          <w:rFonts w:ascii="Arial" w:hAnsi="Arial" w:cs="Arial"/>
        </w:rPr>
        <w:t>Build competence in conflict resolution and c</w:t>
      </w:r>
      <w:r>
        <w:rPr>
          <w:rFonts w:ascii="Arial" w:hAnsi="Arial" w:cs="Arial"/>
        </w:rPr>
        <w:t>ross-cultural communication (UK-India-</w:t>
      </w:r>
      <w:r w:rsidRPr="009414E8">
        <w:rPr>
          <w:rFonts w:ascii="Arial" w:hAnsi="Arial" w:cs="Arial"/>
        </w:rPr>
        <w:t>UAE).</w:t>
      </w:r>
    </w:p>
    <w:p w:rsidR="00BE61A2" w:rsidRDefault="00BE61A2" w:rsidP="009414E8">
      <w:pPr>
        <w:spacing w:after="120" w:line="360" w:lineRule="auto"/>
        <w:jc w:val="both"/>
      </w:pPr>
    </w:p>
    <w:sectPr w:rsidR="00BE61A2">
      <w:headerReference w:type="default" r:id="rId16"/>
      <w:footerReference w:type="default" r:id="rId17"/>
      <w:pgSz w:w="11906" w:h="16838"/>
      <w:pgMar w:top="1080" w:right="1080" w:bottom="1080" w:left="1080" w:header="708" w:footer="708"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53441" w:rsidRDefault="00153441">
      <w:r>
        <w:separator/>
      </w:r>
    </w:p>
  </w:endnote>
  <w:endnote w:type="continuationSeparator" w:id="0">
    <w:p w:rsidR="00153441" w:rsidRDefault="001534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hruti">
    <w:altName w:val="Cambria Math"/>
    <w:panose1 w:val="02000500000000000000"/>
    <w:charset w:val="01"/>
    <w:family w:val="roman"/>
    <w:notTrueType/>
    <w:pitch w:val="variable"/>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4BF0" w:rsidRDefault="00A84BF0">
    <w:pPr>
      <w:jc w:val="right"/>
    </w:pPr>
    <w:r>
      <w:rPr>
        <w:rFonts w:cs="Arial"/>
        <w:color w:val="808080"/>
        <w:sz w:val="16"/>
        <w:szCs w:val="16"/>
      </w:rPr>
      <w:t xml:space="preserve">Page </w:t>
    </w:r>
    <w:r>
      <w:rPr>
        <w:rFonts w:cs="Arial"/>
        <w:color w:val="808080"/>
        <w:sz w:val="16"/>
        <w:szCs w:val="16"/>
      </w:rPr>
      <w:fldChar w:fldCharType="begin"/>
    </w:r>
    <w:r>
      <w:rPr>
        <w:rFonts w:cs="Arial"/>
        <w:color w:val="808080"/>
        <w:sz w:val="16"/>
        <w:szCs w:val="16"/>
      </w:rPr>
      <w:instrText>PAGE</w:instrText>
    </w:r>
    <w:r>
      <w:rPr>
        <w:rFonts w:cs="Arial"/>
        <w:color w:val="808080"/>
        <w:sz w:val="16"/>
        <w:szCs w:val="16"/>
      </w:rPr>
      <w:fldChar w:fldCharType="separate"/>
    </w:r>
    <w:r w:rsidR="00490B0E">
      <w:rPr>
        <w:rFonts w:cs="Arial"/>
        <w:noProof/>
        <w:color w:val="808080"/>
        <w:sz w:val="16"/>
        <w:szCs w:val="16"/>
      </w:rPr>
      <w:t>20</w:t>
    </w:r>
    <w:r>
      <w:rPr>
        <w:rFonts w:cs="Arial"/>
        <w:color w:val="808080"/>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53441" w:rsidRDefault="00153441">
      <w:r>
        <w:separator/>
      </w:r>
    </w:p>
  </w:footnote>
  <w:footnote w:type="continuationSeparator" w:id="0">
    <w:p w:rsidR="00153441" w:rsidRDefault="001534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4BF0" w:rsidRDefault="00A84BF0">
    <w:pPr>
      <w:pBdr>
        <w:bottom w:val="single" w:sz="4" w:space="2" w:color="2E5496"/>
      </w:pBdr>
    </w:pPr>
    <w:r>
      <w:rPr>
        <w:rFonts w:cs="Arial"/>
        <w:color w:val="2E5496"/>
        <w:sz w:val="16"/>
        <w:szCs w:val="16"/>
      </w:rPr>
      <w:t>Human Capital Management | Hetvi Patel</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54D1E"/>
    <w:multiLevelType w:val="multilevel"/>
    <w:tmpl w:val="8B721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8C5B5E"/>
    <w:multiLevelType w:val="multilevel"/>
    <w:tmpl w:val="D1403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5C0000"/>
    <w:multiLevelType w:val="hybridMultilevel"/>
    <w:tmpl w:val="4F283BDA"/>
    <w:lvl w:ilvl="0" w:tplc="695434AC">
      <w:start w:val="1"/>
      <w:numFmt w:val="bullet"/>
      <w:lvlText w:val="●"/>
      <w:lvlJc w:val="left"/>
      <w:pPr>
        <w:ind w:left="720" w:hanging="360"/>
      </w:pPr>
    </w:lvl>
    <w:lvl w:ilvl="1" w:tplc="11B6F8FE">
      <w:start w:val="1"/>
      <w:numFmt w:val="bullet"/>
      <w:lvlText w:val="○"/>
      <w:lvlJc w:val="left"/>
      <w:pPr>
        <w:ind w:left="1440" w:hanging="360"/>
      </w:pPr>
    </w:lvl>
    <w:lvl w:ilvl="2" w:tplc="B56C7450">
      <w:start w:val="1"/>
      <w:numFmt w:val="bullet"/>
      <w:lvlText w:val="■"/>
      <w:lvlJc w:val="left"/>
      <w:pPr>
        <w:ind w:left="2160" w:hanging="360"/>
      </w:pPr>
    </w:lvl>
    <w:lvl w:ilvl="3" w:tplc="9F9EE5B0">
      <w:start w:val="1"/>
      <w:numFmt w:val="bullet"/>
      <w:lvlText w:val="●"/>
      <w:lvlJc w:val="left"/>
      <w:pPr>
        <w:ind w:left="2880" w:hanging="360"/>
      </w:pPr>
    </w:lvl>
    <w:lvl w:ilvl="4" w:tplc="0ED455FC">
      <w:start w:val="1"/>
      <w:numFmt w:val="bullet"/>
      <w:lvlText w:val="○"/>
      <w:lvlJc w:val="left"/>
      <w:pPr>
        <w:ind w:left="3600" w:hanging="360"/>
      </w:pPr>
    </w:lvl>
    <w:lvl w:ilvl="5" w:tplc="3BE631DC">
      <w:start w:val="1"/>
      <w:numFmt w:val="bullet"/>
      <w:lvlText w:val="■"/>
      <w:lvlJc w:val="left"/>
      <w:pPr>
        <w:ind w:left="4320" w:hanging="360"/>
      </w:pPr>
    </w:lvl>
    <w:lvl w:ilvl="6" w:tplc="4D32E020">
      <w:start w:val="1"/>
      <w:numFmt w:val="bullet"/>
      <w:lvlText w:val="●"/>
      <w:lvlJc w:val="left"/>
      <w:pPr>
        <w:ind w:left="5040" w:hanging="360"/>
      </w:pPr>
    </w:lvl>
    <w:lvl w:ilvl="7" w:tplc="C75EEB64">
      <w:start w:val="1"/>
      <w:numFmt w:val="bullet"/>
      <w:lvlText w:val="●"/>
      <w:lvlJc w:val="left"/>
      <w:pPr>
        <w:ind w:left="5760" w:hanging="360"/>
      </w:pPr>
    </w:lvl>
    <w:lvl w:ilvl="8" w:tplc="E962E40C">
      <w:start w:val="1"/>
      <w:numFmt w:val="bullet"/>
      <w:lvlText w:val="●"/>
      <w:lvlJc w:val="left"/>
      <w:pPr>
        <w:ind w:left="6480" w:hanging="360"/>
      </w:pPr>
    </w:lvl>
  </w:abstractNum>
  <w:abstractNum w:abstractNumId="3" w15:restartNumberingAfterBreak="0">
    <w:nsid w:val="329427AE"/>
    <w:multiLevelType w:val="multilevel"/>
    <w:tmpl w:val="EA58D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AF34BCF"/>
    <w:multiLevelType w:val="multilevel"/>
    <w:tmpl w:val="ECE25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D551409"/>
    <w:multiLevelType w:val="multilevel"/>
    <w:tmpl w:val="B3C4E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0A2576C"/>
    <w:multiLevelType w:val="multilevel"/>
    <w:tmpl w:val="19D20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5E525BE"/>
    <w:multiLevelType w:val="hybridMultilevel"/>
    <w:tmpl w:val="21A4EA5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48744282"/>
    <w:multiLevelType w:val="hybridMultilevel"/>
    <w:tmpl w:val="4A642D8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53E95210"/>
    <w:multiLevelType w:val="multilevel"/>
    <w:tmpl w:val="07769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D7D5827"/>
    <w:multiLevelType w:val="multilevel"/>
    <w:tmpl w:val="498AC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D6307A3"/>
    <w:multiLevelType w:val="hybridMultilevel"/>
    <w:tmpl w:val="650C0E2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2"/>
    <w:lvlOverride w:ilvl="0">
      <w:startOverride w:val="1"/>
    </w:lvlOverride>
  </w:num>
  <w:num w:numId="2">
    <w:abstractNumId w:val="7"/>
  </w:num>
  <w:num w:numId="3">
    <w:abstractNumId w:val="8"/>
  </w:num>
  <w:num w:numId="4">
    <w:abstractNumId w:val="11"/>
  </w:num>
  <w:num w:numId="5">
    <w:abstractNumId w:val="9"/>
  </w:num>
  <w:num w:numId="6">
    <w:abstractNumId w:val="4"/>
  </w:num>
  <w:num w:numId="7">
    <w:abstractNumId w:val="1"/>
  </w:num>
  <w:num w:numId="8">
    <w:abstractNumId w:val="0"/>
  </w:num>
  <w:num w:numId="9">
    <w:abstractNumId w:val="5"/>
  </w:num>
  <w:num w:numId="10">
    <w:abstractNumId w:val="6"/>
  </w:num>
  <w:num w:numId="11">
    <w:abstractNumId w:val="10"/>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61A2"/>
    <w:rsid w:val="00026B68"/>
    <w:rsid w:val="00153441"/>
    <w:rsid w:val="00184162"/>
    <w:rsid w:val="001D0E07"/>
    <w:rsid w:val="001F0D37"/>
    <w:rsid w:val="00256938"/>
    <w:rsid w:val="002D5962"/>
    <w:rsid w:val="002E7B18"/>
    <w:rsid w:val="003B5766"/>
    <w:rsid w:val="00482B57"/>
    <w:rsid w:val="00490B0E"/>
    <w:rsid w:val="004C6F54"/>
    <w:rsid w:val="004F4D11"/>
    <w:rsid w:val="005737E3"/>
    <w:rsid w:val="005F6075"/>
    <w:rsid w:val="00704555"/>
    <w:rsid w:val="00714738"/>
    <w:rsid w:val="00765C04"/>
    <w:rsid w:val="00772EAD"/>
    <w:rsid w:val="007B5630"/>
    <w:rsid w:val="007D2969"/>
    <w:rsid w:val="008A7407"/>
    <w:rsid w:val="0092407E"/>
    <w:rsid w:val="009414E8"/>
    <w:rsid w:val="00A84BF0"/>
    <w:rsid w:val="00AC3701"/>
    <w:rsid w:val="00B44D7A"/>
    <w:rsid w:val="00B57F7C"/>
    <w:rsid w:val="00BE61A2"/>
    <w:rsid w:val="00BF562C"/>
    <w:rsid w:val="00C16CD6"/>
    <w:rsid w:val="00C26D19"/>
    <w:rsid w:val="00C7230C"/>
    <w:rsid w:val="00C832F7"/>
    <w:rsid w:val="00CB4A59"/>
    <w:rsid w:val="00CE2E39"/>
    <w:rsid w:val="00D648F4"/>
    <w:rsid w:val="00DA1EFE"/>
    <w:rsid w:val="00E909C5"/>
    <w:rsid w:val="00EA16D2"/>
    <w:rsid w:val="00EA7452"/>
    <w:rsid w:val="00F15232"/>
    <w:rsid w:val="00F220A2"/>
    <w:rsid w:val="00F24761"/>
    <w:rsid w:val="00F90220"/>
    <w:rsid w:val="00FB3829"/>
    <w:rsid w:val="00FD5663"/>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3A21C4C-1FD8-4721-B053-5D2697DA6D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4"/>
        <w:szCs w:val="24"/>
        <w:lang w:val="en-IN" w:eastAsia="en-IN" w:bidi="gu-IN"/>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7407"/>
    <w:rPr>
      <w:rFonts w:cs="Shruti"/>
    </w:rPr>
  </w:style>
  <w:style w:type="paragraph" w:styleId="Heading1">
    <w:name w:val="heading 1"/>
    <w:qFormat/>
    <w:pPr>
      <w:outlineLvl w:val="0"/>
    </w:pPr>
    <w:rPr>
      <w:b/>
      <w:bCs/>
      <w:color w:val="1F3864"/>
      <w:sz w:val="28"/>
      <w:szCs w:val="28"/>
    </w:rPr>
  </w:style>
  <w:style w:type="paragraph" w:styleId="Heading2">
    <w:name w:val="heading 2"/>
    <w:qFormat/>
    <w:pPr>
      <w:outlineLvl w:val="1"/>
    </w:pPr>
    <w:rPr>
      <w:b/>
      <w:bCs/>
      <w:color w:val="2E5496"/>
    </w:rPr>
  </w:style>
  <w:style w:type="paragraph" w:styleId="Heading3">
    <w:name w:val="heading 3"/>
    <w:link w:val="Heading3Char"/>
    <w:qFormat/>
    <w:pPr>
      <w:outlineLvl w:val="2"/>
    </w:pPr>
    <w:rPr>
      <w:b/>
      <w:bCs/>
      <w:color w:val="1F4D78"/>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character" w:styleId="Strong">
    <w:name w:val="Strong"/>
    <w:basedOn w:val="DefaultParagraphFont"/>
    <w:uiPriority w:val="22"/>
    <w:qFormat/>
    <w:rsid w:val="00D648F4"/>
    <w:rPr>
      <w:b/>
      <w:bCs/>
    </w:rPr>
  </w:style>
  <w:style w:type="paragraph" w:styleId="NormalWeb">
    <w:name w:val="Normal (Web)"/>
    <w:basedOn w:val="Normal"/>
    <w:uiPriority w:val="99"/>
    <w:unhideWhenUsed/>
    <w:rsid w:val="00FB3829"/>
    <w:pPr>
      <w:spacing w:before="100" w:beforeAutospacing="1" w:after="100" w:afterAutospacing="1"/>
    </w:pPr>
    <w:rPr>
      <w:rFonts w:ascii="Times New Roman" w:eastAsia="Times New Roman" w:hAnsi="Times New Roman" w:cs="Times New Roman"/>
    </w:rPr>
  </w:style>
  <w:style w:type="character" w:customStyle="1" w:styleId="Heading3Char">
    <w:name w:val="Heading 3 Char"/>
    <w:basedOn w:val="DefaultParagraphFont"/>
    <w:link w:val="Heading3"/>
    <w:rsid w:val="00026B68"/>
    <w:rPr>
      <w:b/>
      <w:bCs/>
      <w:color w:val="1F4D78"/>
    </w:rPr>
  </w:style>
  <w:style w:type="character" w:styleId="Emphasis">
    <w:name w:val="Emphasis"/>
    <w:basedOn w:val="DefaultParagraphFont"/>
    <w:uiPriority w:val="20"/>
    <w:qFormat/>
    <w:rsid w:val="008A7407"/>
    <w:rPr>
      <w:i/>
      <w:iCs/>
    </w:rPr>
  </w:style>
  <w:style w:type="paragraph" w:styleId="Header">
    <w:name w:val="header"/>
    <w:basedOn w:val="Normal"/>
    <w:link w:val="HeaderChar"/>
    <w:uiPriority w:val="99"/>
    <w:unhideWhenUsed/>
    <w:rsid w:val="002E7B18"/>
    <w:pPr>
      <w:tabs>
        <w:tab w:val="center" w:pos="4513"/>
        <w:tab w:val="right" w:pos="9026"/>
      </w:tabs>
    </w:pPr>
  </w:style>
  <w:style w:type="character" w:customStyle="1" w:styleId="HeaderChar">
    <w:name w:val="Header Char"/>
    <w:basedOn w:val="DefaultParagraphFont"/>
    <w:link w:val="Header"/>
    <w:uiPriority w:val="99"/>
    <w:rsid w:val="002E7B18"/>
    <w:rPr>
      <w:rFonts w:cs="Shruti"/>
    </w:rPr>
  </w:style>
  <w:style w:type="paragraph" w:styleId="Footer">
    <w:name w:val="footer"/>
    <w:basedOn w:val="Normal"/>
    <w:link w:val="FooterChar"/>
    <w:uiPriority w:val="99"/>
    <w:unhideWhenUsed/>
    <w:rsid w:val="002E7B18"/>
    <w:pPr>
      <w:tabs>
        <w:tab w:val="center" w:pos="4513"/>
        <w:tab w:val="right" w:pos="9026"/>
      </w:tabs>
    </w:pPr>
  </w:style>
  <w:style w:type="character" w:customStyle="1" w:styleId="FooterChar">
    <w:name w:val="Footer Char"/>
    <w:basedOn w:val="DefaultParagraphFont"/>
    <w:link w:val="Footer"/>
    <w:uiPriority w:val="99"/>
    <w:rsid w:val="002E7B18"/>
    <w:rPr>
      <w:rFonts w:cs="Shruti"/>
    </w:rPr>
  </w:style>
  <w:style w:type="paragraph" w:styleId="TOCHeading">
    <w:name w:val="TOC Heading"/>
    <w:basedOn w:val="Heading1"/>
    <w:next w:val="Normal"/>
    <w:uiPriority w:val="39"/>
    <w:unhideWhenUsed/>
    <w:qFormat/>
    <w:rsid w:val="00A84BF0"/>
    <w:pPr>
      <w:keepNext/>
      <w:keepLines/>
      <w:spacing w:before="240" w:line="259" w:lineRule="auto"/>
      <w:outlineLvl w:val="9"/>
    </w:pPr>
    <w:rPr>
      <w:rFonts w:asciiTheme="majorHAnsi" w:eastAsiaTheme="majorEastAsia" w:hAnsiTheme="majorHAnsi" w:cstheme="majorBidi"/>
      <w:b w:val="0"/>
      <w:bCs w:val="0"/>
      <w:color w:val="2E74B5" w:themeColor="accent1" w:themeShade="BF"/>
      <w:sz w:val="32"/>
      <w:szCs w:val="32"/>
      <w:lang w:val="en-US" w:eastAsia="en-US" w:bidi="ar-SA"/>
    </w:rPr>
  </w:style>
  <w:style w:type="paragraph" w:styleId="TOC1">
    <w:name w:val="toc 1"/>
    <w:basedOn w:val="Normal"/>
    <w:next w:val="Normal"/>
    <w:autoRedefine/>
    <w:uiPriority w:val="39"/>
    <w:unhideWhenUsed/>
    <w:rsid w:val="00A84BF0"/>
    <w:pPr>
      <w:spacing w:after="100"/>
    </w:pPr>
  </w:style>
  <w:style w:type="paragraph" w:styleId="TOC2">
    <w:name w:val="toc 2"/>
    <w:basedOn w:val="Normal"/>
    <w:next w:val="Normal"/>
    <w:autoRedefine/>
    <w:uiPriority w:val="39"/>
    <w:unhideWhenUsed/>
    <w:rsid w:val="005F6075"/>
    <w:pPr>
      <w:tabs>
        <w:tab w:val="right" w:leader="dot" w:pos="9736"/>
      </w:tabs>
      <w:spacing w:after="100" w:line="360" w:lineRule="auto"/>
      <w:ind w:left="240"/>
    </w:pPr>
  </w:style>
  <w:style w:type="paragraph" w:styleId="TOC3">
    <w:name w:val="toc 3"/>
    <w:basedOn w:val="Normal"/>
    <w:next w:val="Normal"/>
    <w:autoRedefine/>
    <w:uiPriority w:val="39"/>
    <w:unhideWhenUsed/>
    <w:rsid w:val="00A84BF0"/>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06172">
      <w:bodyDiv w:val="1"/>
      <w:marLeft w:val="0"/>
      <w:marRight w:val="0"/>
      <w:marTop w:val="0"/>
      <w:marBottom w:val="0"/>
      <w:divBdr>
        <w:top w:val="none" w:sz="0" w:space="0" w:color="auto"/>
        <w:left w:val="none" w:sz="0" w:space="0" w:color="auto"/>
        <w:bottom w:val="none" w:sz="0" w:space="0" w:color="auto"/>
        <w:right w:val="none" w:sz="0" w:space="0" w:color="auto"/>
      </w:divBdr>
    </w:div>
    <w:div w:id="28801151">
      <w:bodyDiv w:val="1"/>
      <w:marLeft w:val="0"/>
      <w:marRight w:val="0"/>
      <w:marTop w:val="0"/>
      <w:marBottom w:val="0"/>
      <w:divBdr>
        <w:top w:val="none" w:sz="0" w:space="0" w:color="auto"/>
        <w:left w:val="none" w:sz="0" w:space="0" w:color="auto"/>
        <w:bottom w:val="none" w:sz="0" w:space="0" w:color="auto"/>
        <w:right w:val="none" w:sz="0" w:space="0" w:color="auto"/>
      </w:divBdr>
      <w:divsChild>
        <w:div w:id="816534352">
          <w:marLeft w:val="0"/>
          <w:marRight w:val="0"/>
          <w:marTop w:val="0"/>
          <w:marBottom w:val="0"/>
          <w:divBdr>
            <w:top w:val="none" w:sz="0" w:space="0" w:color="auto"/>
            <w:left w:val="none" w:sz="0" w:space="0" w:color="auto"/>
            <w:bottom w:val="none" w:sz="0" w:space="0" w:color="auto"/>
            <w:right w:val="none" w:sz="0" w:space="0" w:color="auto"/>
          </w:divBdr>
          <w:divsChild>
            <w:div w:id="878591382">
              <w:marLeft w:val="0"/>
              <w:marRight w:val="0"/>
              <w:marTop w:val="0"/>
              <w:marBottom w:val="0"/>
              <w:divBdr>
                <w:top w:val="none" w:sz="0" w:space="0" w:color="auto"/>
                <w:left w:val="none" w:sz="0" w:space="0" w:color="auto"/>
                <w:bottom w:val="none" w:sz="0" w:space="0" w:color="auto"/>
                <w:right w:val="none" w:sz="0" w:space="0" w:color="auto"/>
              </w:divBdr>
              <w:divsChild>
                <w:div w:id="1815875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497086">
      <w:bodyDiv w:val="1"/>
      <w:marLeft w:val="0"/>
      <w:marRight w:val="0"/>
      <w:marTop w:val="0"/>
      <w:marBottom w:val="0"/>
      <w:divBdr>
        <w:top w:val="none" w:sz="0" w:space="0" w:color="auto"/>
        <w:left w:val="none" w:sz="0" w:space="0" w:color="auto"/>
        <w:bottom w:val="none" w:sz="0" w:space="0" w:color="auto"/>
        <w:right w:val="none" w:sz="0" w:space="0" w:color="auto"/>
      </w:divBdr>
    </w:div>
    <w:div w:id="51275003">
      <w:bodyDiv w:val="1"/>
      <w:marLeft w:val="0"/>
      <w:marRight w:val="0"/>
      <w:marTop w:val="0"/>
      <w:marBottom w:val="0"/>
      <w:divBdr>
        <w:top w:val="none" w:sz="0" w:space="0" w:color="auto"/>
        <w:left w:val="none" w:sz="0" w:space="0" w:color="auto"/>
        <w:bottom w:val="none" w:sz="0" w:space="0" w:color="auto"/>
        <w:right w:val="none" w:sz="0" w:space="0" w:color="auto"/>
      </w:divBdr>
    </w:div>
    <w:div w:id="119883589">
      <w:bodyDiv w:val="1"/>
      <w:marLeft w:val="0"/>
      <w:marRight w:val="0"/>
      <w:marTop w:val="0"/>
      <w:marBottom w:val="0"/>
      <w:divBdr>
        <w:top w:val="none" w:sz="0" w:space="0" w:color="auto"/>
        <w:left w:val="none" w:sz="0" w:space="0" w:color="auto"/>
        <w:bottom w:val="none" w:sz="0" w:space="0" w:color="auto"/>
        <w:right w:val="none" w:sz="0" w:space="0" w:color="auto"/>
      </w:divBdr>
    </w:div>
    <w:div w:id="136577997">
      <w:bodyDiv w:val="1"/>
      <w:marLeft w:val="0"/>
      <w:marRight w:val="0"/>
      <w:marTop w:val="0"/>
      <w:marBottom w:val="0"/>
      <w:divBdr>
        <w:top w:val="none" w:sz="0" w:space="0" w:color="auto"/>
        <w:left w:val="none" w:sz="0" w:space="0" w:color="auto"/>
        <w:bottom w:val="none" w:sz="0" w:space="0" w:color="auto"/>
        <w:right w:val="none" w:sz="0" w:space="0" w:color="auto"/>
      </w:divBdr>
    </w:div>
    <w:div w:id="184442553">
      <w:bodyDiv w:val="1"/>
      <w:marLeft w:val="0"/>
      <w:marRight w:val="0"/>
      <w:marTop w:val="0"/>
      <w:marBottom w:val="0"/>
      <w:divBdr>
        <w:top w:val="none" w:sz="0" w:space="0" w:color="auto"/>
        <w:left w:val="none" w:sz="0" w:space="0" w:color="auto"/>
        <w:bottom w:val="none" w:sz="0" w:space="0" w:color="auto"/>
        <w:right w:val="none" w:sz="0" w:space="0" w:color="auto"/>
      </w:divBdr>
    </w:div>
    <w:div w:id="197664552">
      <w:bodyDiv w:val="1"/>
      <w:marLeft w:val="0"/>
      <w:marRight w:val="0"/>
      <w:marTop w:val="0"/>
      <w:marBottom w:val="0"/>
      <w:divBdr>
        <w:top w:val="none" w:sz="0" w:space="0" w:color="auto"/>
        <w:left w:val="none" w:sz="0" w:space="0" w:color="auto"/>
        <w:bottom w:val="none" w:sz="0" w:space="0" w:color="auto"/>
        <w:right w:val="none" w:sz="0" w:space="0" w:color="auto"/>
      </w:divBdr>
    </w:div>
    <w:div w:id="334040496">
      <w:bodyDiv w:val="1"/>
      <w:marLeft w:val="0"/>
      <w:marRight w:val="0"/>
      <w:marTop w:val="0"/>
      <w:marBottom w:val="0"/>
      <w:divBdr>
        <w:top w:val="none" w:sz="0" w:space="0" w:color="auto"/>
        <w:left w:val="none" w:sz="0" w:space="0" w:color="auto"/>
        <w:bottom w:val="none" w:sz="0" w:space="0" w:color="auto"/>
        <w:right w:val="none" w:sz="0" w:space="0" w:color="auto"/>
      </w:divBdr>
    </w:div>
    <w:div w:id="488062689">
      <w:bodyDiv w:val="1"/>
      <w:marLeft w:val="0"/>
      <w:marRight w:val="0"/>
      <w:marTop w:val="0"/>
      <w:marBottom w:val="0"/>
      <w:divBdr>
        <w:top w:val="none" w:sz="0" w:space="0" w:color="auto"/>
        <w:left w:val="none" w:sz="0" w:space="0" w:color="auto"/>
        <w:bottom w:val="none" w:sz="0" w:space="0" w:color="auto"/>
        <w:right w:val="none" w:sz="0" w:space="0" w:color="auto"/>
      </w:divBdr>
    </w:div>
    <w:div w:id="797527153">
      <w:bodyDiv w:val="1"/>
      <w:marLeft w:val="0"/>
      <w:marRight w:val="0"/>
      <w:marTop w:val="0"/>
      <w:marBottom w:val="0"/>
      <w:divBdr>
        <w:top w:val="none" w:sz="0" w:space="0" w:color="auto"/>
        <w:left w:val="none" w:sz="0" w:space="0" w:color="auto"/>
        <w:bottom w:val="none" w:sz="0" w:space="0" w:color="auto"/>
        <w:right w:val="none" w:sz="0" w:space="0" w:color="auto"/>
      </w:divBdr>
    </w:div>
    <w:div w:id="1017119888">
      <w:bodyDiv w:val="1"/>
      <w:marLeft w:val="0"/>
      <w:marRight w:val="0"/>
      <w:marTop w:val="0"/>
      <w:marBottom w:val="0"/>
      <w:divBdr>
        <w:top w:val="none" w:sz="0" w:space="0" w:color="auto"/>
        <w:left w:val="none" w:sz="0" w:space="0" w:color="auto"/>
        <w:bottom w:val="none" w:sz="0" w:space="0" w:color="auto"/>
        <w:right w:val="none" w:sz="0" w:space="0" w:color="auto"/>
      </w:divBdr>
    </w:div>
    <w:div w:id="1035234414">
      <w:bodyDiv w:val="1"/>
      <w:marLeft w:val="0"/>
      <w:marRight w:val="0"/>
      <w:marTop w:val="0"/>
      <w:marBottom w:val="0"/>
      <w:divBdr>
        <w:top w:val="none" w:sz="0" w:space="0" w:color="auto"/>
        <w:left w:val="none" w:sz="0" w:space="0" w:color="auto"/>
        <w:bottom w:val="none" w:sz="0" w:space="0" w:color="auto"/>
        <w:right w:val="none" w:sz="0" w:space="0" w:color="auto"/>
      </w:divBdr>
    </w:div>
    <w:div w:id="1199124349">
      <w:bodyDiv w:val="1"/>
      <w:marLeft w:val="0"/>
      <w:marRight w:val="0"/>
      <w:marTop w:val="0"/>
      <w:marBottom w:val="0"/>
      <w:divBdr>
        <w:top w:val="none" w:sz="0" w:space="0" w:color="auto"/>
        <w:left w:val="none" w:sz="0" w:space="0" w:color="auto"/>
        <w:bottom w:val="none" w:sz="0" w:space="0" w:color="auto"/>
        <w:right w:val="none" w:sz="0" w:space="0" w:color="auto"/>
      </w:divBdr>
    </w:div>
    <w:div w:id="1304197431">
      <w:bodyDiv w:val="1"/>
      <w:marLeft w:val="0"/>
      <w:marRight w:val="0"/>
      <w:marTop w:val="0"/>
      <w:marBottom w:val="0"/>
      <w:divBdr>
        <w:top w:val="none" w:sz="0" w:space="0" w:color="auto"/>
        <w:left w:val="none" w:sz="0" w:space="0" w:color="auto"/>
        <w:bottom w:val="none" w:sz="0" w:space="0" w:color="auto"/>
        <w:right w:val="none" w:sz="0" w:space="0" w:color="auto"/>
      </w:divBdr>
    </w:div>
    <w:div w:id="1541281931">
      <w:bodyDiv w:val="1"/>
      <w:marLeft w:val="0"/>
      <w:marRight w:val="0"/>
      <w:marTop w:val="0"/>
      <w:marBottom w:val="0"/>
      <w:divBdr>
        <w:top w:val="none" w:sz="0" w:space="0" w:color="auto"/>
        <w:left w:val="none" w:sz="0" w:space="0" w:color="auto"/>
        <w:bottom w:val="none" w:sz="0" w:space="0" w:color="auto"/>
        <w:right w:val="none" w:sz="0" w:space="0" w:color="auto"/>
      </w:divBdr>
    </w:div>
    <w:div w:id="1642543138">
      <w:bodyDiv w:val="1"/>
      <w:marLeft w:val="0"/>
      <w:marRight w:val="0"/>
      <w:marTop w:val="0"/>
      <w:marBottom w:val="0"/>
      <w:divBdr>
        <w:top w:val="none" w:sz="0" w:space="0" w:color="auto"/>
        <w:left w:val="none" w:sz="0" w:space="0" w:color="auto"/>
        <w:bottom w:val="none" w:sz="0" w:space="0" w:color="auto"/>
        <w:right w:val="none" w:sz="0" w:space="0" w:color="auto"/>
      </w:divBdr>
      <w:divsChild>
        <w:div w:id="1775054116">
          <w:marLeft w:val="0"/>
          <w:marRight w:val="0"/>
          <w:marTop w:val="0"/>
          <w:marBottom w:val="0"/>
          <w:divBdr>
            <w:top w:val="none" w:sz="0" w:space="0" w:color="auto"/>
            <w:left w:val="none" w:sz="0" w:space="0" w:color="auto"/>
            <w:bottom w:val="none" w:sz="0" w:space="0" w:color="auto"/>
            <w:right w:val="none" w:sz="0" w:space="0" w:color="auto"/>
          </w:divBdr>
          <w:divsChild>
            <w:div w:id="1158155221">
              <w:marLeft w:val="0"/>
              <w:marRight w:val="0"/>
              <w:marTop w:val="0"/>
              <w:marBottom w:val="0"/>
              <w:divBdr>
                <w:top w:val="none" w:sz="0" w:space="0" w:color="auto"/>
                <w:left w:val="none" w:sz="0" w:space="0" w:color="auto"/>
                <w:bottom w:val="none" w:sz="0" w:space="0" w:color="auto"/>
                <w:right w:val="none" w:sz="0" w:space="0" w:color="auto"/>
              </w:divBdr>
              <w:divsChild>
                <w:div w:id="819269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4503974">
      <w:bodyDiv w:val="1"/>
      <w:marLeft w:val="0"/>
      <w:marRight w:val="0"/>
      <w:marTop w:val="0"/>
      <w:marBottom w:val="0"/>
      <w:divBdr>
        <w:top w:val="none" w:sz="0" w:space="0" w:color="auto"/>
        <w:left w:val="none" w:sz="0" w:space="0" w:color="auto"/>
        <w:bottom w:val="none" w:sz="0" w:space="0" w:color="auto"/>
        <w:right w:val="none" w:sz="0" w:space="0" w:color="auto"/>
      </w:divBdr>
    </w:div>
    <w:div w:id="1645156409">
      <w:bodyDiv w:val="1"/>
      <w:marLeft w:val="0"/>
      <w:marRight w:val="0"/>
      <w:marTop w:val="0"/>
      <w:marBottom w:val="0"/>
      <w:divBdr>
        <w:top w:val="none" w:sz="0" w:space="0" w:color="auto"/>
        <w:left w:val="none" w:sz="0" w:space="0" w:color="auto"/>
        <w:bottom w:val="none" w:sz="0" w:space="0" w:color="auto"/>
        <w:right w:val="none" w:sz="0" w:space="0" w:color="auto"/>
      </w:divBdr>
    </w:div>
    <w:div w:id="1793472115">
      <w:bodyDiv w:val="1"/>
      <w:marLeft w:val="0"/>
      <w:marRight w:val="0"/>
      <w:marTop w:val="0"/>
      <w:marBottom w:val="0"/>
      <w:divBdr>
        <w:top w:val="none" w:sz="0" w:space="0" w:color="auto"/>
        <w:left w:val="none" w:sz="0" w:space="0" w:color="auto"/>
        <w:bottom w:val="none" w:sz="0" w:space="0" w:color="auto"/>
        <w:right w:val="none" w:sz="0" w:space="0" w:color="auto"/>
      </w:divBdr>
    </w:div>
    <w:div w:id="2010714924">
      <w:bodyDiv w:val="1"/>
      <w:marLeft w:val="0"/>
      <w:marRight w:val="0"/>
      <w:marTop w:val="0"/>
      <w:marBottom w:val="0"/>
      <w:divBdr>
        <w:top w:val="none" w:sz="0" w:space="0" w:color="auto"/>
        <w:left w:val="none" w:sz="0" w:space="0" w:color="auto"/>
        <w:bottom w:val="none" w:sz="0" w:space="0" w:color="auto"/>
        <w:right w:val="none" w:sz="0" w:space="0" w:color="auto"/>
      </w:divBdr>
    </w:div>
    <w:div w:id="2103530584">
      <w:bodyDiv w:val="1"/>
      <w:marLeft w:val="0"/>
      <w:marRight w:val="0"/>
      <w:marTop w:val="0"/>
      <w:marBottom w:val="0"/>
      <w:divBdr>
        <w:top w:val="none" w:sz="0" w:space="0" w:color="auto"/>
        <w:left w:val="none" w:sz="0" w:space="0" w:color="auto"/>
        <w:bottom w:val="none" w:sz="0" w:space="0" w:color="auto"/>
        <w:right w:val="none" w:sz="0" w:space="0" w:color="auto"/>
      </w:divBdr>
    </w:div>
    <w:div w:id="213459076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8DE4B1-423B-410A-AB64-160B2110B0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501</TotalTime>
  <Pages>1</Pages>
  <Words>5420</Words>
  <Characters>30896</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Strategic Human Capital Report – NexSpace Health Systems (NHSX)</vt:lpstr>
    </vt:vector>
  </TitlesOfParts>
  <Company/>
  <LinksUpToDate>false</LinksUpToDate>
  <CharactersWithSpaces>36244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Human Capital Report – NexSpace Health Systems (NHSX)</dc:title>
  <dc:creator>Zarna Patel</dc:creator>
  <cp:lastModifiedBy>Microsoft account</cp:lastModifiedBy>
  <cp:revision>22</cp:revision>
  <dcterms:created xsi:type="dcterms:W3CDTF">2026-10-12T22:26:00Z</dcterms:created>
  <dcterms:modified xsi:type="dcterms:W3CDTF">2026-10-13T23:19:00Z</dcterms:modified>
</cp:coreProperties>
</file>