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B3E352" w14:textId="7F3C5AD0" w:rsidR="00BC01AB" w:rsidRPr="00E5139E" w:rsidRDefault="00C170E3" w:rsidP="00BC01AB">
      <w:pPr>
        <w:pStyle w:val="Title"/>
        <w:jc w:val="center"/>
        <w:rPr>
          <w:color w:val="44546A" w:themeColor="text2"/>
          <w:spacing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70E3">
        <w:rPr>
          <w:color w:val="44546A" w:themeColor="text2"/>
          <w:spacing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Employee Engagement</w:t>
      </w:r>
    </w:p>
    <w:p w14:paraId="177C93A0" w14:textId="44CE984B" w:rsidR="00C24A4E" w:rsidRPr="00E5139E" w:rsidRDefault="00E5139E" w:rsidP="00BC01AB">
      <w:pPr>
        <w:pStyle w:val="Title"/>
        <w:jc w:val="center"/>
        <w:rPr>
          <w:color w:val="44546A" w:themeColor="text2"/>
          <w:spacing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546A" w:themeColor="text2"/>
          <w:spacing w:val="0"/>
          <w:lang w:val="en-US" w:bidi="ar-SA"/>
        </w:rPr>
        <mc:AlternateContent>
          <mc:Choice Requires="wps">
            <w:drawing>
              <wp:anchor distT="0" distB="0" distL="114300" distR="114300" simplePos="0" relativeHeight="251659264" behindDoc="0" locked="0" layoutInCell="1" allowOverlap="1" wp14:anchorId="44B55FB8" wp14:editId="75F01FC9">
                <wp:simplePos x="0" y="0"/>
                <wp:positionH relativeFrom="margin">
                  <wp:align>center</wp:align>
                </wp:positionH>
                <wp:positionV relativeFrom="paragraph">
                  <wp:posOffset>242570</wp:posOffset>
                </wp:positionV>
                <wp:extent cx="509016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0901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C7DFF65" id="Straight Connector 1" o:spid="_x0000_s1026" style="position:absolute;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9.1pt" to="400.8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" strokecolor="#4472c4 [3204]" strokeweight=".5pt">
                <v:stroke joinstyle="miter"/>
                <w10:wrap anchorx="margin"/>
              </v:line>
            </w:pict>
          </mc:Fallback>
        </mc:AlternateContent>
      </w:r>
    </w:p>
    <w:p w14:paraId="2720001E" w14:textId="77777777" w:rsidR="00C170E3" w:rsidRDefault="00C170E3" w:rsidP="00BC01AB">
      <w:pPr>
        <w:pStyle w:val="Title"/>
        <w:jc w:val="center"/>
        <w:rPr>
          <w:color w:val="44546A" w:themeColor="text2"/>
          <w:spacing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527646" w14:textId="77777777" w:rsidR="00C170E3" w:rsidRDefault="00C170E3" w:rsidP="00BC01AB">
      <w:pPr>
        <w:pStyle w:val="Title"/>
        <w:jc w:val="center"/>
        <w:rPr>
          <w:color w:val="44546A" w:themeColor="text2"/>
          <w:spacing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E00561F" w14:textId="52FF9E3A" w:rsidR="00C170E3" w:rsidRDefault="00C170E3" w:rsidP="00BC01AB">
      <w:pPr>
        <w:pStyle w:val="Title"/>
        <w:jc w:val="center"/>
        <w:rPr>
          <w:b/>
          <w:color w:val="44546A" w:themeColor="text2"/>
          <w:spacing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65F39C" w14:textId="3AB293AC" w:rsidR="00063430" w:rsidRDefault="00063430" w:rsidP="00063430"/>
    <w:p w14:paraId="6FD7F62A" w14:textId="5AF82779" w:rsidR="00063430" w:rsidRDefault="00063430" w:rsidP="00063430"/>
    <w:p w14:paraId="7D0F2359" w14:textId="6D28AA2A" w:rsidR="00063430" w:rsidRDefault="00063430" w:rsidP="00063430"/>
    <w:p w14:paraId="4C150B10" w14:textId="729C9DF9" w:rsidR="00063430" w:rsidRDefault="00063430" w:rsidP="00063430"/>
    <w:p w14:paraId="7D653D09" w14:textId="26A55F01" w:rsidR="00063430" w:rsidRDefault="00063430" w:rsidP="00063430"/>
    <w:p w14:paraId="313A63A9" w14:textId="77777777" w:rsidR="00063430" w:rsidRPr="00063430" w:rsidRDefault="00063430" w:rsidP="00063430">
      <w:bookmarkStart w:id="0" w:name="_GoBack"/>
      <w:bookmarkEnd w:id="0"/>
    </w:p>
    <w:p w14:paraId="2692E44E" w14:textId="0FCB425E" w:rsidR="00C170E3" w:rsidRDefault="00C170E3" w:rsidP="00C170E3">
      <w:pPr>
        <w:rPr>
          <w:sz w:val="36"/>
          <w:szCs w:val="36"/>
        </w:rPr>
      </w:pPr>
      <w:r w:rsidRPr="00C170E3">
        <w:rPr>
          <w:b/>
          <w:sz w:val="32"/>
          <w:szCs w:val="32"/>
        </w:rPr>
        <w:t>Student name</w:t>
      </w:r>
      <w:r w:rsidRPr="00C170E3">
        <w:rPr>
          <w:b/>
          <w:sz w:val="36"/>
          <w:szCs w:val="36"/>
        </w:rPr>
        <w:t xml:space="preserve">:  </w:t>
      </w:r>
      <w:r w:rsidRPr="00C170E3">
        <w:rPr>
          <w:sz w:val="36"/>
          <w:szCs w:val="36"/>
        </w:rPr>
        <w:t>Nicoleta Florea</w:t>
      </w:r>
    </w:p>
    <w:p w14:paraId="03BDC9B3" w14:textId="238655DE" w:rsidR="00C170E3" w:rsidRPr="00063430" w:rsidRDefault="00C170E3" w:rsidP="00C170E3">
      <w:pPr>
        <w:rPr>
          <w:sz w:val="36"/>
          <w:szCs w:val="36"/>
        </w:rPr>
      </w:pPr>
      <w:r w:rsidRPr="00063430">
        <w:rPr>
          <w:b/>
          <w:sz w:val="32"/>
          <w:szCs w:val="32"/>
        </w:rPr>
        <w:t>Student ID:</w:t>
      </w:r>
      <w:r w:rsidR="00063430" w:rsidRPr="00063430">
        <w:rPr>
          <w:b/>
          <w:sz w:val="32"/>
          <w:szCs w:val="32"/>
        </w:rPr>
        <w:t xml:space="preserve">    </w:t>
      </w:r>
      <w:r w:rsidR="00063430">
        <w:rPr>
          <w:sz w:val="36"/>
          <w:szCs w:val="36"/>
        </w:rPr>
        <w:t>2129101</w:t>
      </w:r>
    </w:p>
    <w:p w14:paraId="32DF6EA1" w14:textId="3F7C81F8" w:rsidR="00C170E3" w:rsidRPr="00C170E3" w:rsidRDefault="00C170E3" w:rsidP="00C170E3">
      <w:pPr>
        <w:rPr>
          <w:sz w:val="32"/>
          <w:szCs w:val="32"/>
        </w:rPr>
      </w:pPr>
      <w:r w:rsidRPr="00C170E3">
        <w:rPr>
          <w:b/>
          <w:color w:val="44546A" w:themeColor="text2"/>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w:t>
      </w:r>
      <w:r w:rsidRPr="00C170E3">
        <w:rPr>
          <w:color w:val="44546A" w:themeColor="text2"/>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C170E3">
        <w:rPr>
          <w:sz w:val="36"/>
          <w:szCs w:val="36"/>
        </w:rPr>
        <w:t>Personnel Resourcing and Development</w:t>
      </w:r>
      <w:r w:rsidRPr="00C170E3">
        <w:rPr>
          <w:color w:val="44546A" w:themeColor="text2"/>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6536A57" w14:textId="08D215CB" w:rsidR="00C170E3" w:rsidRDefault="00C170E3" w:rsidP="00063430">
      <w:pPr>
        <w:pStyle w:val="Title"/>
        <w:spacing w:line="360" w:lineRule="auto"/>
        <w:jc w:val="left"/>
        <w:rPr>
          <w:sz w:val="36"/>
          <w:szCs w:val="36"/>
        </w:rPr>
      </w:pPr>
      <w:r w:rsidRPr="00063430">
        <w:rPr>
          <w:rFonts w:ascii="Times New Roman" w:hAnsi="Times New Roman" w:cs="Times New Roman"/>
          <w:b/>
          <w:color w:val="44546A" w:themeColor="text2"/>
          <w:spacing w:val="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w:t>
      </w:r>
      <w:r>
        <w:rPr>
          <w:color w:val="44546A" w:themeColor="text2"/>
          <w:spacing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C170E3">
        <w:rPr>
          <w:sz w:val="36"/>
          <w:szCs w:val="36"/>
        </w:rPr>
        <w:t>BMIH5005</w:t>
      </w:r>
    </w:p>
    <w:p w14:paraId="7E9AC144" w14:textId="7DCBF0A4" w:rsidR="00063430" w:rsidRPr="00063430" w:rsidRDefault="00063430" w:rsidP="00063430">
      <w:pPr>
        <w:rPr>
          <w:sz w:val="36"/>
          <w:szCs w:val="36"/>
        </w:rPr>
      </w:pPr>
      <w:r w:rsidRPr="00063430">
        <w:rPr>
          <w:b/>
          <w:sz w:val="32"/>
          <w:szCs w:val="32"/>
        </w:rPr>
        <w:t>Lecturer</w:t>
      </w:r>
      <w:r>
        <w:rPr>
          <w:b/>
          <w:sz w:val="32"/>
          <w:szCs w:val="32"/>
        </w:rPr>
        <w:t xml:space="preserve">:  </w:t>
      </w:r>
      <w:r>
        <w:rPr>
          <w:sz w:val="36"/>
          <w:szCs w:val="36"/>
        </w:rPr>
        <w:t>Helene Evans</w:t>
      </w:r>
    </w:p>
    <w:p w14:paraId="77F60C8A" w14:textId="77777777" w:rsidR="00063430" w:rsidRPr="00063430" w:rsidRDefault="00063430" w:rsidP="00063430"/>
    <w:p w14:paraId="513EAFF4" w14:textId="73C8B84D" w:rsidR="00140C84" w:rsidRPr="00C170E3" w:rsidRDefault="00140C84" w:rsidP="00C170E3">
      <w:pPr>
        <w:pStyle w:val="Title"/>
        <w:jc w:val="left"/>
        <w:rPr>
          <w:color w:val="44546A" w:themeColor="text2"/>
          <w:spacing w:val="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70E3">
        <w:rPr>
          <w:rFonts w:ascii="Times New Roman" w:eastAsiaTheme="minorHAnsi" w:hAnsi="Times New Roman" w:cstheme="minorBidi"/>
          <w:spacing w:val="0"/>
          <w:kern w:val="0"/>
          <w:sz w:val="36"/>
          <w:szCs w:val="36"/>
        </w:rPr>
        <w:br w:type="page"/>
      </w:r>
    </w:p>
    <w:sdt>
      <w:sdtPr>
        <w:rPr>
          <w:rFonts w:ascii="Times New Roman" w:eastAsiaTheme="minorHAnsi" w:hAnsi="Times New Roman" w:cstheme="minorBidi"/>
          <w:color w:val="auto"/>
          <w:sz w:val="24"/>
          <w:szCs w:val="20"/>
          <w:lang w:val="en-IN" w:bidi="hi-IN"/>
        </w:rPr>
        <w:id w:val="-1236548232"/>
        <w:docPartObj>
          <w:docPartGallery w:val="Table of Contents"/>
          <w:docPartUnique/>
        </w:docPartObj>
      </w:sdtPr>
      <w:sdtEndPr>
        <w:rPr>
          <w:b/>
          <w:bCs/>
          <w:noProof/>
        </w:rPr>
      </w:sdtEndPr>
      <w:sdtContent>
        <w:p w14:paraId="28AD7D23" w14:textId="7E9FFFD3" w:rsidR="000402D6" w:rsidRDefault="000402D6">
          <w:pPr>
            <w:pStyle w:val="TOCHeading"/>
          </w:pPr>
          <w:r>
            <w:t>Table of Contents</w:t>
          </w:r>
        </w:p>
        <w:p w14:paraId="0DDBB0D6" w14:textId="77777777" w:rsidR="000402D6" w:rsidRDefault="000402D6">
          <w:pPr>
            <w:pStyle w:val="TOC1"/>
            <w:tabs>
              <w:tab w:val="right" w:leader="dot" w:pos="9016"/>
            </w:tabs>
          </w:pPr>
        </w:p>
        <w:p w14:paraId="7F91A372" w14:textId="79BAC9C6" w:rsidR="000402D6" w:rsidRDefault="000402D6">
          <w:pPr>
            <w:pStyle w:val="TOC1"/>
            <w:tabs>
              <w:tab w:val="right" w:leader="dot" w:pos="9016"/>
            </w:tabs>
            <w:rPr>
              <w:noProof/>
            </w:rPr>
          </w:pPr>
          <w:r>
            <w:fldChar w:fldCharType="begin"/>
          </w:r>
          <w:r>
            <w:instrText xml:space="preserve"> TOC \o "1-3" \h \z \u </w:instrText>
          </w:r>
          <w:r>
            <w:fldChar w:fldCharType="separate"/>
          </w:r>
          <w:hyperlink w:anchor="_Toc136597749" w:history="1">
            <w:r w:rsidRPr="006A4343">
              <w:rPr>
                <w:rStyle w:val="Hyperlink"/>
                <w:noProof/>
              </w:rPr>
              <w:t>Introduction</w:t>
            </w:r>
            <w:r>
              <w:rPr>
                <w:noProof/>
                <w:webHidden/>
              </w:rPr>
              <w:tab/>
            </w:r>
            <w:r>
              <w:rPr>
                <w:noProof/>
                <w:webHidden/>
              </w:rPr>
              <w:fldChar w:fldCharType="begin"/>
            </w:r>
            <w:r>
              <w:rPr>
                <w:noProof/>
                <w:webHidden/>
              </w:rPr>
              <w:instrText xml:space="preserve"> PAGEREF _Toc136597749 \h </w:instrText>
            </w:r>
            <w:r>
              <w:rPr>
                <w:noProof/>
                <w:webHidden/>
              </w:rPr>
            </w:r>
            <w:r>
              <w:rPr>
                <w:noProof/>
                <w:webHidden/>
              </w:rPr>
              <w:fldChar w:fldCharType="separate"/>
            </w:r>
            <w:r>
              <w:rPr>
                <w:noProof/>
                <w:webHidden/>
              </w:rPr>
              <w:t>3</w:t>
            </w:r>
            <w:r>
              <w:rPr>
                <w:noProof/>
                <w:webHidden/>
              </w:rPr>
              <w:fldChar w:fldCharType="end"/>
            </w:r>
          </w:hyperlink>
        </w:p>
        <w:p w14:paraId="1138578F" w14:textId="1D44063C" w:rsidR="000402D6" w:rsidRDefault="0064336C">
          <w:pPr>
            <w:pStyle w:val="TOC1"/>
            <w:tabs>
              <w:tab w:val="right" w:leader="dot" w:pos="9016"/>
            </w:tabs>
            <w:rPr>
              <w:noProof/>
            </w:rPr>
          </w:pPr>
          <w:hyperlink w:anchor="_Toc136597750" w:history="1">
            <w:r w:rsidR="000402D6" w:rsidRPr="006A4343">
              <w:rPr>
                <w:rStyle w:val="Hyperlink"/>
                <w:noProof/>
              </w:rPr>
              <w:t>BODY</w:t>
            </w:r>
            <w:r w:rsidR="000402D6">
              <w:rPr>
                <w:noProof/>
                <w:webHidden/>
              </w:rPr>
              <w:tab/>
            </w:r>
            <w:r w:rsidR="000402D6">
              <w:rPr>
                <w:noProof/>
                <w:webHidden/>
              </w:rPr>
              <w:fldChar w:fldCharType="begin"/>
            </w:r>
            <w:r w:rsidR="000402D6">
              <w:rPr>
                <w:noProof/>
                <w:webHidden/>
              </w:rPr>
              <w:instrText xml:space="preserve"> PAGEREF _Toc136597750 \h </w:instrText>
            </w:r>
            <w:r w:rsidR="000402D6">
              <w:rPr>
                <w:noProof/>
                <w:webHidden/>
              </w:rPr>
            </w:r>
            <w:r w:rsidR="000402D6">
              <w:rPr>
                <w:noProof/>
                <w:webHidden/>
              </w:rPr>
              <w:fldChar w:fldCharType="separate"/>
            </w:r>
            <w:r w:rsidR="000402D6">
              <w:rPr>
                <w:noProof/>
                <w:webHidden/>
              </w:rPr>
              <w:t>4</w:t>
            </w:r>
            <w:r w:rsidR="000402D6">
              <w:rPr>
                <w:noProof/>
                <w:webHidden/>
              </w:rPr>
              <w:fldChar w:fldCharType="end"/>
            </w:r>
          </w:hyperlink>
        </w:p>
        <w:p w14:paraId="3983C844" w14:textId="0C160F5B" w:rsidR="000402D6" w:rsidRDefault="0064336C">
          <w:pPr>
            <w:pStyle w:val="TOC1"/>
            <w:tabs>
              <w:tab w:val="right" w:leader="dot" w:pos="9016"/>
            </w:tabs>
            <w:rPr>
              <w:noProof/>
            </w:rPr>
          </w:pPr>
          <w:hyperlink w:anchor="_Toc136597751" w:history="1">
            <w:r w:rsidR="000402D6" w:rsidRPr="006A4343">
              <w:rPr>
                <w:rStyle w:val="Hyperlink"/>
                <w:noProof/>
              </w:rPr>
              <w:t>Conclusion</w:t>
            </w:r>
            <w:r w:rsidR="000402D6">
              <w:rPr>
                <w:noProof/>
                <w:webHidden/>
              </w:rPr>
              <w:tab/>
            </w:r>
            <w:r w:rsidR="000402D6">
              <w:rPr>
                <w:noProof/>
                <w:webHidden/>
              </w:rPr>
              <w:fldChar w:fldCharType="begin"/>
            </w:r>
            <w:r w:rsidR="000402D6">
              <w:rPr>
                <w:noProof/>
                <w:webHidden/>
              </w:rPr>
              <w:instrText xml:space="preserve"> PAGEREF _Toc136597751 \h </w:instrText>
            </w:r>
            <w:r w:rsidR="000402D6">
              <w:rPr>
                <w:noProof/>
                <w:webHidden/>
              </w:rPr>
            </w:r>
            <w:r w:rsidR="000402D6">
              <w:rPr>
                <w:noProof/>
                <w:webHidden/>
              </w:rPr>
              <w:fldChar w:fldCharType="separate"/>
            </w:r>
            <w:r w:rsidR="000402D6">
              <w:rPr>
                <w:noProof/>
                <w:webHidden/>
              </w:rPr>
              <w:t>9</w:t>
            </w:r>
            <w:r w:rsidR="000402D6">
              <w:rPr>
                <w:noProof/>
                <w:webHidden/>
              </w:rPr>
              <w:fldChar w:fldCharType="end"/>
            </w:r>
          </w:hyperlink>
        </w:p>
        <w:p w14:paraId="0FA69ED7" w14:textId="1BBFEF10" w:rsidR="000402D6" w:rsidRDefault="0064336C">
          <w:pPr>
            <w:pStyle w:val="TOC1"/>
            <w:tabs>
              <w:tab w:val="right" w:leader="dot" w:pos="9016"/>
            </w:tabs>
            <w:rPr>
              <w:noProof/>
            </w:rPr>
          </w:pPr>
          <w:hyperlink w:anchor="_Toc136597752" w:history="1">
            <w:r w:rsidR="000402D6" w:rsidRPr="006A4343">
              <w:rPr>
                <w:rStyle w:val="Hyperlink"/>
                <w:noProof/>
              </w:rPr>
              <w:t>References:</w:t>
            </w:r>
            <w:r w:rsidR="000402D6">
              <w:rPr>
                <w:noProof/>
                <w:webHidden/>
              </w:rPr>
              <w:tab/>
            </w:r>
            <w:r w:rsidR="000402D6">
              <w:rPr>
                <w:noProof/>
                <w:webHidden/>
              </w:rPr>
              <w:fldChar w:fldCharType="begin"/>
            </w:r>
            <w:r w:rsidR="000402D6">
              <w:rPr>
                <w:noProof/>
                <w:webHidden/>
              </w:rPr>
              <w:instrText xml:space="preserve"> PAGEREF _Toc136597752 \h </w:instrText>
            </w:r>
            <w:r w:rsidR="000402D6">
              <w:rPr>
                <w:noProof/>
                <w:webHidden/>
              </w:rPr>
            </w:r>
            <w:r w:rsidR="000402D6">
              <w:rPr>
                <w:noProof/>
                <w:webHidden/>
              </w:rPr>
              <w:fldChar w:fldCharType="separate"/>
            </w:r>
            <w:r w:rsidR="000402D6">
              <w:rPr>
                <w:noProof/>
                <w:webHidden/>
              </w:rPr>
              <w:t>11</w:t>
            </w:r>
            <w:r w:rsidR="000402D6">
              <w:rPr>
                <w:noProof/>
                <w:webHidden/>
              </w:rPr>
              <w:fldChar w:fldCharType="end"/>
            </w:r>
          </w:hyperlink>
        </w:p>
        <w:p w14:paraId="22A67066" w14:textId="2D430192" w:rsidR="000402D6" w:rsidRDefault="000402D6">
          <w:r>
            <w:rPr>
              <w:b/>
              <w:bCs/>
              <w:noProof/>
            </w:rPr>
            <w:fldChar w:fldCharType="end"/>
          </w:r>
        </w:p>
      </w:sdtContent>
    </w:sdt>
    <w:p w14:paraId="54B910CE" w14:textId="77777777" w:rsidR="00861596" w:rsidRDefault="00861596">
      <w:pPr>
        <w:spacing w:line="259" w:lineRule="auto"/>
        <w:jc w:val="left"/>
      </w:pPr>
      <w:r>
        <w:br w:type="page"/>
      </w:r>
    </w:p>
    <w:p w14:paraId="7EA7B9E5" w14:textId="5AC6A359" w:rsidR="00D56F01" w:rsidRDefault="00A12527" w:rsidP="00E46EA1">
      <w:pPr>
        <w:pStyle w:val="Heading1"/>
      </w:pPr>
      <w:bookmarkStart w:id="1" w:name="_Toc136597749"/>
      <w:r>
        <w:lastRenderedPageBreak/>
        <w:t>Introduction</w:t>
      </w:r>
      <w:bookmarkEnd w:id="1"/>
      <w:r>
        <w:t xml:space="preserve"> </w:t>
      </w:r>
    </w:p>
    <w:p w14:paraId="4A745E4C" w14:textId="1175787C" w:rsidR="00D56F01" w:rsidRDefault="00A12527" w:rsidP="00D56F01">
      <w:r>
        <w:t>Employee emotional commitment and active involvement in their work, the organization, and its goals are referred to as this. Employees who are locked in are not only content with their jobs; They are motivated, enthusiastic, and capable of exceeding everyone's expectations to support the association's success.</w:t>
      </w:r>
    </w:p>
    <w:p w14:paraId="0D703C6F" w14:textId="629BD6C8" w:rsidR="00D56F01" w:rsidRDefault="00A12527" w:rsidP="00D56F01">
      <w:r>
        <w:t xml:space="preserve">Delegate responsibility has emerged as a basic workout supporting a high ground in the current business environment. Connected with labourers are more useful, inventive, and zeroed in on the client, which further develops execution and benefit. </w:t>
      </w:r>
    </w:p>
    <w:p w14:paraId="7EBF716A" w14:textId="0F8B972B" w:rsidR="00D56F01" w:rsidRDefault="00A12527" w:rsidP="00D56F01">
      <w:r>
        <w:t>The main UK inn network Hilton UK and its representative commitment all through the worker lifecycle will be the focal point of this paper. The interest, enlistment, onboarding, headway, support, and segment periods of the specialist lifecycle are included. By taking a gander at each phase of the representative lifecycle, we will find how the HR division at Hilton UK oversees and creates ability, bringing about a gifted and connected labour force.</w:t>
      </w:r>
    </w:p>
    <w:p w14:paraId="6798AEBE" w14:textId="534A2331" w:rsidR="00D56F01" w:rsidRDefault="00A12527" w:rsidP="00D56F01">
      <w:r>
        <w:t>It is essential to define key terms used in this essay to ensure clarity and comprehension. How many delegates feel an up close and personal relationship with both their work and the affiliation is known as specialist responsibility. It is heavily contingent on their level of vigour, dedication, and involvement</w:t>
      </w:r>
      <w:r w:rsidR="00380FF4">
        <w:t xml:space="preserve"> (</w:t>
      </w:r>
      <w:r w:rsidR="00380FF4" w:rsidRPr="00380FF4">
        <w:t>Breeze</w:t>
      </w:r>
      <w:r w:rsidR="00380FF4">
        <w:t xml:space="preserve"> </w:t>
      </w:r>
      <w:r w:rsidR="00380FF4" w:rsidRPr="00380FF4">
        <w:t>and Wiepking</w:t>
      </w:r>
      <w:r w:rsidR="00380FF4">
        <w:t xml:space="preserve">, </w:t>
      </w:r>
      <w:r w:rsidR="00380FF4" w:rsidRPr="00380FF4">
        <w:t>2020</w:t>
      </w:r>
      <w:r w:rsidR="00380FF4">
        <w:t>)</w:t>
      </w:r>
      <w:r>
        <w:t>. The worker lifecycle suggests the different stages a representative goes through during their business connection, from fundamental interest to division. The company can engage employees and cultivate their long-term commitment and loyalty at these stages.</w:t>
      </w:r>
    </w:p>
    <w:p w14:paraId="2515F76F" w14:textId="56C224E1" w:rsidR="00D56F01" w:rsidRDefault="00A12527">
      <w:r>
        <w:br w:type="page"/>
      </w:r>
    </w:p>
    <w:p w14:paraId="7930F2BB" w14:textId="085F5913" w:rsidR="00E46EA1" w:rsidRDefault="00E46EA1" w:rsidP="00E46EA1">
      <w:pPr>
        <w:pStyle w:val="Heading1"/>
      </w:pPr>
      <w:bookmarkStart w:id="2" w:name="_Toc136597750"/>
      <w:r>
        <w:lastRenderedPageBreak/>
        <w:t>BODY</w:t>
      </w:r>
      <w:bookmarkEnd w:id="2"/>
    </w:p>
    <w:p w14:paraId="19A2957B" w14:textId="167748CF" w:rsidR="00D56F01" w:rsidRDefault="00A12527" w:rsidP="00D56F01">
      <w:r>
        <w:t xml:space="preserve">Attraction and Recruitment </w:t>
      </w:r>
    </w:p>
    <w:p w14:paraId="01D71429" w14:textId="5EFF2846" w:rsidR="00D56F01" w:rsidRDefault="00A12527" w:rsidP="00D56F01">
      <w:r>
        <w:t>The human asset division in Hilton UK assumes a vital part in drawing in and selecting top abilities for the association. As the primary resource for possible competitors, HR experts are liable for making a positive and convincing business brand picture that resounds with the objective ability pool.</w:t>
      </w:r>
    </w:p>
    <w:p w14:paraId="664147B1" w14:textId="7DB8FEF6" w:rsidR="00D56F01" w:rsidRDefault="00A12527" w:rsidP="00D56F01">
      <w:r>
        <w:t>One methodology utilized by Hilton UK to draw in the right competitors is business marking. Hilton UK makes itself a desirable employer by effectively communicating these aspects, attracting applicants who share its values and culture to apply for open positions.</w:t>
      </w:r>
    </w:p>
    <w:p w14:paraId="459946C0" w14:textId="3D1A1509" w:rsidR="00D56F01" w:rsidRDefault="00A12527" w:rsidP="00D56F01">
      <w:r>
        <w:t>Notwithstanding conventional enlistment techniques, Hilton UK uses creative ways to deal with draw-in applicants. The association perceives the significance of arriving at a different pool of ability, including latent up-and-comers who may not effectively be looking for new open doors. Hilton UK uses virtual entertainment stages, proficient organizations, and online work gateways to expand its span and draw in likely competitors. This approach empowers the association to take advantage of a more extensive ability pool and recognize people with the ideal abilities and capabilities.</w:t>
      </w:r>
    </w:p>
    <w:p w14:paraId="2C304A91" w14:textId="79B2AF2F" w:rsidR="00D56F01" w:rsidRDefault="00A12527" w:rsidP="00D56F01">
      <w:r>
        <w:t>Hilton UK employs recruitment best practices to guarantee engagement from day one. Brief correspondence and convenient criticism are fundamental components of enlistment interaction. At Hilton UK, HR professionals make it a priority to keep candidates informed about the status of their applications and to provide timely feedback on how they did in interviews</w:t>
      </w:r>
      <w:r w:rsidR="00380FF4">
        <w:t xml:space="preserve"> (</w:t>
      </w:r>
      <w:r w:rsidR="00380FF4" w:rsidRPr="00380FF4">
        <w:t>Cattermole</w:t>
      </w:r>
      <w:r w:rsidR="00380FF4">
        <w:t xml:space="preserve">, </w:t>
      </w:r>
      <w:r w:rsidR="00380FF4" w:rsidRPr="00380FF4">
        <w:t>2019</w:t>
      </w:r>
      <w:r w:rsidR="00380FF4">
        <w:t>)</w:t>
      </w:r>
      <w:r>
        <w:t>. This shows candidates that you value their time and effort, which improves their engagement with the company and contributes to a positive candidate experience.</w:t>
      </w:r>
    </w:p>
    <w:p w14:paraId="25E146E3" w14:textId="6E31E596" w:rsidR="00D56F01" w:rsidRDefault="00A12527" w:rsidP="00D56F01">
      <w:r>
        <w:t>Straightforwardness is one more best practice taken on by Hilton UK in enrollment. HR experts give clear data about the association, the job, and the enrollment cycle, permitting the possibility to pursue informed choices. This straightforwardness cultivates trust and exhibits Hilton UK's obligation to transparent correspondence with likely representatives.</w:t>
      </w:r>
    </w:p>
    <w:p w14:paraId="4E693F6A" w14:textId="77777777" w:rsidR="00D56F01" w:rsidRDefault="00A12527" w:rsidP="00D56F01">
      <w:r>
        <w:t xml:space="preserve">In addition, Hilton UK is aware of the significance of involving relevant stakeholders in the hiring procedure to guarantee candidate engagement. This might entail including team members and hiring managers in the interview or assessment activities. By including these people, up-and-comers gain bits of knowledge into the association's way of life and working </w:t>
      </w:r>
      <w:r>
        <w:lastRenderedPageBreak/>
        <w:t>elements, while the association acquires important information in regards to the competitor's fit inside the group. The candidate experience as a whole is enhanced by this collaborative approach, as is the perception that Hilton UK values the perspectives of its employees.</w:t>
      </w:r>
    </w:p>
    <w:p w14:paraId="36B2B441" w14:textId="77777777" w:rsidR="00D56F01" w:rsidRDefault="00D56F01" w:rsidP="00D56F01"/>
    <w:p w14:paraId="0E8C60B8" w14:textId="090F1E90" w:rsidR="00D56F01" w:rsidRDefault="00A12527" w:rsidP="00D56F01">
      <w:r>
        <w:t xml:space="preserve">Onboarding </w:t>
      </w:r>
    </w:p>
    <w:p w14:paraId="57998069" w14:textId="2414307D" w:rsidR="00D56F01" w:rsidRDefault="00A12527" w:rsidP="00D56F01">
      <w:r>
        <w:t>Hilton UK perceives the meaning of a very much-planned onboarding project to guarantee that new representatives feel invited, upheld, and connected from the second they join the association.</w:t>
      </w:r>
    </w:p>
    <w:p w14:paraId="51728B48" w14:textId="3594EB66" w:rsidR="00D56F01" w:rsidRDefault="00A12527" w:rsidP="00D56F01">
      <w:r>
        <w:t>The onboarding procedure at Hilton UK is well-organized and comprehensive, incorporating a variety of factors that boost employee engagement. The first part is orientation, where new employees learn about the mission, values, and culture of the company. This gives a central comprehension of what Hilton UK depend on and assists fresh recruits to conform to the association's targets and assumptions.</w:t>
      </w:r>
    </w:p>
    <w:p w14:paraId="2F668CD8" w14:textId="2D17868A" w:rsidR="00D56F01" w:rsidRDefault="00A12527" w:rsidP="00D56F01">
      <w:r>
        <w:t>Another important part of Hilton UK's onboarding program is making introductions. Managers, key stakeholders, and team members are introduced to new employees. Relationship development and integration into the organizational structure are made easier by this. Employee engagement and overall job satisfaction are positively impacted by Hilton UK's efforts to foster a sense of belonging and camaraderie among its workforce by providing opportunities for social connections and networking.</w:t>
      </w:r>
    </w:p>
    <w:p w14:paraId="0CDC243E" w14:textId="14290A2E" w:rsidR="00D56F01" w:rsidRDefault="00A12527" w:rsidP="00D56F01">
      <w:r>
        <w:t>Hilton UK likewise guarantees that new representatives approach essential assets during the onboarding system. By outfitting fresh recruits with the assets they need, Hilton UK shows its obligation to support their prosperity and empowers them to raise a ruckus around town running</w:t>
      </w:r>
      <w:r w:rsidR="00463E26">
        <w:t xml:space="preserve"> (</w:t>
      </w:r>
      <w:r w:rsidR="00463E26" w:rsidRPr="00463E26">
        <w:t>Rana</w:t>
      </w:r>
      <w:r w:rsidR="00463E26">
        <w:t xml:space="preserve"> </w:t>
      </w:r>
      <w:r w:rsidR="00463E26" w:rsidRPr="00463E26">
        <w:t>and Sharma</w:t>
      </w:r>
      <w:r w:rsidR="00463E26">
        <w:t xml:space="preserve">, </w:t>
      </w:r>
      <w:r w:rsidR="00463E26" w:rsidRPr="00463E26">
        <w:t>2019</w:t>
      </w:r>
      <w:r w:rsidR="00463E26">
        <w:t>)</w:t>
      </w:r>
      <w:r>
        <w:t>.</w:t>
      </w:r>
    </w:p>
    <w:p w14:paraId="336F018D" w14:textId="30183FE6" w:rsidR="00D56F01" w:rsidRDefault="00A12527" w:rsidP="00D56F01">
      <w:r>
        <w:t>Notwithstanding direction, presentations, and asset arrangement, Hilton UK perceives the worth of mentorship or amigo frameworks in working with worker mix and commitment. They act as a wellspring of data, offer direction on exploring the hierarchical scene, and give a place of refuge to new representatives to clarify pressing issues and look for guidance.</w:t>
      </w:r>
    </w:p>
    <w:p w14:paraId="449B3CCA" w14:textId="0F86C7F3" w:rsidR="00D56F01" w:rsidRDefault="00A12527" w:rsidP="00D56F01">
      <w:r>
        <w:t>Tutors or pals at Hilton UK assume an urgent part in assisting new representatives with feeling upheld, esteemed, and associated. New employees' sense of belonging and engagement within the organization is enhanced when they have a designated mentor or buddy to turn to.</w:t>
      </w:r>
    </w:p>
    <w:p w14:paraId="15CA9656" w14:textId="05783A44" w:rsidR="00D56F01" w:rsidRDefault="00A12527" w:rsidP="00D56F01">
      <w:r>
        <w:lastRenderedPageBreak/>
        <w:t xml:space="preserve">Development </w:t>
      </w:r>
    </w:p>
    <w:p w14:paraId="7F06232F" w14:textId="45340019" w:rsidR="00D56F01" w:rsidRDefault="00A12527" w:rsidP="00D56F01">
      <w:r>
        <w:t>Hilton UK is aware of the significance of employee development in fostering a motivated and high-performing workforce and recognizes that it plays a critical role in maintaining engagement and talent retention within organizations. Hilton UK ensures that individuals have opportunities to enhance their skills, acquire new knowledge, and pursue growth within the organization by investing in their employees' development.</w:t>
      </w:r>
    </w:p>
    <w:p w14:paraId="48F80E94" w14:textId="76F4A163" w:rsidR="00D56F01" w:rsidRDefault="00A12527" w:rsidP="00D56F01">
      <w:r>
        <w:t>At Hilton UK, a variety of methods are used to encourage employees' skills and knowledge growth. Offering comprehensive training programs is one important strategy. Workshops, seminars, e-learning modules, and certifications are some of the training options offered by Hilton UK. Hilton UK makes sure that its workers have the tools they need to keep up with industry trends and best practices by investing in training.</w:t>
      </w:r>
    </w:p>
    <w:p w14:paraId="08B8B838" w14:textId="21E038CB" w:rsidR="00D56F01" w:rsidRDefault="00A12527" w:rsidP="00D56F01">
      <w:r>
        <w:t>At Hilton UK, coaching is another important aspect of employee development. The association perceives the worth of one-on-one direction and backing in assisting representatives with arriving at their maximum capacity. Employees receive individualized feedback, direction, and mentorship from experienced professionals through coaching. Training at Hilton UK is customized to individual necessities, zeroing in on regions for development and improvement distinguished through execution assessments or vocation conversations.</w:t>
      </w:r>
    </w:p>
    <w:p w14:paraId="1242F26F" w14:textId="58EB691C" w:rsidR="00D56F01" w:rsidRDefault="00A12527" w:rsidP="00D56F01">
      <w:r>
        <w:t>Profession arranging is likewise accentuated as a feature of worker improvement at Hilton UK. The association has confidence in furnishing representatives with make ways for development and progression. Through vocational arranging conversations, workers have the potential chance to investigate their drawn-out objectives, distinguish areas of premium, and diagram a lifelong direction inside the association</w:t>
      </w:r>
      <w:r w:rsidR="007164DB">
        <w:t xml:space="preserve"> (</w:t>
      </w:r>
      <w:r w:rsidR="007164DB" w:rsidRPr="00463E26">
        <w:t>Kuntz</w:t>
      </w:r>
      <w:r w:rsidR="007164DB">
        <w:t xml:space="preserve"> et al., </w:t>
      </w:r>
      <w:r w:rsidR="007164DB" w:rsidRPr="00463E26">
        <w:t>2017</w:t>
      </w:r>
      <w:r w:rsidR="007164DB">
        <w:t>)</w:t>
      </w:r>
      <w:r>
        <w:t>. Employees at Hilton UK can get help creating individualized development plans that lay out the steps and resources they need to reach their career goals. Hilton UK's dedication to employee development and retention is demonstrated by this proactive approach to career planning.</w:t>
      </w:r>
    </w:p>
    <w:p w14:paraId="2D5B38E8" w14:textId="5B1FB81C" w:rsidR="00D56F01" w:rsidRDefault="00A12527" w:rsidP="00D56F01">
      <w:r>
        <w:t>Hilton UK offers a few improvement projects to work on with representative development and commitment. For instance, the association has laid out an Initiative Improvement Program intended to sustain the initiative capability of high-expected workers. Hilton UK not only builds its talent pool but also promotes a culture of continuous learning and development by investing in leadership development.</w:t>
      </w:r>
    </w:p>
    <w:p w14:paraId="1FA2F90B" w14:textId="77777777" w:rsidR="00D56F01" w:rsidRDefault="00D56F01" w:rsidP="00D56F01"/>
    <w:p w14:paraId="0557CFF4" w14:textId="4FA2DEFE" w:rsidR="00D56F01" w:rsidRDefault="00A12527" w:rsidP="00D56F01">
      <w:r>
        <w:lastRenderedPageBreak/>
        <w:t>Besides, Hilton UK perceives the connection between improvement potential open doors and expanded representative commitment. Employees are encouraged to put forth their best effort and remain committed to the organization's objectives as a result of this sense of investment, which results in higher engagement levels.</w:t>
      </w:r>
    </w:p>
    <w:p w14:paraId="43468666" w14:textId="365195F5" w:rsidR="00D56F01" w:rsidRDefault="00A12527" w:rsidP="00D56F01">
      <w:r>
        <w:t>The positive correlation between employee engagement and development is supported by research. Employees' overall engagement is directly impacted by development programs, which not only increase their knowledge and skills but also give them a sense of personal growth and fulfilment.</w:t>
      </w:r>
    </w:p>
    <w:p w14:paraId="190B2007" w14:textId="77777777" w:rsidR="00861596" w:rsidRDefault="00861596" w:rsidP="00D56F01"/>
    <w:p w14:paraId="5FB5F0B4" w14:textId="6E15FE1A" w:rsidR="00D56F01" w:rsidRDefault="00A12527" w:rsidP="00D56F01">
      <w:r>
        <w:t>Retention</w:t>
      </w:r>
      <w:r w:rsidR="007164DB">
        <w:t xml:space="preserve"> </w:t>
      </w:r>
    </w:p>
    <w:p w14:paraId="47809229" w14:textId="3D918754" w:rsidR="00D56F01" w:rsidRDefault="00A12527" w:rsidP="00D56F01">
      <w:r>
        <w:t>At Hilton UK, employee engagement plays a crucial role in talent retention. Drawn-in representatives are bound to be committed, propelled, and happy with their work, prompting more significant levels of maintenance. Hilton UK perceives the significance of establishing a workplace and culture that advances commitment and effectively executes techniques to upgrade worker maintenance.</w:t>
      </w:r>
    </w:p>
    <w:p w14:paraId="41D316B5" w14:textId="13017A29" w:rsidR="00D56F01" w:rsidRDefault="00A12527" w:rsidP="00D56F01">
      <w:r>
        <w:t>The development of a culture that is welcoming and supportive is one important strategy that Hilton UK uses to create a positive work environment. In all aspects of its operations, the organization promotes inclusivity and values diversity. Regardless of their background or identity, this inclusive culture ensures that all employees feel valued, respected, and heard. By creating a sense of belonging and connectedness among its workforce, Hilton UK increases employee engagement and reduces turnover by fostering an inclusive environment.</w:t>
      </w:r>
    </w:p>
    <w:p w14:paraId="59653F32" w14:textId="3AB825CD" w:rsidR="00D56F01" w:rsidRDefault="00A12527" w:rsidP="00D56F01">
      <w:r>
        <w:t>Hilton UK additionally perceives the meaning of compelling correspondence in encouraging representative commitment and maintenance. The association guarantees that channels of correspondence are open, straightforward, and available to all workers. Employees feel empowered and valued when their voices are heard, so Hilton UK promotes employee engagement by encouraging open communication.</w:t>
      </w:r>
    </w:p>
    <w:p w14:paraId="6C1CF202" w14:textId="0C7AA8B4" w:rsidR="00D56F01" w:rsidRDefault="00A12527" w:rsidP="00D56F01">
      <w:r>
        <w:t>At Hilton UK, incentive and recognition programs are other important aspects of talent retention. The association comprehends the force of recognizing and valuing worker commitments</w:t>
      </w:r>
      <w:r w:rsidR="00440C25">
        <w:t xml:space="preserve"> (</w:t>
      </w:r>
      <w:r w:rsidR="00440C25" w:rsidRPr="00824A4B">
        <w:t>Plaskoff</w:t>
      </w:r>
      <w:r w:rsidR="00440C25">
        <w:t xml:space="preserve">, </w:t>
      </w:r>
      <w:r w:rsidR="00440C25" w:rsidRPr="00824A4B">
        <w:t>2017</w:t>
      </w:r>
      <w:r w:rsidR="00440C25">
        <w:t>)</w:t>
      </w:r>
      <w:r>
        <w:t xml:space="preserve">. The Employees of the Month programs, peer-to-peer recognition, and annual awards ceremonies are some of the various recognition initiatives that Hilton UK has implemented. In addition to honouring employees' accomplishments, these </w:t>
      </w:r>
      <w:r>
        <w:lastRenderedPageBreak/>
        <w:t>programs foster a culture of encouragement and appreciation. By perceiving and compensating representatives' endeavours, Hilton UK encourages a feeling of satisfaction, inspiration, and devotion, prompting expanded maintenance.</w:t>
      </w:r>
    </w:p>
    <w:p w14:paraId="37609DD4" w14:textId="18CFB923" w:rsidR="00D56F01" w:rsidRDefault="00A12527" w:rsidP="00D56F01">
      <w:r>
        <w:t>The balance between fun and serious activities drives and representative prosperity likewise contribute essentially to ability maintenance at Hilton UK. Adaptable work game plans, like remote work choices and adaptable timetables, permit representatives to deal with their responsibilities while meeting their expert obligations. Also, Hilton UK advances worker prosperity through different drives, including well-being programs, emotional well-being backing, and admittance to sporting offices. Hilton UK boosts employee satisfaction and lowers the risk of burnout by putting the well-being and work-life balance first. This ultimately leads to higher retention rates.</w:t>
      </w:r>
    </w:p>
    <w:p w14:paraId="0CA0E277" w14:textId="73FE2B16" w:rsidR="00D56F01" w:rsidRDefault="00A12527" w:rsidP="00D56F01">
      <w:r>
        <w:t xml:space="preserve">In addition, Hilton UK makes an investment in ongoing opportunities for employees to learn and grow, which helps to retain talent. Hilton UK demonstrates its dedication to employee development and advancement by providing training programs, opportunities for career advancement, and progression pathways. </w:t>
      </w:r>
    </w:p>
    <w:p w14:paraId="131CAAE0" w14:textId="1291DDD7" w:rsidR="00D56F01" w:rsidRDefault="00A12527" w:rsidP="00D56F01">
      <w:r>
        <w:t>Additionally, leadership development is emphasized by Hilton UK. The association gives authority preparing projects and mentorship potential chances to support and hold capable people</w:t>
      </w:r>
      <w:r w:rsidR="00824A4B">
        <w:t xml:space="preserve"> (</w:t>
      </w:r>
      <w:r w:rsidR="00824A4B" w:rsidRPr="00824A4B">
        <w:t>Mone</w:t>
      </w:r>
      <w:r w:rsidR="00824A4B">
        <w:t xml:space="preserve"> et al., </w:t>
      </w:r>
      <w:r w:rsidR="00824A4B" w:rsidRPr="00824A4B">
        <w:t>2018</w:t>
      </w:r>
      <w:r w:rsidR="00824A4B">
        <w:t>)</w:t>
      </w:r>
      <w:r>
        <w:t>. Hilton UK demonstrates its commitment to fostering internal growth and promoting from within by making investments in leadership development. In addition, Hilton UK strengthens its leadership pipeline.</w:t>
      </w:r>
    </w:p>
    <w:p w14:paraId="4DD41D54" w14:textId="77777777" w:rsidR="00D56F01" w:rsidRDefault="00D56F01" w:rsidP="00D56F01"/>
    <w:p w14:paraId="26EAC366" w14:textId="6DAB51EA" w:rsidR="00D56F01" w:rsidRDefault="00A12527" w:rsidP="00D56F01">
      <w:r>
        <w:t xml:space="preserve">Separation </w:t>
      </w:r>
    </w:p>
    <w:p w14:paraId="0CB7BA96" w14:textId="6072778A" w:rsidR="00D56F01" w:rsidRDefault="00A12527" w:rsidP="00D56F01">
      <w:r>
        <w:t>Hilton UK needs to manage employee separations in a manner that preserves engagement and a positive employer brand. Although employee turnover is inevitable, Hilton UK strives to handle separations with respect for departing employees, ensuring a smooth transition and minimizing any adverse effects on the remaining staff.</w:t>
      </w:r>
    </w:p>
    <w:p w14:paraId="16AA79BA" w14:textId="2260DAF3" w:rsidR="00D56F01" w:rsidRDefault="00A12527" w:rsidP="00D56F01">
      <w:r>
        <w:t xml:space="preserve">Post-employment surveys and criticism processes assume an imperative part in get-together experiences and further developing maintenance endeavours at Hilton UK. These meetings are directed privately and strongly, permitting leaving representatives to transparently share their considerations. The feedback from exit interviews enables Hilton UK to make necessary adjustments to improve employee engagement and retention in the future and helps identify </w:t>
      </w:r>
      <w:r>
        <w:lastRenderedPageBreak/>
        <w:t>areas for improvement, such as addressing any concerns or issues raised by departing employees.</w:t>
      </w:r>
    </w:p>
    <w:p w14:paraId="6BA6D338" w14:textId="3E81EC60" w:rsidR="00D56F01" w:rsidRDefault="00A12527" w:rsidP="00D56F01">
      <w:r>
        <w:t>Moreover, post-employment surveys give important data about any hierarchical or administrative angles that might have added to the partition. The processes, policies, and leadership practices of Hilton UK may be able to benefit from this feedback. By effectively paying attention to the input given during post-employment surveys, Hilton UK can distinguish examples or patterns that might require consideration and make proper moves to address them</w:t>
      </w:r>
      <w:r w:rsidR="00440C25">
        <w:t xml:space="preserve"> (</w:t>
      </w:r>
      <w:r w:rsidR="00440C25" w:rsidRPr="00440C25">
        <w:t>Stewart</w:t>
      </w:r>
      <w:r w:rsidR="00440C25">
        <w:t xml:space="preserve"> </w:t>
      </w:r>
      <w:r w:rsidR="00440C25" w:rsidRPr="00440C25">
        <w:t>and Brown</w:t>
      </w:r>
      <w:r w:rsidR="00440C25">
        <w:t xml:space="preserve">, </w:t>
      </w:r>
      <w:r w:rsidR="00440C25" w:rsidRPr="00440C25">
        <w:t>2019</w:t>
      </w:r>
      <w:r w:rsidR="00440C25">
        <w:t>)</w:t>
      </w:r>
      <w:r>
        <w:t>. This proactive approach can have a positive effect on engagement and retention efforts and demonstrates a commitment to continuous improvement.</w:t>
      </w:r>
    </w:p>
    <w:p w14:paraId="3B314F3A" w14:textId="708AD463" w:rsidR="00D56F01" w:rsidRDefault="00A12527" w:rsidP="00D56F01">
      <w:r>
        <w:t>In addition, exit interviews provide departing employees with a sense of closure and the opportunity to discuss their experiences working for Hilton UK. This cycle guarantees that representatives feel esteemed and heard, even as they leave the association. Hilton UK upholds its commitment to maintaining positive relationships and a strong employer brand by treating employees with respect and dignity throughout the separation process.</w:t>
      </w:r>
    </w:p>
    <w:p w14:paraId="6DB944CD" w14:textId="05D3F9EA" w:rsidR="00D56F01" w:rsidRDefault="00A12527" w:rsidP="00D56F01">
      <w:r>
        <w:t>Aside from post-employment surveys, Hilton UK additionally keeps up with open lines of correspondence with leaving representatives after they leave. The company can keep in touch with former employees, comprehend their career progression, and possibly consider them for future opportunities thanks to this ongoing communication</w:t>
      </w:r>
      <w:r w:rsidR="00440C25">
        <w:t xml:space="preserve"> (</w:t>
      </w:r>
      <w:r w:rsidR="00440C25" w:rsidRPr="00440C25">
        <w:t>Kelliher</w:t>
      </w:r>
      <w:r w:rsidR="00440C25">
        <w:t xml:space="preserve"> et al., </w:t>
      </w:r>
      <w:r w:rsidR="00440C25" w:rsidRPr="00440C25">
        <w:t>2019</w:t>
      </w:r>
      <w:r w:rsidR="00440C25">
        <w:t>)</w:t>
      </w:r>
      <w:r>
        <w:t>. Hilton UK can tap into their networks, maintain positive word-of-mouth, and possibly even rehire former employees if suitable positions become available by maintaining relationships with them. In the long run, this strategy has the potential to assist in attracting and keeping talent while also maintaining a positive employer brand.</w:t>
      </w:r>
    </w:p>
    <w:p w14:paraId="53124336" w14:textId="77777777" w:rsidR="00E46EA1" w:rsidRDefault="00E46EA1" w:rsidP="00D56F01"/>
    <w:p w14:paraId="22112443" w14:textId="10BD8E8C" w:rsidR="00D56F01" w:rsidRDefault="00A12527" w:rsidP="00E46EA1">
      <w:pPr>
        <w:pStyle w:val="Heading1"/>
      </w:pPr>
      <w:bookmarkStart w:id="3" w:name="_Toc136597751"/>
      <w:r>
        <w:t>Conclusion</w:t>
      </w:r>
      <w:bookmarkEnd w:id="3"/>
      <w:r>
        <w:t xml:space="preserve"> </w:t>
      </w:r>
    </w:p>
    <w:p w14:paraId="60447EF9" w14:textId="1C75C102" w:rsidR="00D56F01" w:rsidRDefault="00A12527" w:rsidP="00D56F01">
      <w:r>
        <w:t>In conclusion, the topic of employee engagement throughout the Hilton UK employee lifecycle—attraction, recruitment, onboarding, development, retention, and separation—has been the focus of this essay. Several significant insights and findings have emerged throughout the essay.</w:t>
      </w:r>
    </w:p>
    <w:p w14:paraId="1C39ED28" w14:textId="6C7A3D58" w:rsidR="00D56F01" w:rsidRDefault="00A12527" w:rsidP="00D56F01">
      <w:r>
        <w:t xml:space="preserve">It encompasses employees' deep emotional connection, dedication, and motivation to their work and the organization, as well as more than just job satisfaction. At Hilton UK, it is </w:t>
      </w:r>
      <w:r>
        <w:lastRenderedPageBreak/>
        <w:t>acknowledged that understanding and cultivating employee engagement is essential to sustaining an organization's success.</w:t>
      </w:r>
    </w:p>
    <w:p w14:paraId="79D44515" w14:textId="28904E15" w:rsidR="00D56F01" w:rsidRDefault="00A12527" w:rsidP="00D56F01">
      <w:r>
        <w:t>The essay has focused on how Hilton UK's human resources department manages and develops talent. Through innovative recruitment strategies and effective employer branding, the HR department is crucial in attracting and hiring the right candidates. In addition, Hilton UK employs recruitment best practices to guarantee employee engagement right from the start, laying the groundwork for continued employee engagement.</w:t>
      </w:r>
    </w:p>
    <w:p w14:paraId="2DF86894" w14:textId="431051DF" w:rsidR="00D56F01" w:rsidRDefault="00A12527" w:rsidP="00D56F01">
      <w:r>
        <w:t>At Hilton UK, it has been determined that engaging new employees requires efficient onboarding. New employees are made to feel welcome and supported by the extensive onboarding program, which includes orientation, introductions, and the provision of resources. Employee integration and engagement are further enhanced when mentors or friends are present.</w:t>
      </w:r>
    </w:p>
    <w:p w14:paraId="3AF08A90" w14:textId="6421B479" w:rsidR="00D56F01" w:rsidRDefault="00A12527" w:rsidP="00D56F01">
      <w:r>
        <w:t>In addition, the essay has emphasized how important employee development is to Hilton UK's ability to maintain engagement and talent retention. Hilton UK offers different improvement programs, like preparation, training, and vocation arranging, to give workers amazing learning experiences and upgrade their abilities and information. Employee motivation and job satisfaction rise as a result of these development programs' direct positive impact on engagement.</w:t>
      </w:r>
    </w:p>
    <w:p w14:paraId="66BDCD4B" w14:textId="4CE8ED4B" w:rsidR="00D56F01" w:rsidRDefault="00A12527" w:rsidP="00D56F01">
      <w:r>
        <w:t>Hilton UK places a high priority on keeping talented employees, so it has taken steps to create a positive work environment and culture that encourages engagement. Acknowledgement and prizes programs, the balance between fun and serious activities drives, and representative prosperity drives add to higher standards for dependability and expanded commitment among workers.</w:t>
      </w:r>
    </w:p>
    <w:p w14:paraId="47DDE808" w14:textId="312CE3A7" w:rsidR="00E46EA1" w:rsidRDefault="00E46EA1">
      <w:pPr>
        <w:spacing w:line="259" w:lineRule="auto"/>
        <w:jc w:val="left"/>
      </w:pPr>
      <w:r>
        <w:br w:type="page"/>
      </w:r>
    </w:p>
    <w:p w14:paraId="22263ABD" w14:textId="405F92D6" w:rsidR="00D56F01" w:rsidRDefault="00F75ED3" w:rsidP="00F75ED3">
      <w:pPr>
        <w:pStyle w:val="Heading1"/>
      </w:pPr>
      <w:bookmarkStart w:id="4" w:name="_Toc136597752"/>
      <w:r>
        <w:lastRenderedPageBreak/>
        <w:t>References:</w:t>
      </w:r>
      <w:bookmarkEnd w:id="4"/>
      <w:r>
        <w:t xml:space="preserve"> </w:t>
      </w:r>
    </w:p>
    <w:p w14:paraId="38BFDDF2" w14:textId="77777777" w:rsidR="00E5139E" w:rsidRDefault="00E5139E" w:rsidP="00D56F01">
      <w:r w:rsidRPr="00380FF4">
        <w:t>Breeze, B. and Wiepking, P., 2020. Different drivers: exploring employee involvement in corporate philanthropy. Journal of Business Ethics, 165(3), pp.453-467.</w:t>
      </w:r>
      <w:r>
        <w:t xml:space="preserve"> </w:t>
      </w:r>
    </w:p>
    <w:p w14:paraId="33B2543F" w14:textId="77777777" w:rsidR="00E5139E" w:rsidRDefault="00E5139E" w:rsidP="00D56F01">
      <w:r w:rsidRPr="00380FF4">
        <w:t>Cattermole, G., 2019. Developing the employee lifecycle to keep top talent. Strategic HR review, 18(6), pp.258-262.</w:t>
      </w:r>
      <w:r>
        <w:t xml:space="preserve"> </w:t>
      </w:r>
    </w:p>
    <w:p w14:paraId="5B56CBBA" w14:textId="77777777" w:rsidR="00E5139E" w:rsidRDefault="00E5139E" w:rsidP="00D56F01">
      <w:r w:rsidRPr="00440C25">
        <w:t>Kelliher, C., Richardson, J. and Boiarintseva, G., 2019. All of work? All of life? Reconceptualising work‐life balance for the 21st century. Human resource management journal, 29(2), pp.97-112.</w:t>
      </w:r>
      <w:r>
        <w:t xml:space="preserve"> </w:t>
      </w:r>
    </w:p>
    <w:p w14:paraId="2BD28C6B" w14:textId="77777777" w:rsidR="00E5139E" w:rsidRDefault="00E5139E" w:rsidP="00D56F01">
      <w:r w:rsidRPr="00463E26">
        <w:t>Kuntz, J.R., Malinen, S. and Näswall, K., 2017. Employee resilience: Directions for resilience development. Consulting Psychology Journal: Practice and Research, 69(3), p.223.</w:t>
      </w:r>
      <w:r>
        <w:t xml:space="preserve"> </w:t>
      </w:r>
    </w:p>
    <w:p w14:paraId="4761A349" w14:textId="77777777" w:rsidR="00E5139E" w:rsidRDefault="00E5139E" w:rsidP="00D56F01">
      <w:r w:rsidRPr="00824A4B">
        <w:t>Mone, E.M., London, M. and Mone, E.M., 2018. Employee engagement through effective performance management: A practical guide for managers. Routledge.</w:t>
      </w:r>
      <w:r>
        <w:t xml:space="preserve"> </w:t>
      </w:r>
    </w:p>
    <w:p w14:paraId="07C20D20" w14:textId="77777777" w:rsidR="00E5139E" w:rsidRDefault="00E5139E" w:rsidP="00D56F01">
      <w:r w:rsidRPr="00824A4B">
        <w:t>Plaskoff, J., 2017. Employee experience: the new human resource management approach. Strategic HR Review, 16(3), pp.136-141.</w:t>
      </w:r>
      <w:r>
        <w:t xml:space="preserve"> </w:t>
      </w:r>
    </w:p>
    <w:p w14:paraId="3A7E43CA" w14:textId="77777777" w:rsidR="00E5139E" w:rsidRDefault="00E5139E" w:rsidP="00D56F01">
      <w:r w:rsidRPr="00463E26">
        <w:t>Rana, G. and Sharma, R., 2019. Emerging human resource management practices in Industry 4.0. Strategic HR Review.</w:t>
      </w:r>
      <w:r>
        <w:t xml:space="preserve"> </w:t>
      </w:r>
    </w:p>
    <w:p w14:paraId="18FB7AF2" w14:textId="77777777" w:rsidR="00E5139E" w:rsidRDefault="00E5139E" w:rsidP="00D56F01">
      <w:r w:rsidRPr="00440C25">
        <w:t>Stewart, G.L. and Brown, K.G., 2019. Human resource management. John Wiley &amp; Sons.</w:t>
      </w:r>
      <w:r>
        <w:t xml:space="preserve"> </w:t>
      </w:r>
    </w:p>
    <w:sectPr w:rsidR="00E5139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C2F5F0" w14:textId="77777777" w:rsidR="0064336C" w:rsidRDefault="0064336C" w:rsidP="00E5139E">
      <w:pPr>
        <w:spacing w:after="0" w:line="240" w:lineRule="auto"/>
      </w:pPr>
      <w:r>
        <w:separator/>
      </w:r>
    </w:p>
  </w:endnote>
  <w:endnote w:type="continuationSeparator" w:id="0">
    <w:p w14:paraId="3F1F7B19" w14:textId="77777777" w:rsidR="0064336C" w:rsidRDefault="0064336C" w:rsidP="00E51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2807358"/>
      <w:docPartObj>
        <w:docPartGallery w:val="Page Numbers (Bottom of Page)"/>
        <w:docPartUnique/>
      </w:docPartObj>
    </w:sdtPr>
    <w:sdtEndPr>
      <w:rPr>
        <w:noProof/>
      </w:rPr>
    </w:sdtEndPr>
    <w:sdtContent>
      <w:p w14:paraId="5F1A07C8" w14:textId="02A8DA11" w:rsidR="00AF79C7" w:rsidRDefault="00AF79C7">
        <w:pPr>
          <w:pStyle w:val="Footer"/>
          <w:jc w:val="right"/>
        </w:pPr>
        <w:r>
          <w:fldChar w:fldCharType="begin"/>
        </w:r>
        <w:r>
          <w:instrText xml:space="preserve"> PAGE   \* MERGEFORMAT </w:instrText>
        </w:r>
        <w:r>
          <w:fldChar w:fldCharType="separate"/>
        </w:r>
        <w:r w:rsidR="00063430">
          <w:rPr>
            <w:noProof/>
          </w:rPr>
          <w:t>2</w:t>
        </w:r>
        <w:r>
          <w:rPr>
            <w:noProof/>
          </w:rPr>
          <w:fldChar w:fldCharType="end"/>
        </w:r>
      </w:p>
    </w:sdtContent>
  </w:sdt>
  <w:p w14:paraId="349E92FE" w14:textId="77777777" w:rsidR="00E5139E" w:rsidRDefault="00E51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E28EB3" w14:textId="77777777" w:rsidR="0064336C" w:rsidRDefault="0064336C" w:rsidP="00E5139E">
      <w:pPr>
        <w:spacing w:after="0" w:line="240" w:lineRule="auto"/>
      </w:pPr>
      <w:r>
        <w:separator/>
      </w:r>
    </w:p>
  </w:footnote>
  <w:footnote w:type="continuationSeparator" w:id="0">
    <w:p w14:paraId="3546D442" w14:textId="77777777" w:rsidR="0064336C" w:rsidRDefault="0064336C" w:rsidP="00E513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A76"/>
    <w:rsid w:val="000402D6"/>
    <w:rsid w:val="00063430"/>
    <w:rsid w:val="00140C84"/>
    <w:rsid w:val="00251CB2"/>
    <w:rsid w:val="00380FF4"/>
    <w:rsid w:val="00440C25"/>
    <w:rsid w:val="00463E26"/>
    <w:rsid w:val="0064336C"/>
    <w:rsid w:val="007164DB"/>
    <w:rsid w:val="00820FA1"/>
    <w:rsid w:val="00824A4B"/>
    <w:rsid w:val="00861596"/>
    <w:rsid w:val="00992A76"/>
    <w:rsid w:val="00A12527"/>
    <w:rsid w:val="00AF79C7"/>
    <w:rsid w:val="00BC01AB"/>
    <w:rsid w:val="00C170E3"/>
    <w:rsid w:val="00C24A4E"/>
    <w:rsid w:val="00D56F01"/>
    <w:rsid w:val="00E46EA1"/>
    <w:rsid w:val="00E5139E"/>
    <w:rsid w:val="00EE0814"/>
    <w:rsid w:val="00F53B01"/>
    <w:rsid w:val="00F75ED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1D9FE"/>
  <w15:chartTrackingRefBased/>
  <w15:docId w15:val="{C051AC90-A2A7-46D4-97E6-B18E13F29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159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46EA1"/>
    <w:pPr>
      <w:keepNext/>
      <w:keepLines/>
      <w:spacing w:before="240" w:after="0"/>
      <w:outlineLvl w:val="0"/>
    </w:pPr>
    <w:rPr>
      <w:rFonts w:eastAsiaTheme="majorEastAsia" w:cstheme="majorBidi"/>
      <w:color w:val="2F5496" w:themeColor="accent1" w:themeShade="BF"/>
      <w:sz w:val="32"/>
      <w:szCs w:val="29"/>
    </w:rPr>
  </w:style>
  <w:style w:type="paragraph" w:styleId="Heading2">
    <w:name w:val="heading 2"/>
    <w:basedOn w:val="Normal"/>
    <w:next w:val="Normal"/>
    <w:link w:val="Heading2Char"/>
    <w:uiPriority w:val="9"/>
    <w:semiHidden/>
    <w:unhideWhenUsed/>
    <w:qFormat/>
    <w:rsid w:val="00E46EA1"/>
    <w:pPr>
      <w:keepNext/>
      <w:keepLines/>
      <w:spacing w:before="40" w:after="0"/>
      <w:outlineLvl w:val="1"/>
    </w:pPr>
    <w:rPr>
      <w:rFonts w:eastAsiaTheme="majorEastAsia" w:cstheme="majorBidi"/>
      <w:color w:val="2F5496" w:themeColor="accent1" w:themeShade="BF"/>
      <w:sz w:val="26"/>
      <w:szCs w:val="2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01AB"/>
    <w:pPr>
      <w:spacing w:after="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C01AB"/>
    <w:rPr>
      <w:rFonts w:asciiTheme="majorHAnsi" w:eastAsiaTheme="majorEastAsia" w:hAnsiTheme="majorHAnsi" w:cstheme="majorBidi"/>
      <w:spacing w:val="-10"/>
      <w:kern w:val="28"/>
      <w:sz w:val="56"/>
      <w:szCs w:val="50"/>
    </w:rPr>
  </w:style>
  <w:style w:type="character" w:customStyle="1" w:styleId="Heading1Char">
    <w:name w:val="Heading 1 Char"/>
    <w:basedOn w:val="DefaultParagraphFont"/>
    <w:link w:val="Heading1"/>
    <w:uiPriority w:val="9"/>
    <w:rsid w:val="00E46EA1"/>
    <w:rPr>
      <w:rFonts w:ascii="Times New Roman" w:eastAsiaTheme="majorEastAsia" w:hAnsi="Times New Roman" w:cstheme="majorBidi"/>
      <w:color w:val="2F5496" w:themeColor="accent1" w:themeShade="BF"/>
      <w:sz w:val="32"/>
      <w:szCs w:val="29"/>
    </w:rPr>
  </w:style>
  <w:style w:type="character" w:customStyle="1" w:styleId="Heading2Char">
    <w:name w:val="Heading 2 Char"/>
    <w:basedOn w:val="DefaultParagraphFont"/>
    <w:link w:val="Heading2"/>
    <w:uiPriority w:val="9"/>
    <w:semiHidden/>
    <w:rsid w:val="00E46EA1"/>
    <w:rPr>
      <w:rFonts w:ascii="Times New Roman" w:eastAsiaTheme="majorEastAsia" w:hAnsi="Times New Roman" w:cstheme="majorBidi"/>
      <w:color w:val="2F5496" w:themeColor="accent1" w:themeShade="BF"/>
      <w:sz w:val="26"/>
      <w:szCs w:val="23"/>
    </w:rPr>
  </w:style>
  <w:style w:type="paragraph" w:styleId="TOCHeading">
    <w:name w:val="TOC Heading"/>
    <w:basedOn w:val="Heading1"/>
    <w:next w:val="Normal"/>
    <w:uiPriority w:val="39"/>
    <w:unhideWhenUsed/>
    <w:qFormat/>
    <w:rsid w:val="000402D6"/>
    <w:pPr>
      <w:spacing w:line="259" w:lineRule="auto"/>
      <w:jc w:val="left"/>
      <w:outlineLvl w:val="9"/>
    </w:pPr>
    <w:rPr>
      <w:rFonts w:asciiTheme="majorHAnsi" w:hAnsiTheme="majorHAnsi"/>
      <w:szCs w:val="32"/>
      <w:lang w:val="en-US" w:bidi="ar-SA"/>
    </w:rPr>
  </w:style>
  <w:style w:type="paragraph" w:styleId="TOC1">
    <w:name w:val="toc 1"/>
    <w:basedOn w:val="Normal"/>
    <w:next w:val="Normal"/>
    <w:autoRedefine/>
    <w:uiPriority w:val="39"/>
    <w:unhideWhenUsed/>
    <w:rsid w:val="000402D6"/>
    <w:pPr>
      <w:spacing w:after="100"/>
    </w:pPr>
  </w:style>
  <w:style w:type="character" w:styleId="Hyperlink">
    <w:name w:val="Hyperlink"/>
    <w:basedOn w:val="DefaultParagraphFont"/>
    <w:uiPriority w:val="99"/>
    <w:unhideWhenUsed/>
    <w:rsid w:val="000402D6"/>
    <w:rPr>
      <w:color w:val="0563C1" w:themeColor="hyperlink"/>
      <w:u w:val="single"/>
    </w:rPr>
  </w:style>
  <w:style w:type="paragraph" w:styleId="Header">
    <w:name w:val="header"/>
    <w:basedOn w:val="Normal"/>
    <w:link w:val="HeaderChar"/>
    <w:uiPriority w:val="99"/>
    <w:unhideWhenUsed/>
    <w:rsid w:val="00E513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39E"/>
    <w:rPr>
      <w:rFonts w:ascii="Times New Roman" w:hAnsi="Times New Roman"/>
      <w:sz w:val="24"/>
    </w:rPr>
  </w:style>
  <w:style w:type="paragraph" w:styleId="Footer">
    <w:name w:val="footer"/>
    <w:basedOn w:val="Normal"/>
    <w:link w:val="FooterChar"/>
    <w:uiPriority w:val="99"/>
    <w:unhideWhenUsed/>
    <w:rsid w:val="00E51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39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85F36-2094-4FBD-A9BD-5C7BB95B1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11</Pages>
  <Words>2888</Words>
  <Characters>16464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Yaduraj Bhawsar</dc:creator>
  <cp:lastModifiedBy>Nicoleta</cp:lastModifiedBy>
  <cp:revision>29</cp:revision>
  <dcterms:created xsi:type="dcterms:W3CDTF">2023-05-31T04:35:00Z</dcterms:created>
  <dcterms:modified xsi:type="dcterms:W3CDTF">2023-06-10T11:24:00Z</dcterms:modified>
</cp:coreProperties>
</file>