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9EDBDF" w14:textId="2326BE94" w:rsidR="0080070C" w:rsidRDefault="00707750" w:rsidP="0080070C">
      <w:pPr>
        <w:autoSpaceDE w:val="0"/>
        <w:autoSpaceDN w:val="0"/>
        <w:adjustRightInd w:val="0"/>
        <w:spacing w:after="298" w:line="360" w:lineRule="auto"/>
        <w:jc w:val="both"/>
        <w:rPr>
          <w:rFonts w:ascii="Arial" w:hAnsi="Arial" w:cs="Arial"/>
          <w:b/>
          <w:bCs/>
          <w:color w:val="000000"/>
          <w:kern w:val="0"/>
        </w:rPr>
      </w:pPr>
      <w:r w:rsidRPr="00707750">
        <w:rPr>
          <w:rFonts w:ascii="Arial" w:hAnsi="Arial" w:cs="Arial"/>
          <w:b/>
          <w:bCs/>
          <w:noProof/>
          <w:color w:val="000000"/>
          <w:kern w:val="0"/>
        </w:rPr>
        <w:drawing>
          <wp:inline distT="0" distB="0" distL="0" distR="0" wp14:anchorId="2069F5B4" wp14:editId="24750259">
            <wp:extent cx="5731510" cy="2402205"/>
            <wp:effectExtent l="0" t="0" r="0" b="0"/>
            <wp:docPr id="10612781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78139" name=""/>
                    <pic:cNvPicPr/>
                  </pic:nvPicPr>
                  <pic:blipFill>
                    <a:blip r:embed="rId7"/>
                    <a:stretch>
                      <a:fillRect/>
                    </a:stretch>
                  </pic:blipFill>
                  <pic:spPr>
                    <a:xfrm>
                      <a:off x="0" y="0"/>
                      <a:ext cx="5731510" cy="2402205"/>
                    </a:xfrm>
                    <a:prstGeom prst="rect">
                      <a:avLst/>
                    </a:prstGeom>
                  </pic:spPr>
                </pic:pic>
              </a:graphicData>
            </a:graphic>
          </wp:inline>
        </w:drawing>
      </w:r>
    </w:p>
    <w:p w14:paraId="4D71899A" w14:textId="77777777" w:rsidR="00707750" w:rsidRDefault="00707750" w:rsidP="00707750">
      <w:pPr>
        <w:autoSpaceDE w:val="0"/>
        <w:autoSpaceDN w:val="0"/>
        <w:adjustRightInd w:val="0"/>
        <w:spacing w:after="373" w:line="560" w:lineRule="atLeast"/>
        <w:rPr>
          <w:rFonts w:ascii="Arial" w:hAnsi="Arial" w:cs="Arial"/>
          <w:b/>
          <w:bCs/>
          <w:color w:val="000000"/>
          <w:kern w:val="0"/>
        </w:rPr>
      </w:pPr>
    </w:p>
    <w:p w14:paraId="233A4902" w14:textId="0BEAE576"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Programme: Master of Business Administration</w:t>
      </w:r>
    </w:p>
    <w:p w14:paraId="0E0F9B3C"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Module: Marketing Management</w:t>
      </w:r>
    </w:p>
    <w:p w14:paraId="07C3078B"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Assignment Title: Marketing Environment Analysis</w:t>
      </w:r>
    </w:p>
    <w:p w14:paraId="6005228E" w14:textId="319803B6"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p>
    <w:p w14:paraId="400B913B"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Name: Omkar Jalindar Shinde</w:t>
      </w:r>
    </w:p>
    <w:p w14:paraId="16CF50A3"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Student ID: 2526513</w:t>
      </w:r>
    </w:p>
    <w:p w14:paraId="2A554CA4"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Group: 3</w:t>
      </w:r>
    </w:p>
    <w:p w14:paraId="2569F7BC" w14:textId="77777777"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 xml:space="preserve">Lecturer: Dr. Tola </w:t>
      </w:r>
      <w:proofErr w:type="spellStart"/>
      <w:r>
        <w:rPr>
          <w:rFonts w:ascii="Arial" w:hAnsi="Arial" w:cs="Arial"/>
          <w:b/>
          <w:bCs/>
          <w:color w:val="000000"/>
          <w:kern w:val="0"/>
          <w:sz w:val="37"/>
          <w:szCs w:val="37"/>
        </w:rPr>
        <w:t>Odugbesan</w:t>
      </w:r>
      <w:proofErr w:type="spellEnd"/>
    </w:p>
    <w:p w14:paraId="6D51BE10" w14:textId="0AF2E1F3" w:rsidR="00707750" w:rsidRDefault="00707750" w:rsidP="00707750">
      <w:pPr>
        <w:autoSpaceDE w:val="0"/>
        <w:autoSpaceDN w:val="0"/>
        <w:adjustRightInd w:val="0"/>
        <w:spacing w:after="373" w:line="560" w:lineRule="atLeast"/>
        <w:jc w:val="center"/>
        <w:rPr>
          <w:rFonts w:ascii="Helvetica" w:hAnsi="Helvetica" w:cs="Helvetica"/>
          <w:color w:val="000000"/>
          <w:kern w:val="0"/>
          <w:sz w:val="32"/>
          <w:szCs w:val="32"/>
        </w:rPr>
      </w:pPr>
      <w:r>
        <w:rPr>
          <w:rFonts w:ascii="Arial" w:hAnsi="Arial" w:cs="Arial"/>
          <w:b/>
          <w:bCs/>
          <w:color w:val="000000"/>
          <w:kern w:val="0"/>
          <w:sz w:val="37"/>
          <w:szCs w:val="37"/>
        </w:rPr>
        <w:t>Word Count:</w:t>
      </w:r>
      <w:r w:rsidR="00EC6941">
        <w:rPr>
          <w:rFonts w:ascii="Arial" w:hAnsi="Arial" w:cs="Arial"/>
          <w:b/>
          <w:bCs/>
          <w:color w:val="000000"/>
          <w:kern w:val="0"/>
          <w:sz w:val="37"/>
          <w:szCs w:val="37"/>
        </w:rPr>
        <w:t xml:space="preserve"> 2740</w:t>
      </w:r>
    </w:p>
    <w:p w14:paraId="45E6780D" w14:textId="73F552B0" w:rsidR="0080070C" w:rsidRDefault="0080070C">
      <w:pPr>
        <w:spacing w:line="278" w:lineRule="auto"/>
        <w:rPr>
          <w:rFonts w:ascii="Arial" w:hAnsi="Arial" w:cs="Arial"/>
          <w:b/>
          <w:bCs/>
          <w:color w:val="000000"/>
          <w:kern w:val="0"/>
        </w:rPr>
      </w:pPr>
    </w:p>
    <w:sdt>
      <w:sdtPr>
        <w:id w:val="-1366207274"/>
        <w:docPartObj>
          <w:docPartGallery w:val="Table of Contents"/>
          <w:docPartUnique/>
        </w:docPartObj>
      </w:sdtPr>
      <w:sdtEndPr>
        <w:rPr>
          <w:b w:val="0"/>
          <w:bCs w:val="0"/>
          <w:noProof/>
        </w:rPr>
      </w:sdtEndPr>
      <w:sdtContent>
        <w:p w14:paraId="2A92096D" w14:textId="7EF420F5" w:rsidR="00707750" w:rsidRDefault="00707750" w:rsidP="00707750">
          <w:pPr>
            <w:pStyle w:val="TOCHeading"/>
            <w:outlineLvl w:val="0"/>
          </w:pPr>
          <w:r>
            <w:t>Table of Contents</w:t>
          </w:r>
        </w:p>
      </w:sdtContent>
    </w:sdt>
    <w:p w14:paraId="32F30BEC" w14:textId="19097DD1"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54DDDA7C" w14:textId="77777777" w:rsidR="0080070C" w:rsidRDefault="0080070C">
      <w:pPr>
        <w:spacing w:line="278" w:lineRule="auto"/>
        <w:rPr>
          <w:rFonts w:ascii="Arial" w:hAnsi="Arial" w:cs="Arial"/>
          <w:b/>
          <w:bCs/>
          <w:color w:val="000000"/>
          <w:kern w:val="0"/>
        </w:rPr>
      </w:pPr>
      <w:r>
        <w:rPr>
          <w:rFonts w:ascii="Arial" w:hAnsi="Arial" w:cs="Arial"/>
          <w:b/>
          <w:bCs/>
          <w:color w:val="000000"/>
          <w:kern w:val="0"/>
        </w:rPr>
        <w:br w:type="page"/>
      </w:r>
    </w:p>
    <w:p w14:paraId="218C4C85" w14:textId="2565FE69" w:rsidR="0080070C" w:rsidRDefault="0080070C" w:rsidP="0080070C">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lastRenderedPageBreak/>
        <w:t>1. Introduction.</w:t>
      </w:r>
    </w:p>
    <w:p w14:paraId="1E605F5D"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use of electric vehicles (EVs) is now changing the automotive industry in the global arena in a very significant manner. This shift is largely predetermined by the growing environmental problems, battery and digital technologies, and </w:t>
      </w:r>
      <w:proofErr w:type="spellStart"/>
      <w:r>
        <w:rPr>
          <w:rFonts w:ascii="Arial" w:hAnsi="Arial" w:cs="Arial"/>
          <w:color w:val="000000"/>
          <w:kern w:val="0"/>
        </w:rPr>
        <w:t>favorable</w:t>
      </w:r>
      <w:proofErr w:type="spellEnd"/>
      <w:r>
        <w:rPr>
          <w:rFonts w:ascii="Arial" w:hAnsi="Arial" w:cs="Arial"/>
          <w:color w:val="000000"/>
          <w:kern w:val="0"/>
        </w:rPr>
        <w:t xml:space="preserve"> government policies that will be directed to the reduction of carbon emissions (International Energy Agency, 2024; McKinsey and Company, 2024; Deloitte, 2024). The growth of the application of EVs shows the further transition to sustainable mobility, as the sales of the products keep soaring worldwide due to the affordability, the emergence of infrastructures, and the awareness of consumers (</w:t>
      </w:r>
      <w:proofErr w:type="spellStart"/>
      <w:r>
        <w:rPr>
          <w:rFonts w:ascii="Arial" w:hAnsi="Arial" w:cs="Arial"/>
          <w:color w:val="000000"/>
          <w:kern w:val="0"/>
        </w:rPr>
        <w:t>BloombergNEF</w:t>
      </w:r>
      <w:proofErr w:type="spellEnd"/>
      <w:r>
        <w:rPr>
          <w:rFonts w:ascii="Arial" w:hAnsi="Arial" w:cs="Arial"/>
          <w:color w:val="000000"/>
          <w:kern w:val="0"/>
        </w:rPr>
        <w:t xml:space="preserve">, 2024; </w:t>
      </w:r>
      <w:proofErr w:type="spellStart"/>
      <w:r>
        <w:rPr>
          <w:rFonts w:ascii="Arial" w:hAnsi="Arial" w:cs="Arial"/>
          <w:color w:val="000000"/>
          <w:kern w:val="0"/>
        </w:rPr>
        <w:t>Lutsey</w:t>
      </w:r>
      <w:proofErr w:type="spellEnd"/>
      <w:r>
        <w:rPr>
          <w:rFonts w:ascii="Arial" w:hAnsi="Arial" w:cs="Arial"/>
          <w:color w:val="000000"/>
          <w:kern w:val="0"/>
        </w:rPr>
        <w:t>, 2023; Coffman et al., 2023). This means that automotive firms are increasingly feeling the need to alter their strategic plans to enable them to survive in this dynamic world. The firms in the EV industry can be classified as pioneers or followers according to their innovation abilities and the time they entered the market. Tesla is well known as an innovative organisation as it invested in battery technology, software integration, and autonomous driving system early enough to gain a solid market position (</w:t>
      </w:r>
      <w:proofErr w:type="spellStart"/>
      <w:r>
        <w:rPr>
          <w:rFonts w:ascii="Arial" w:hAnsi="Arial" w:cs="Arial"/>
          <w:color w:val="000000"/>
          <w:kern w:val="0"/>
        </w:rPr>
        <w:t>Lutsey</w:t>
      </w:r>
      <w:proofErr w:type="spellEnd"/>
      <w:r>
        <w:rPr>
          <w:rFonts w:ascii="Arial" w:hAnsi="Arial" w:cs="Arial"/>
          <w:color w:val="000000"/>
          <w:kern w:val="0"/>
        </w:rPr>
        <w:t xml:space="preserve">, 2023; Coffman et al., 2023; </w:t>
      </w:r>
      <w:proofErr w:type="spellStart"/>
      <w:r>
        <w:rPr>
          <w:rFonts w:ascii="Arial" w:hAnsi="Arial" w:cs="Arial"/>
          <w:color w:val="000000"/>
          <w:kern w:val="0"/>
        </w:rPr>
        <w:t>BloombergNEF</w:t>
      </w:r>
      <w:proofErr w:type="spellEnd"/>
      <w:r>
        <w:rPr>
          <w:rFonts w:ascii="Arial" w:hAnsi="Arial" w:cs="Arial"/>
          <w:color w:val="000000"/>
          <w:kern w:val="0"/>
        </w:rPr>
        <w:t>, 2024). Conversely, Ford Motor Company is a follower approach, slowly moving to the EV market by electrifying the current vehicle lineup by taking advantage of its manufacturing capacity (Ford, 2024; McKinsey &amp; Company, 2024; Deloitte, 2024).</w:t>
      </w:r>
    </w:p>
    <w:p w14:paraId="72372C7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Strategic decision making requires the understanding of the macro marketing environment, because this helps the firms to determine the opportunities and threats outside the firm. PESTLE analysis tools offer a systematic guideline to assess technological and environmental forces that are defining industry forces (Johnson et al., 2020; Kotler and Keller, 2022; Grant, 2022). This report is a critical analysis of these factors and a study of the strategic responses of Tesla and Ford.</w:t>
      </w:r>
    </w:p>
    <w:p w14:paraId="49B23F47" w14:textId="77777777" w:rsidR="0080070C" w:rsidRDefault="0080070C" w:rsidP="0080070C">
      <w:pPr>
        <w:autoSpaceDE w:val="0"/>
        <w:autoSpaceDN w:val="0"/>
        <w:adjustRightInd w:val="0"/>
        <w:spacing w:after="240" w:line="360" w:lineRule="auto"/>
        <w:jc w:val="both"/>
        <w:rPr>
          <w:rFonts w:ascii="Arial" w:hAnsi="Arial" w:cs="Arial"/>
          <w:color w:val="000000"/>
          <w:kern w:val="0"/>
        </w:rPr>
      </w:pPr>
    </w:p>
    <w:p w14:paraId="5632637A"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661F339B"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573D9816"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560BBDEA" w14:textId="0ECD137F" w:rsidR="0080070C" w:rsidRDefault="0080070C" w:rsidP="0080070C">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lastRenderedPageBreak/>
        <w:t>2. Critical Analysis of the Macro Marketing Environment.</w:t>
      </w:r>
    </w:p>
    <w:p w14:paraId="1B819679"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2.1 Macro Marketing Environment.</w:t>
      </w:r>
    </w:p>
    <w:p w14:paraId="557658F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Macro marketing environment is the external environment that affects the organisational performance and cannot be controlled by the managers. To </w:t>
      </w:r>
      <w:proofErr w:type="spellStart"/>
      <w:r>
        <w:rPr>
          <w:rFonts w:ascii="Arial" w:hAnsi="Arial" w:cs="Arial"/>
          <w:color w:val="000000"/>
          <w:kern w:val="0"/>
        </w:rPr>
        <w:t>analyze</w:t>
      </w:r>
      <w:proofErr w:type="spellEnd"/>
      <w:r>
        <w:rPr>
          <w:rFonts w:ascii="Arial" w:hAnsi="Arial" w:cs="Arial"/>
          <w:color w:val="000000"/>
          <w:kern w:val="0"/>
        </w:rPr>
        <w:t xml:space="preserve"> these forces in a systematic manner, the PESTLE framework (which includes Political, Economic, Social, Technological, Legal, and Environmental) is a popular method of evaluating these influences and their strategic consequences (Johnson et al., 2020; Kotler and Keller, 2022; Grant, 2022). These forces are especially dynamic in the industry of the electric vehicle (EV) because of the fast innovation, regulatory interference, and changing consumer preferences.</w:t>
      </w:r>
    </w:p>
    <w:p w14:paraId="3840516D"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 PESTEL technological and environmental aspects are viewed as the most strategic in the formation of the EV industry. Technological advancement has a direct impact on the performance of the products, cost structure, and differentiation, namely, battery power, charging stations, and digitization (</w:t>
      </w:r>
      <w:proofErr w:type="spellStart"/>
      <w:r>
        <w:rPr>
          <w:rFonts w:ascii="Arial" w:hAnsi="Arial" w:cs="Arial"/>
          <w:color w:val="000000"/>
          <w:kern w:val="0"/>
        </w:rPr>
        <w:t>Lutsey</w:t>
      </w:r>
      <w:proofErr w:type="spellEnd"/>
      <w:r>
        <w:rPr>
          <w:rFonts w:ascii="Arial" w:hAnsi="Arial" w:cs="Arial"/>
          <w:color w:val="000000"/>
          <w:kern w:val="0"/>
        </w:rPr>
        <w:t xml:space="preserve">, 2023; </w:t>
      </w:r>
      <w:proofErr w:type="spellStart"/>
      <w:r>
        <w:rPr>
          <w:rFonts w:ascii="Arial" w:hAnsi="Arial" w:cs="Arial"/>
          <w:color w:val="000000"/>
          <w:kern w:val="0"/>
        </w:rPr>
        <w:t>BloombergNEF</w:t>
      </w:r>
      <w:proofErr w:type="spellEnd"/>
      <w:r>
        <w:rPr>
          <w:rFonts w:ascii="Arial" w:hAnsi="Arial" w:cs="Arial"/>
          <w:color w:val="000000"/>
          <w:kern w:val="0"/>
        </w:rPr>
        <w:t>, 2024; McKinsey and Company, 2024). At the same time, the shift to the use of electric mobility is accelerated by the environmental and regulatory requirements, including carbon emissions, government incentives, and sustainability policies (IEA, 2024; Deloitte, 2024; Coffman et al., 2023).</w:t>
      </w:r>
    </w:p>
    <w:p w14:paraId="16809DF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These elements are interrelated and they all change the competition in the industry. As an example, the increased demands on technology create the need to innovate, whereas technological improvements contribute to the ease of compliance with the regulations (</w:t>
      </w:r>
      <w:proofErr w:type="spellStart"/>
      <w:r>
        <w:rPr>
          <w:rFonts w:ascii="Arial" w:hAnsi="Arial" w:cs="Arial"/>
          <w:color w:val="000000"/>
          <w:kern w:val="0"/>
        </w:rPr>
        <w:t>Sovacool</w:t>
      </w:r>
      <w:proofErr w:type="spellEnd"/>
      <w:r>
        <w:rPr>
          <w:rFonts w:ascii="Arial" w:hAnsi="Arial" w:cs="Arial"/>
          <w:color w:val="000000"/>
          <w:kern w:val="0"/>
        </w:rPr>
        <w:t xml:space="preserve"> et al., 2023; Wells and Nieuwenhuis, 2022; McKinsey and Company, 2024). Consequently, the companies that can match their competence with such macro-environmental shifts have higher chances of attaining sustainable competitive advantage.</w:t>
      </w:r>
    </w:p>
    <w:p w14:paraId="5F37C3C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Therefore, the technological and environmental variables are to be examined to understand how the organisations such as Tesla and Ford reacted to the external pressures. The factors not only determine the industry formation, but also influence the strategic positioning, the ability to innovate, and the competitiveness of the industry in the long term in the world market of EVs (Deloitte, 2024; IEA, 2024; Grant, 2022).</w:t>
      </w:r>
    </w:p>
    <w:p w14:paraId="6CF75398"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795E569F" w14:textId="08EFA771" w:rsidR="0080070C" w:rsidRDefault="0080070C" w:rsidP="0080070C">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2.2 Macro Factor 1 Analysis: Technological Developments.</w:t>
      </w:r>
    </w:p>
    <w:p w14:paraId="332E0DD8"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2.2.1 Effect on the Pioneer Organisation (Tesla).</w:t>
      </w:r>
    </w:p>
    <w:p w14:paraId="08D5E98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Tesla also has a significant opportunity in the use of technology as it will assist the company to retain the first-mover advantage in the EV market. The results of the constant development of batteries, artificial intelligence, and software system, which are more efficient, have expanded range and a more advanced autopilot have enabled the high-quality cars (</w:t>
      </w:r>
      <w:proofErr w:type="spellStart"/>
      <w:r>
        <w:rPr>
          <w:rFonts w:ascii="Arial" w:hAnsi="Arial" w:cs="Arial"/>
          <w:color w:val="000000"/>
          <w:kern w:val="0"/>
        </w:rPr>
        <w:t>Lutsey</w:t>
      </w:r>
      <w:proofErr w:type="spellEnd"/>
      <w:r>
        <w:rPr>
          <w:rFonts w:ascii="Arial" w:hAnsi="Arial" w:cs="Arial"/>
          <w:color w:val="000000"/>
          <w:kern w:val="0"/>
        </w:rPr>
        <w:t>, 2023; McKinsey and Company, 2024; Coffman et al., 2023). The market data demonstrate that Tesla is among the top-ranking companies in terms of battery performance and the over-the-air updates to the software, which help it to control the technological market (</w:t>
      </w:r>
      <w:proofErr w:type="spellStart"/>
      <w:r>
        <w:rPr>
          <w:rFonts w:ascii="Arial" w:hAnsi="Arial" w:cs="Arial"/>
          <w:color w:val="000000"/>
          <w:kern w:val="0"/>
        </w:rPr>
        <w:t>BloombergNEF</w:t>
      </w:r>
      <w:proofErr w:type="spellEnd"/>
      <w:r>
        <w:rPr>
          <w:rFonts w:ascii="Arial" w:hAnsi="Arial" w:cs="Arial"/>
          <w:color w:val="000000"/>
          <w:kern w:val="0"/>
        </w:rPr>
        <w:t>, 2024; IEA, 2024; Deloitte, 2024).</w:t>
      </w:r>
    </w:p>
    <w:p w14:paraId="116C42D3"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The result of this kind of technological leadership is transformed into </w:t>
      </w:r>
      <w:proofErr w:type="gramStart"/>
      <w:r>
        <w:rPr>
          <w:rFonts w:ascii="Arial" w:hAnsi="Arial" w:cs="Arial"/>
          <w:color w:val="000000"/>
          <w:kern w:val="0"/>
        </w:rPr>
        <w:t>high</w:t>
      </w:r>
      <w:proofErr w:type="gramEnd"/>
      <w:r>
        <w:rPr>
          <w:rFonts w:ascii="Arial" w:hAnsi="Arial" w:cs="Arial"/>
          <w:color w:val="000000"/>
          <w:kern w:val="0"/>
        </w:rPr>
        <w:t xml:space="preserve"> competitive advantage as product differentiation and brand positioning.</w:t>
      </w:r>
    </w:p>
    <w:p w14:paraId="014C524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A verticalized model also makes Tesla more innovative and in control of the production process, which decreases the reliance on the external supplier (Grant, 2022; Rothaermel, 2021; McKinsey and Company, 2024). However, the threat of the rapid technological change is also present, and this implies that it must invest extensively to be capable of maintaining the leadership.</w:t>
      </w:r>
    </w:p>
    <w:p w14:paraId="67FD150E"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p>
    <w:p w14:paraId="731D9AD1"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r>
        <w:rPr>
          <w:rFonts w:ascii="Arial" w:hAnsi="Arial" w:cs="Arial"/>
          <w:b/>
          <w:bCs/>
          <w:color w:val="000000"/>
          <w:kern w:val="0"/>
        </w:rPr>
        <w:t>2.2.2 Effect on the Follower Organisation (Ford).</w:t>
      </w:r>
    </w:p>
    <w:p w14:paraId="51C93C5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 the case of Ford, technological change is an opportunity as well as a major challenge. Being a late player in the EV market, Ford will have to spend a lot of money on new technologies like battery systems, electric drives, and digital solutions to be competitive (Deloitte, 2024; McKinsey and Company, 2024; Wells and Nieuwenhuis, 2022). This burdens them financially and operationally complexity particularly as the company moves out to the traditional manufacturing systems that are applied in internal combustion engines.</w:t>
      </w:r>
    </w:p>
    <w:p w14:paraId="301C853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These obstacles notwithstanding, Ford can be adaptable, since it can utilize the current production foundation and scale EVs including the Mustang Mach-E and F-150 Lightning (Ford, 2024; </w:t>
      </w:r>
      <w:proofErr w:type="spellStart"/>
      <w:r>
        <w:rPr>
          <w:rFonts w:ascii="Arial" w:hAnsi="Arial" w:cs="Arial"/>
          <w:color w:val="000000"/>
          <w:kern w:val="0"/>
        </w:rPr>
        <w:t>BloombergNEF</w:t>
      </w:r>
      <w:proofErr w:type="spellEnd"/>
      <w:r>
        <w:rPr>
          <w:rFonts w:ascii="Arial" w:hAnsi="Arial" w:cs="Arial"/>
          <w:color w:val="000000"/>
          <w:kern w:val="0"/>
        </w:rPr>
        <w:t>, 2024; IEA, 2024). Tesla stands at a better position to endure technological disruptive change due to having legacy systems unlike the fact that Ford is a company with a robust supply chain and an international presence and thus it can adapt slowly.</w:t>
      </w:r>
    </w:p>
    <w:p w14:paraId="512E43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Therefore, technology is both a limitation and an opportunity, which affects the changing market position of Ford in the EV market.</w:t>
      </w:r>
    </w:p>
    <w:p w14:paraId="76CE2D0B"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2.3 Analysis of Macro Factor 2: Environmental and Regulatory Factors.</w:t>
      </w:r>
    </w:p>
    <w:p w14:paraId="5EA30677"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2.3.1 Organisation Impact on the Pioneer (Tesla).</w:t>
      </w:r>
    </w:p>
    <w:p w14:paraId="2F3BECA8" w14:textId="77777777" w:rsidR="0080070C" w:rsidRDefault="0080070C" w:rsidP="0080070C">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Tesla has a considerable opportunity with environmental and regulatory factors because its business model perfectly corresponds to the interests of global decarbonisation. The adoption of EVs also has a growing trend because the governments of different countries are adopting tougher rules on emissions, and provide subsidies and tax benefits to purchase EVs, which directly triggers the demand of Tesla zero-emission cars (International Energy Agency, 2024; Deloitte, 2024; McKinsey and Company, 2024). Major markets are also increasing the EV development, specifically in Europe and China due to the impact of policy, which enhances the possibility of Tesla to expand internationally (</w:t>
      </w:r>
      <w:proofErr w:type="spellStart"/>
      <w:r>
        <w:rPr>
          <w:rFonts w:ascii="Arial" w:hAnsi="Arial" w:cs="Arial"/>
          <w:color w:val="000000"/>
          <w:kern w:val="0"/>
        </w:rPr>
        <w:t>BloombergNEF</w:t>
      </w:r>
      <w:proofErr w:type="spellEnd"/>
      <w:r>
        <w:rPr>
          <w:rFonts w:ascii="Arial" w:hAnsi="Arial" w:cs="Arial"/>
          <w:color w:val="000000"/>
          <w:kern w:val="0"/>
        </w:rPr>
        <w:t xml:space="preserve">, 2024; </w:t>
      </w:r>
      <w:proofErr w:type="spellStart"/>
      <w:r>
        <w:rPr>
          <w:rFonts w:ascii="Arial" w:hAnsi="Arial" w:cs="Arial"/>
          <w:color w:val="000000"/>
          <w:kern w:val="0"/>
        </w:rPr>
        <w:t>Sovacool</w:t>
      </w:r>
      <w:proofErr w:type="spellEnd"/>
      <w:r>
        <w:rPr>
          <w:rFonts w:ascii="Arial" w:hAnsi="Arial" w:cs="Arial"/>
          <w:color w:val="000000"/>
          <w:kern w:val="0"/>
        </w:rPr>
        <w:t xml:space="preserve"> et al., 2023; Coffman et al., 2023).</w:t>
      </w:r>
    </w:p>
    <w:p w14:paraId="28F2B250" w14:textId="77777777" w:rsidR="0080070C" w:rsidRDefault="0080070C" w:rsidP="0080070C">
      <w:pPr>
        <w:autoSpaceDE w:val="0"/>
        <w:autoSpaceDN w:val="0"/>
        <w:adjustRightInd w:val="0"/>
        <w:spacing w:after="321" w:line="360" w:lineRule="auto"/>
        <w:jc w:val="both"/>
        <w:rPr>
          <w:rFonts w:ascii="Arial" w:hAnsi="Arial" w:cs="Arial"/>
          <w:color w:val="000000"/>
          <w:kern w:val="0"/>
        </w:rPr>
      </w:pPr>
      <w:r>
        <w:rPr>
          <w:rFonts w:ascii="Arial" w:hAnsi="Arial" w:cs="Arial"/>
          <w:color w:val="000000"/>
          <w:kern w:val="0"/>
        </w:rPr>
        <w:t>Additionally, Tesla will gain a pleasant financial effect by selling carbon credits to non-compliant firms, which will boost their sources of income (</w:t>
      </w:r>
      <w:proofErr w:type="spellStart"/>
      <w:r>
        <w:rPr>
          <w:rFonts w:ascii="Arial" w:hAnsi="Arial" w:cs="Arial"/>
          <w:color w:val="000000"/>
          <w:kern w:val="0"/>
        </w:rPr>
        <w:t>Lutsey</w:t>
      </w:r>
      <w:proofErr w:type="spellEnd"/>
      <w:r>
        <w:rPr>
          <w:rFonts w:ascii="Arial" w:hAnsi="Arial" w:cs="Arial"/>
          <w:color w:val="000000"/>
          <w:kern w:val="0"/>
        </w:rPr>
        <w:t>, 2023; McKinsey and Company, 2024; IEA, 2024). These factors create a strong competitive advantage, and this brand of Tesla is a sustainability innovator and reduces regulatory risk in comparison with the traditional car producers.</w:t>
      </w:r>
    </w:p>
    <w:p w14:paraId="42E5C721"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26F574C5"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1CCEC044"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5D25A9CB"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p>
    <w:p w14:paraId="04150527" w14:textId="77777777" w:rsidR="0080070C" w:rsidRDefault="0080070C" w:rsidP="0080070C">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2.3.2 Organisational Impact on the Follower (Ford).</w:t>
      </w:r>
    </w:p>
    <w:p w14:paraId="35734A3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Ford is under great threat of the environmental and regulatory forces because the company has had a traditional reliance on the internal combustion engine cars whose emissions are higher. The increase in the intensity of emission standards and rules by the government causes a strong pressure to invest in the electrification, which imposes a financial and operational burden (International Energy Agency, 2024; Deloitte, 2024; McKinsey and Company, 2024). According to these rules, manufacturing processes and supply chains must change rapidly, which places Ford at a disadvantage in comparison with EV-native businesses (Wells and Nieuwenhuis, 2022; </w:t>
      </w:r>
      <w:proofErr w:type="spellStart"/>
      <w:r>
        <w:rPr>
          <w:rFonts w:ascii="Arial" w:hAnsi="Arial" w:cs="Arial"/>
          <w:color w:val="000000"/>
          <w:kern w:val="0"/>
        </w:rPr>
        <w:t>Sovacool</w:t>
      </w:r>
      <w:proofErr w:type="spellEnd"/>
      <w:r>
        <w:rPr>
          <w:rFonts w:ascii="Arial" w:hAnsi="Arial" w:cs="Arial"/>
          <w:color w:val="000000"/>
          <w:kern w:val="0"/>
        </w:rPr>
        <w:t xml:space="preserve"> et al., 2023; </w:t>
      </w:r>
      <w:proofErr w:type="spellStart"/>
      <w:r>
        <w:rPr>
          <w:rFonts w:ascii="Arial" w:hAnsi="Arial" w:cs="Arial"/>
          <w:color w:val="000000"/>
          <w:kern w:val="0"/>
        </w:rPr>
        <w:t>BloombergNEF</w:t>
      </w:r>
      <w:proofErr w:type="spellEnd"/>
      <w:r>
        <w:rPr>
          <w:rFonts w:ascii="Arial" w:hAnsi="Arial" w:cs="Arial"/>
          <w:color w:val="000000"/>
          <w:kern w:val="0"/>
        </w:rPr>
        <w:t>, 2024).</w:t>
      </w:r>
    </w:p>
    <w:p w14:paraId="22F2D76E" w14:textId="77777777" w:rsidR="0080070C" w:rsidRDefault="0080070C" w:rsidP="0080070C">
      <w:pPr>
        <w:autoSpaceDE w:val="0"/>
        <w:autoSpaceDN w:val="0"/>
        <w:adjustRightInd w:val="0"/>
        <w:spacing w:after="240" w:line="360" w:lineRule="auto"/>
        <w:jc w:val="both"/>
        <w:rPr>
          <w:rFonts w:ascii="Arial" w:hAnsi="Arial" w:cs="Arial"/>
          <w:b/>
          <w:bCs/>
          <w:color w:val="000000"/>
          <w:kern w:val="0"/>
        </w:rPr>
      </w:pPr>
      <w:r>
        <w:rPr>
          <w:rFonts w:ascii="Arial" w:hAnsi="Arial" w:cs="Arial"/>
          <w:color w:val="000000"/>
          <w:kern w:val="0"/>
        </w:rPr>
        <w:t>These control forces, however, leave the prospects of repositioning Ford in the EV market as well. Ford is flexible and it is environmentally friendly in terms of investing in such electric models as the Mustang Mach-E or F-150 Lightning (Ford, 2024; McKinsey and Company, 2024; IEA, 2024). Consequently, it is the regulation of the environment that acts as a restricting and motivating force and alters the existing situation of Ford and its competitiveness in the long term.</w:t>
      </w:r>
    </w:p>
    <w:p w14:paraId="593F5A52" w14:textId="432162C5" w:rsidR="0080070C" w:rsidRDefault="0080070C" w:rsidP="0080070C">
      <w:pPr>
        <w:autoSpaceDE w:val="0"/>
        <w:autoSpaceDN w:val="0"/>
        <w:adjustRightInd w:val="0"/>
        <w:spacing w:after="321" w:line="360" w:lineRule="auto"/>
        <w:jc w:val="both"/>
        <w:rPr>
          <w:rFonts w:ascii="Arial" w:hAnsi="Arial" w:cs="Arial"/>
          <w:b/>
          <w:bCs/>
          <w:color w:val="000000"/>
          <w:kern w:val="0"/>
        </w:rPr>
      </w:pPr>
      <w:r>
        <w:rPr>
          <w:rFonts w:ascii="Arial" w:hAnsi="Arial" w:cs="Arial"/>
          <w:b/>
          <w:bCs/>
          <w:color w:val="000000"/>
          <w:kern w:val="0"/>
        </w:rPr>
        <w:t>3.</w:t>
      </w:r>
      <w:r w:rsidR="002A052C">
        <w:rPr>
          <w:rFonts w:ascii="Arial" w:hAnsi="Arial" w:cs="Arial"/>
          <w:b/>
          <w:bCs/>
          <w:color w:val="000000"/>
          <w:kern w:val="0"/>
        </w:rPr>
        <w:t xml:space="preserve"> </w:t>
      </w:r>
      <w:r>
        <w:rPr>
          <w:rFonts w:ascii="Arial" w:hAnsi="Arial" w:cs="Arial"/>
          <w:b/>
          <w:bCs/>
          <w:color w:val="000000"/>
          <w:kern w:val="0"/>
        </w:rPr>
        <w:t>Strategic Responses of Pioneering and Follower Organisations</w:t>
      </w:r>
    </w:p>
    <w:p w14:paraId="6E78E0F1"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3.1 Developing Strategic Responses Organisation (Tesla).</w:t>
      </w:r>
    </w:p>
    <w:p w14:paraId="2E5A5FA2"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Being one of the first organisations in the industry of electric vehicles (EV), Tesla has formulated strategic responses that are highly congruent with the external technological development and environmental policies. Applying the system of Generic Strategies designed by Michael Porter, Tesla has the strategy of differentiation as its primary one, as the company is more focused on innovation, performance, and sustainability to gain competitive advantage (Porter, 2008; Grant, 2022; Kotler and Keller, 2022). Such a strategic location will also allow Tesla to react to the opportunities of macro-environments to the growing need of sustainable mobility and high-tech vehicles (IEA, 2024; McKinsey and Company, 2024; Deloitte, 2024).</w:t>
      </w:r>
    </w:p>
    <w:p w14:paraId="5C139AD9"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One of the most important aspects of the strategic reaction of Tesla is the significant investment in research and development, including the technologies of batteries, artificial intelligence, and software integration. These technologies enable Tesla to provide better product operation, such as long driving range and autonomous driving, which makes it stand out among its rivals (</w:t>
      </w:r>
      <w:proofErr w:type="spellStart"/>
      <w:r>
        <w:rPr>
          <w:rFonts w:ascii="Arial" w:hAnsi="Arial" w:cs="Arial"/>
          <w:color w:val="000000"/>
          <w:kern w:val="0"/>
        </w:rPr>
        <w:t>Lutsey</w:t>
      </w:r>
      <w:proofErr w:type="spellEnd"/>
      <w:r>
        <w:rPr>
          <w:rFonts w:ascii="Arial" w:hAnsi="Arial" w:cs="Arial"/>
          <w:color w:val="000000"/>
          <w:kern w:val="0"/>
        </w:rPr>
        <w:t xml:space="preserve">, 2023; Coffman et al., 2023; </w:t>
      </w:r>
      <w:proofErr w:type="spellStart"/>
      <w:r>
        <w:rPr>
          <w:rFonts w:ascii="Arial" w:hAnsi="Arial" w:cs="Arial"/>
          <w:color w:val="000000"/>
          <w:kern w:val="0"/>
        </w:rPr>
        <w:t>BloombergNEF</w:t>
      </w:r>
      <w:proofErr w:type="spellEnd"/>
      <w:r>
        <w:rPr>
          <w:rFonts w:ascii="Arial" w:hAnsi="Arial" w:cs="Arial"/>
          <w:color w:val="000000"/>
          <w:kern w:val="0"/>
        </w:rPr>
        <w:t>, 2024). As an illustration, the over-the-air software updates and Full Self-Driving (FSD) capabilities of Tesla will show that the company uses technology to add value to customers all the time. Such an ability not only builds the brand loyalty but also causes the high switching costs, supporting the competitive stance of Tesla in the EV market (McKinsey &amp; Company, 2024; Grant, 2022; Rothaermel, 2021).</w:t>
      </w:r>
    </w:p>
    <w:p w14:paraId="77285E3B"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More so, the verticalized business model of Tesla is a strategic reaction that is critical to the outside pressures of supply chain discontinuities and increasing production expenses. Controlling the key elements, such as battery manufacturing and software development, Tesla decreases the reliance on other suppliers and enhances the performance (</w:t>
      </w:r>
      <w:proofErr w:type="spellStart"/>
      <w:r>
        <w:rPr>
          <w:rFonts w:ascii="Arial" w:hAnsi="Arial" w:cs="Arial"/>
          <w:color w:val="000000"/>
          <w:kern w:val="0"/>
        </w:rPr>
        <w:t>Lutsey</w:t>
      </w:r>
      <w:proofErr w:type="spellEnd"/>
      <w:r>
        <w:rPr>
          <w:rFonts w:ascii="Arial" w:hAnsi="Arial" w:cs="Arial"/>
          <w:color w:val="000000"/>
          <w:kern w:val="0"/>
        </w:rPr>
        <w:t>, 2023; McKinsey and Company, 2024; Deloitte, 2024). This integration will allow quicker innovation cycles and cost optimisation, giving a sustainable competitive advantage in a very dynamic industry. Also, the approach of Tesla to go global, with Gigafactories in the key markets such as China and Europe, fits the Ansoff concept of market development, enabling the company to increase production and win the international market (</w:t>
      </w:r>
      <w:proofErr w:type="spellStart"/>
      <w:r>
        <w:rPr>
          <w:rFonts w:ascii="Arial" w:hAnsi="Arial" w:cs="Arial"/>
          <w:color w:val="000000"/>
          <w:kern w:val="0"/>
        </w:rPr>
        <w:t>BloombergNEF</w:t>
      </w:r>
      <w:proofErr w:type="spellEnd"/>
      <w:r>
        <w:rPr>
          <w:rFonts w:ascii="Arial" w:hAnsi="Arial" w:cs="Arial"/>
          <w:color w:val="000000"/>
          <w:kern w:val="0"/>
        </w:rPr>
        <w:t>, 2024; IEA, 2024; McKinsey and Company, 2024).</w:t>
      </w:r>
    </w:p>
    <w:p w14:paraId="62B3F0BF"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Nevertheless, Tesla has several strategic issues, even with its high differentiation strategy. The fact of rapid technological change assumes the use of the high investment in innovation that exerts financial pressure and strain on profitability (Deloitte, 2024; Grant, 2022; Coffman et al., 2023). Also, the increasing competition of the well-established manufacturers and the appearance of new ones are gradually depriving Tesla of the market share, particularly when its competitors are increasing their technological capabilities (</w:t>
      </w:r>
      <w:proofErr w:type="spellStart"/>
      <w:r>
        <w:rPr>
          <w:rFonts w:ascii="Arial" w:hAnsi="Arial" w:cs="Arial"/>
          <w:color w:val="000000"/>
          <w:kern w:val="0"/>
        </w:rPr>
        <w:t>BloombergNEF</w:t>
      </w:r>
      <w:proofErr w:type="spellEnd"/>
      <w:r>
        <w:rPr>
          <w:rFonts w:ascii="Arial" w:hAnsi="Arial" w:cs="Arial"/>
          <w:color w:val="000000"/>
          <w:kern w:val="0"/>
        </w:rPr>
        <w:t>, 2024; McKinsey and Company, 2024; IEA, 2024). This means that differentiation may be a good competitive advantage but not cost-effective and scalable in the long term.</w:t>
      </w:r>
    </w:p>
    <w:p w14:paraId="2C27BE35"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 xml:space="preserve">To sum up, the strategic response of Tesla shows that the company has a high level of alignment between its internal competencies and the external environment conditions. The continuous innovation, vertical integration, and internationalization can help the firm to take advantage of the opportunities presented by the technological and regulatory environments via its differentiation approach. However, the ability of Tesla to be innovative, as well as cost-competitive in a world that is becoming </w:t>
      </w:r>
      <w:proofErr w:type="gramStart"/>
      <w:r>
        <w:rPr>
          <w:rFonts w:ascii="Arial" w:hAnsi="Arial" w:cs="Arial"/>
          <w:color w:val="000000"/>
          <w:kern w:val="0"/>
        </w:rPr>
        <w:t>more and more</w:t>
      </w:r>
      <w:proofErr w:type="gramEnd"/>
      <w:r>
        <w:rPr>
          <w:rFonts w:ascii="Arial" w:hAnsi="Arial" w:cs="Arial"/>
          <w:color w:val="000000"/>
          <w:kern w:val="0"/>
        </w:rPr>
        <w:t xml:space="preserve"> saturated with EVs, will define its ability to retain this edge (Kotler and Keller, 2022; Grant, 2022; McKinsey and Company, 2024).</w:t>
      </w:r>
    </w:p>
    <w:p w14:paraId="0BB8C389" w14:textId="77777777" w:rsidR="0080070C" w:rsidRDefault="0080070C" w:rsidP="0080070C">
      <w:pPr>
        <w:autoSpaceDE w:val="0"/>
        <w:autoSpaceDN w:val="0"/>
        <w:adjustRightInd w:val="0"/>
        <w:spacing w:after="298" w:line="360" w:lineRule="auto"/>
        <w:jc w:val="both"/>
        <w:rPr>
          <w:rFonts w:ascii="Arial" w:hAnsi="Arial" w:cs="Arial"/>
          <w:b/>
          <w:bCs/>
          <w:color w:val="6D6D6D"/>
          <w:kern w:val="0"/>
        </w:rPr>
      </w:pPr>
    </w:p>
    <w:p w14:paraId="4A320ECC"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r>
        <w:rPr>
          <w:rFonts w:ascii="Arial" w:hAnsi="Arial" w:cs="Arial"/>
          <w:b/>
          <w:bCs/>
          <w:color w:val="000000"/>
          <w:kern w:val="0"/>
        </w:rPr>
        <w:t>3.2 Strategic Responses of Follower Organisation (Ford)</w:t>
      </w:r>
    </w:p>
    <w:p w14:paraId="7D6E9281"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 xml:space="preserve">As a follower of electric vehicles (EV), the Ford Motor Company adopts a strategic approach which entails gradual change and mitigation of risks as a mechanism of staying afloat. According to the Growth Matrix developed by Igor Ansoff, Ford has chosen the strategy of product development as its main one so that it introduces electric versions of the classic models, such as the Mustang Mach-E and the F-150 Lightning (Ford, 2024; McKinsey and Company, 2024; </w:t>
      </w:r>
      <w:proofErr w:type="spellStart"/>
      <w:r>
        <w:rPr>
          <w:rFonts w:ascii="Arial" w:hAnsi="Arial" w:cs="Arial"/>
          <w:color w:val="000000"/>
          <w:kern w:val="0"/>
        </w:rPr>
        <w:t>BloombergNEF</w:t>
      </w:r>
      <w:proofErr w:type="spellEnd"/>
      <w:r>
        <w:rPr>
          <w:rFonts w:ascii="Arial" w:hAnsi="Arial" w:cs="Arial"/>
          <w:color w:val="000000"/>
          <w:kern w:val="0"/>
        </w:rPr>
        <w:t>, 2024). By doing so, Ford will be able to respond to the technological and regulatory external forces and leverage on the already established brand equity and the established customer base (Deloitte, 2024; IEA, 2024; Coffman et al., 2023). This strategy leads to less uncertainty than a pioneering firm because it builds on familiar products as opposed to investing in some new and untested designs.</w:t>
      </w:r>
    </w:p>
    <w:p w14:paraId="15F75C5F"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One of the strengths of the strategic response of Ford is the fact that it can use the existing manufacturing infrastructure and world distribution networks. It allows the company to increase the scale of production of EVs more effectively after the initial technological barriers are overcome (Grant, 2022; Wells and Nieuwenhuis, 2022; McKinsey &amp; Company, 2024). And furthermore, the fact that Ford invested in battery manufacturing plants and collaborated with technology companies is an indication of a strategic attempt to eliminate the capabilities gaps and speed up the innovation (</w:t>
      </w:r>
      <w:proofErr w:type="spellStart"/>
      <w:r>
        <w:rPr>
          <w:rFonts w:ascii="Arial" w:hAnsi="Arial" w:cs="Arial"/>
          <w:color w:val="000000"/>
          <w:kern w:val="0"/>
        </w:rPr>
        <w:t>BloombergNEF</w:t>
      </w:r>
      <w:proofErr w:type="spellEnd"/>
      <w:r>
        <w:rPr>
          <w:rFonts w:ascii="Arial" w:hAnsi="Arial" w:cs="Arial"/>
          <w:color w:val="000000"/>
          <w:kern w:val="0"/>
        </w:rPr>
        <w:t>, 2024; Deloitte, 2024; IEA, 2024). These partnerships enable Ford to tap into superior technological knowhow without incurring the entire research and development expenses, hence enhancing flexibility in a fast-changing industry.</w:t>
      </w:r>
    </w:p>
    <w:p w14:paraId="4D9F6594"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lastRenderedPageBreak/>
        <w:t xml:space="preserve">Nevertheless, the follower strategy of Ford is also limited. Its reliance on the infrastructure of legacy systems, internal combustion engines, and the structural inflexibility it causes makes it slow to complete electric operations (Wells and Nieuwenhuis, 2022; </w:t>
      </w:r>
      <w:proofErr w:type="spellStart"/>
      <w:r>
        <w:rPr>
          <w:rFonts w:ascii="Arial" w:hAnsi="Arial" w:cs="Arial"/>
          <w:color w:val="000000"/>
          <w:kern w:val="0"/>
        </w:rPr>
        <w:t>Sovacool</w:t>
      </w:r>
      <w:proofErr w:type="spellEnd"/>
      <w:r>
        <w:rPr>
          <w:rFonts w:ascii="Arial" w:hAnsi="Arial" w:cs="Arial"/>
          <w:color w:val="000000"/>
          <w:kern w:val="0"/>
        </w:rPr>
        <w:t xml:space="preserve"> et al., 2023; Grant, 2022). In comparison to a vertically integrated model of Tesla, Ford remains somewhat dependent on third-party suppliers, which can reduce the pace of innovation and increase the risks of operations (McKinsey &amp; Company, 2024; Deloitte, 2024; </w:t>
      </w:r>
      <w:proofErr w:type="spellStart"/>
      <w:r>
        <w:rPr>
          <w:rFonts w:ascii="Arial" w:hAnsi="Arial" w:cs="Arial"/>
          <w:color w:val="000000"/>
          <w:kern w:val="0"/>
        </w:rPr>
        <w:t>BloombergNEF</w:t>
      </w:r>
      <w:proofErr w:type="spellEnd"/>
      <w:r>
        <w:rPr>
          <w:rFonts w:ascii="Arial" w:hAnsi="Arial" w:cs="Arial"/>
          <w:color w:val="000000"/>
          <w:kern w:val="0"/>
        </w:rPr>
        <w:t>, 2024). Also, in as much as product development mitigates risk, it might also restrict differentiation because competitors can easily copy and paste like strategies making the market highly competitive.</w:t>
      </w:r>
    </w:p>
    <w:p w14:paraId="7708BA06"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With all these issues, Ford exhibits strategic flexibility in product development coupled with aspects of market penetration, increasing EV manufacturing scale and pursuing mainstream consumers with affordable cars (Ford, 2024; McKinsey and Company, 2024; IEA, 2024). This niche allows Ford to attain a larger market share than its premium competitors which helps it to consolidate its market standing in the long-term.</w:t>
      </w:r>
    </w:p>
    <w:p w14:paraId="24D58186" w14:textId="77777777"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color w:val="000000"/>
          <w:kern w:val="0"/>
        </w:rPr>
        <w:t>To summarize, the strategic response by Ford is that of a balanced type of innovation and stability in the operations. Although it does not have a first-mover advantage, its adoption of the Ansoff Matrix, specifically the product development and market penetration, enables it to gain competitiveness in the EV industry gradually. Such a strategy will work as long as Ford will be capable of accelerating the technological adoption process, yet at the same time, it will be cost-effective and will be able to leverage its competitive edge on the market, which it has already secured (Grant, 2022; Kotler and Keller, 2022; McKinsey and Company, 2024).</w:t>
      </w:r>
    </w:p>
    <w:p w14:paraId="5D35A2C7"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7970F9BE"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26BF5A2F"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3C4AA82E"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2D69D269" w14:textId="77777777" w:rsidR="0080070C" w:rsidRDefault="0080070C" w:rsidP="0080070C">
      <w:pPr>
        <w:autoSpaceDE w:val="0"/>
        <w:autoSpaceDN w:val="0"/>
        <w:adjustRightInd w:val="0"/>
        <w:spacing w:after="298" w:line="360" w:lineRule="auto"/>
        <w:jc w:val="both"/>
        <w:rPr>
          <w:rFonts w:ascii="Arial" w:hAnsi="Arial" w:cs="Arial"/>
          <w:b/>
          <w:bCs/>
          <w:color w:val="000000"/>
          <w:kern w:val="0"/>
        </w:rPr>
      </w:pPr>
    </w:p>
    <w:p w14:paraId="2DD6C992" w14:textId="0BE00D51" w:rsidR="0080070C" w:rsidRDefault="0080070C" w:rsidP="0080070C">
      <w:pPr>
        <w:autoSpaceDE w:val="0"/>
        <w:autoSpaceDN w:val="0"/>
        <w:adjustRightInd w:val="0"/>
        <w:spacing w:after="298" w:line="360" w:lineRule="auto"/>
        <w:jc w:val="both"/>
        <w:rPr>
          <w:rFonts w:ascii="Arial" w:hAnsi="Arial" w:cs="Arial"/>
          <w:color w:val="000000"/>
          <w:kern w:val="0"/>
        </w:rPr>
      </w:pPr>
      <w:r>
        <w:rPr>
          <w:rFonts w:ascii="Arial" w:hAnsi="Arial" w:cs="Arial"/>
          <w:b/>
          <w:bCs/>
          <w:color w:val="000000"/>
          <w:kern w:val="0"/>
        </w:rPr>
        <w:lastRenderedPageBreak/>
        <w:t>4. Conclusion.</w:t>
      </w:r>
    </w:p>
    <w:p w14:paraId="23FFC25A" w14:textId="77777777" w:rsidR="0080070C" w:rsidRDefault="0080070C" w:rsidP="0080070C">
      <w:pPr>
        <w:spacing w:line="360" w:lineRule="auto"/>
        <w:jc w:val="both"/>
        <w:rPr>
          <w:rFonts w:ascii="Arial" w:hAnsi="Arial" w:cs="Arial"/>
        </w:rPr>
      </w:pPr>
      <w:r>
        <w:rPr>
          <w:rFonts w:ascii="Arial" w:hAnsi="Arial" w:cs="Arial"/>
        </w:rPr>
        <w:t>The automotive industry is developing at a very rapid rate as EVs continue to gain popularity across the globe. This change has been largely influenced by the increasing environmental issues, technological developments and good governmental support towards curtailing carbon emissions. The use of the PESTLE framework indicates that the technological and environmental forces are the most effective in the formation of the EV market. The battery and software, as well as charging infrastructure, are far more effective and compelling, and the environmental regulation and sustainability goals are shifting the companies and customers towards cleaner mobility.</w:t>
      </w:r>
    </w:p>
    <w:p w14:paraId="25CFC825" w14:textId="77777777" w:rsidR="0080070C" w:rsidRDefault="0080070C" w:rsidP="0080070C">
      <w:pPr>
        <w:spacing w:line="360" w:lineRule="auto"/>
        <w:jc w:val="both"/>
        <w:rPr>
          <w:rFonts w:ascii="Arial" w:hAnsi="Arial" w:cs="Arial"/>
        </w:rPr>
      </w:pPr>
      <w:r>
        <w:rPr>
          <w:rFonts w:ascii="Arial" w:hAnsi="Arial" w:cs="Arial"/>
        </w:rPr>
        <w:t>Tesla being a pioneer has enjoyed all these changes by concentrating on innovation and differentiation. Its initial investment in battery technology, software systems and internationalization have assisted it in establishing a strong brand and competitive advantage. Nonetheless, this strategy demands a constant high investment and puts Tesla at risk of increasing competition.</w:t>
      </w:r>
    </w:p>
    <w:p w14:paraId="2F3DF7ED" w14:textId="77777777" w:rsidR="0080070C" w:rsidRDefault="0080070C" w:rsidP="0080070C">
      <w:pPr>
        <w:spacing w:line="360" w:lineRule="auto"/>
        <w:jc w:val="both"/>
        <w:rPr>
          <w:rFonts w:ascii="Arial" w:hAnsi="Arial" w:cs="Arial"/>
        </w:rPr>
      </w:pPr>
      <w:r>
        <w:rPr>
          <w:rFonts w:ascii="Arial" w:hAnsi="Arial" w:cs="Arial"/>
        </w:rPr>
        <w:t>Ford however is more conservative and realistic. Ford can reduce the risks by transforming its successful models to electric models and using the current manufacturing capacity to slowly penetrate the EV market. Even though it is a more stable approach, it may delay the innovation process and restrict its competitiveness with more agile organizations such as Tesla.</w:t>
      </w:r>
    </w:p>
    <w:p w14:paraId="775D19AF" w14:textId="77777777" w:rsidR="0080070C" w:rsidRDefault="0080070C" w:rsidP="0080070C">
      <w:pPr>
        <w:spacing w:line="360" w:lineRule="auto"/>
        <w:jc w:val="both"/>
        <w:rPr>
          <w:rFonts w:ascii="Arial" w:hAnsi="Arial" w:cs="Arial"/>
        </w:rPr>
      </w:pPr>
      <w:r>
        <w:rPr>
          <w:rFonts w:ascii="Arial" w:hAnsi="Arial" w:cs="Arial"/>
        </w:rPr>
        <w:t>To sum up, the key to success in the EV industry is the ability of the companies to adjust to the external changes. The innovation-based strategy of Tesla has good initial benefits, whereas the gradual strategy of Ford is stable. Finally, innovation, cost, and flexibility are some of the aspects that need to be balanced when it comes to success in this rapidly changing market in the long term.</w:t>
      </w:r>
    </w:p>
    <w:p w14:paraId="49AF3F91" w14:textId="77777777" w:rsidR="0080070C" w:rsidRDefault="0080070C" w:rsidP="0080070C">
      <w:pPr>
        <w:spacing w:line="360" w:lineRule="auto"/>
        <w:jc w:val="both"/>
        <w:rPr>
          <w:rFonts w:ascii="Arial" w:hAnsi="Arial" w:cs="Arial"/>
        </w:rPr>
      </w:pPr>
    </w:p>
    <w:p w14:paraId="63267437" w14:textId="77777777" w:rsidR="0080070C" w:rsidRDefault="0080070C" w:rsidP="0080070C">
      <w:pPr>
        <w:spacing w:line="360" w:lineRule="auto"/>
        <w:jc w:val="both"/>
        <w:rPr>
          <w:rFonts w:ascii="Arial" w:hAnsi="Arial" w:cs="Arial"/>
        </w:rPr>
      </w:pPr>
    </w:p>
    <w:p w14:paraId="55455A50" w14:textId="77777777" w:rsidR="0080070C" w:rsidRDefault="0080070C" w:rsidP="0080070C">
      <w:pPr>
        <w:spacing w:line="360" w:lineRule="auto"/>
        <w:jc w:val="both"/>
        <w:rPr>
          <w:rFonts w:ascii="Arial" w:hAnsi="Arial" w:cs="Arial"/>
        </w:rPr>
      </w:pPr>
    </w:p>
    <w:p w14:paraId="60A6A453" w14:textId="77777777" w:rsidR="0080070C" w:rsidRDefault="0080070C" w:rsidP="0080070C">
      <w:pPr>
        <w:spacing w:line="360" w:lineRule="auto"/>
        <w:jc w:val="both"/>
        <w:rPr>
          <w:rFonts w:ascii="Arial" w:hAnsi="Arial" w:cs="Arial"/>
        </w:rPr>
      </w:pPr>
    </w:p>
    <w:p w14:paraId="57D31555" w14:textId="77777777" w:rsidR="0080070C" w:rsidRDefault="0080070C" w:rsidP="0080070C">
      <w:pPr>
        <w:spacing w:line="360" w:lineRule="auto"/>
        <w:jc w:val="both"/>
        <w:rPr>
          <w:rFonts w:ascii="Arial" w:hAnsi="Arial" w:cs="Arial"/>
          <w:b/>
          <w:bCs/>
          <w:color w:val="000000"/>
          <w:kern w:val="0"/>
        </w:rPr>
      </w:pPr>
    </w:p>
    <w:p w14:paraId="73FAE841" w14:textId="7C407A01" w:rsidR="0080070C" w:rsidRDefault="0080070C" w:rsidP="0080070C">
      <w:pPr>
        <w:spacing w:line="360" w:lineRule="auto"/>
        <w:jc w:val="both"/>
        <w:rPr>
          <w:rFonts w:ascii="Arial" w:hAnsi="Arial" w:cs="Arial"/>
          <w:b/>
          <w:bCs/>
          <w:color w:val="000000"/>
          <w:kern w:val="0"/>
        </w:rPr>
      </w:pPr>
      <w:r>
        <w:rPr>
          <w:rFonts w:ascii="Arial" w:hAnsi="Arial" w:cs="Arial"/>
          <w:b/>
          <w:bCs/>
          <w:color w:val="000000"/>
          <w:kern w:val="0"/>
        </w:rPr>
        <w:lastRenderedPageBreak/>
        <w:t>5</w:t>
      </w:r>
      <w:r w:rsidR="002A052C">
        <w:rPr>
          <w:rFonts w:ascii="Arial" w:hAnsi="Arial" w:cs="Arial"/>
          <w:b/>
          <w:bCs/>
          <w:color w:val="000000"/>
          <w:kern w:val="0"/>
        </w:rPr>
        <w:t xml:space="preserve">. </w:t>
      </w:r>
      <w:r>
        <w:rPr>
          <w:rFonts w:ascii="Arial" w:hAnsi="Arial" w:cs="Arial"/>
          <w:b/>
          <w:bCs/>
          <w:color w:val="000000"/>
          <w:kern w:val="0"/>
        </w:rPr>
        <w:t>References.</w:t>
      </w:r>
    </w:p>
    <w:p w14:paraId="7BACF939"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35E20A6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factors affecting adoption’, Energy Policy, 172, pp. 1–12.</w:t>
      </w:r>
    </w:p>
    <w:p w14:paraId="3BB5CD4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Deloitte (2024) Global Automotive Consumer Study 2024. Available at: </w:t>
      </w:r>
      <w:hyperlink r:id="rId8" w:history="1">
        <w:r>
          <w:rPr>
            <w:rStyle w:val="Hyperlink"/>
            <w:rFonts w:ascii="Arial" w:hAnsi="Arial" w:cs="Arial"/>
            <w:color w:val="0000E9"/>
            <w:kern w:val="0"/>
          </w:rPr>
          <w:t>https://www2.deloitte.com</w:t>
        </w:r>
      </w:hyperlink>
      <w:r>
        <w:rPr>
          <w:rFonts w:ascii="Arial" w:hAnsi="Arial" w:cs="Arial"/>
          <w:color w:val="000000"/>
          <w:kern w:val="0"/>
        </w:rPr>
        <w:t xml:space="preserve"> (Accessed: 21 March 2026).</w:t>
      </w:r>
    </w:p>
    <w:p w14:paraId="48914861"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0892896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Grant, R.M. (2022) Contemporary Strategy Analysis. 11th </w:t>
      </w:r>
      <w:proofErr w:type="spellStart"/>
      <w:r>
        <w:rPr>
          <w:rFonts w:ascii="Arial" w:hAnsi="Arial" w:cs="Arial"/>
          <w:color w:val="000000"/>
          <w:kern w:val="0"/>
        </w:rPr>
        <w:t>edn</w:t>
      </w:r>
      <w:proofErr w:type="spellEnd"/>
      <w:r>
        <w:rPr>
          <w:rFonts w:ascii="Arial" w:hAnsi="Arial" w:cs="Arial"/>
          <w:color w:val="000000"/>
          <w:kern w:val="0"/>
        </w:rPr>
        <w:t>. Oxford: Wiley.</w:t>
      </w:r>
    </w:p>
    <w:p w14:paraId="78AF12C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6F7069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Johnson, G., Whittington, R. and Scholes, K. (2020) Exploring Strategy. 12th </w:t>
      </w:r>
      <w:proofErr w:type="spellStart"/>
      <w:r>
        <w:rPr>
          <w:rFonts w:ascii="Arial" w:hAnsi="Arial" w:cs="Arial"/>
          <w:color w:val="000000"/>
          <w:kern w:val="0"/>
        </w:rPr>
        <w:t>edn</w:t>
      </w:r>
      <w:proofErr w:type="spellEnd"/>
      <w:r>
        <w:rPr>
          <w:rFonts w:ascii="Arial" w:hAnsi="Arial" w:cs="Arial"/>
          <w:color w:val="000000"/>
          <w:kern w:val="0"/>
        </w:rPr>
        <w:t>. Harlow: Pearson.</w:t>
      </w:r>
    </w:p>
    <w:p w14:paraId="469EAE9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Kotler, P. and Keller, K.L. (2022) Marketing Management. 16th </w:t>
      </w:r>
      <w:proofErr w:type="spellStart"/>
      <w:r>
        <w:rPr>
          <w:rFonts w:ascii="Arial" w:hAnsi="Arial" w:cs="Arial"/>
          <w:color w:val="000000"/>
          <w:kern w:val="0"/>
        </w:rPr>
        <w:t>edn</w:t>
      </w:r>
      <w:proofErr w:type="spellEnd"/>
      <w:r>
        <w:rPr>
          <w:rFonts w:ascii="Arial" w:hAnsi="Arial" w:cs="Arial"/>
          <w:color w:val="000000"/>
          <w:kern w:val="0"/>
        </w:rPr>
        <w:t>. Harlow: Pearson.</w:t>
      </w:r>
    </w:p>
    <w:p w14:paraId="509D43DA"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3C40F05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9"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225113E5"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B750D5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factors affecting adoption’, Energy Policy, 172, pp. 1–12.</w:t>
      </w:r>
    </w:p>
    <w:p w14:paraId="748C7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Deloitte (2024) Global Automotive Consumer Study 2024. London: Deloitte Insights. Available at: </w:t>
      </w:r>
      <w:hyperlink r:id="rId10" w:history="1">
        <w:r>
          <w:rPr>
            <w:rStyle w:val="Hyperlink"/>
            <w:rFonts w:ascii="Arial" w:hAnsi="Arial" w:cs="Arial"/>
            <w:color w:val="0000E9"/>
            <w:kern w:val="0"/>
          </w:rPr>
          <w:t>https://www2.deloitte.com</w:t>
        </w:r>
      </w:hyperlink>
      <w:r>
        <w:rPr>
          <w:rFonts w:ascii="Arial" w:hAnsi="Arial" w:cs="Arial"/>
          <w:color w:val="000000"/>
          <w:kern w:val="0"/>
        </w:rPr>
        <w:t xml:space="preserve"> (Accessed: 21 March 2026).</w:t>
      </w:r>
    </w:p>
    <w:p w14:paraId="4BB38E0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425D18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Grant, R.M. (2022) Contemporary Strategy Analysis. 11th </w:t>
      </w:r>
      <w:proofErr w:type="spellStart"/>
      <w:r>
        <w:rPr>
          <w:rFonts w:ascii="Arial" w:hAnsi="Arial" w:cs="Arial"/>
          <w:color w:val="000000"/>
          <w:kern w:val="0"/>
        </w:rPr>
        <w:t>edn</w:t>
      </w:r>
      <w:proofErr w:type="spellEnd"/>
      <w:r>
        <w:rPr>
          <w:rFonts w:ascii="Arial" w:hAnsi="Arial" w:cs="Arial"/>
          <w:color w:val="000000"/>
          <w:kern w:val="0"/>
        </w:rPr>
        <w:t>. Oxford: Wiley.</w:t>
      </w:r>
    </w:p>
    <w:p w14:paraId="08943EFC"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3A410F4E"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 xml:space="preserve">Johnson, G., Whittington, R. and Scholes, K. (2020) Exploring Strategy. 12th </w:t>
      </w:r>
      <w:proofErr w:type="spellStart"/>
      <w:r>
        <w:rPr>
          <w:rFonts w:ascii="Arial" w:hAnsi="Arial" w:cs="Arial"/>
          <w:color w:val="000000"/>
          <w:kern w:val="0"/>
        </w:rPr>
        <w:t>edn</w:t>
      </w:r>
      <w:proofErr w:type="spellEnd"/>
      <w:r>
        <w:rPr>
          <w:rFonts w:ascii="Arial" w:hAnsi="Arial" w:cs="Arial"/>
          <w:color w:val="000000"/>
          <w:kern w:val="0"/>
        </w:rPr>
        <w:t>. Harlow: Pearson.</w:t>
      </w:r>
    </w:p>
    <w:p w14:paraId="6CF5014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Kotler, P. and Keller, K.L. (2022) Marketing Management. 16th </w:t>
      </w:r>
      <w:proofErr w:type="spellStart"/>
      <w:r>
        <w:rPr>
          <w:rFonts w:ascii="Arial" w:hAnsi="Arial" w:cs="Arial"/>
          <w:color w:val="000000"/>
          <w:kern w:val="0"/>
        </w:rPr>
        <w:t>edn</w:t>
      </w:r>
      <w:proofErr w:type="spellEnd"/>
      <w:r>
        <w:rPr>
          <w:rFonts w:ascii="Arial" w:hAnsi="Arial" w:cs="Arial"/>
          <w:color w:val="000000"/>
          <w:kern w:val="0"/>
        </w:rPr>
        <w:t>. Harlow: Pearson.</w:t>
      </w:r>
    </w:p>
    <w:p w14:paraId="0E3F91E9"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37CD4E4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1"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5A407080"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Rothaermel, F.T. (2021) Strategic Management. 5th </w:t>
      </w:r>
      <w:proofErr w:type="spellStart"/>
      <w:r>
        <w:rPr>
          <w:rFonts w:ascii="Arial" w:hAnsi="Arial" w:cs="Arial"/>
          <w:color w:val="000000"/>
          <w:kern w:val="0"/>
        </w:rPr>
        <w:t>edn</w:t>
      </w:r>
      <w:proofErr w:type="spellEnd"/>
      <w:r>
        <w:rPr>
          <w:rFonts w:ascii="Arial" w:hAnsi="Arial" w:cs="Arial"/>
          <w:color w:val="000000"/>
          <w:kern w:val="0"/>
        </w:rPr>
        <w:t>. New York: McGraw-Hill Education.</w:t>
      </w:r>
    </w:p>
    <w:p w14:paraId="7528CA9E"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and electric vehicles’, Energy Research &amp; Social Science, 95, pp. 102–118.</w:t>
      </w:r>
    </w:p>
    <w:p w14:paraId="38F213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Wells, P. and Nieuwenhuis, P. (2022) ‘Transition to electric mobility: A socio-technical perspective’, Technological Forecasting and Social Change, 179, pp. 121–135.</w:t>
      </w:r>
    </w:p>
    <w:p w14:paraId="39EB7181"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86E3EC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A review of adoption drivers’, Energy Policy, 172, pp. 1–12.</w:t>
      </w:r>
    </w:p>
    <w:p w14:paraId="586B14C2"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Deloitte (2024) Global Automotive Consumer Study 2024. London: Deloitte Insights.</w:t>
      </w:r>
    </w:p>
    <w:p w14:paraId="1F084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1B8DDE6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and policy support’, Energy Policy, 170, pp. 112–124.</w:t>
      </w:r>
    </w:p>
    <w:p w14:paraId="2C9AF6C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2"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4FFA21C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 pp. 102–118.</w:t>
      </w:r>
    </w:p>
    <w:p w14:paraId="49EFE328"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2EA51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Deloitte (2024) Global Automotive Consumer Study 2024. London: Deloitte Insights.</w:t>
      </w:r>
    </w:p>
    <w:p w14:paraId="4232FE57"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39541B0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6A9EE4E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3"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6CC0D65F"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 pp. 102–118.</w:t>
      </w:r>
    </w:p>
    <w:p w14:paraId="3CECF3E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Wells, P. and Nieuwenhuis, P. (2022) ‘Transition to electric mobility’, Technological Forecasting and Social Change, 179, pp. 121–135.</w:t>
      </w:r>
    </w:p>
    <w:p w14:paraId="69557BEB"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0F7FDD83"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Energy Policy, 172.</w:t>
      </w:r>
    </w:p>
    <w:p w14:paraId="376196B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Deloitte (2024) Global Automotive Consumer Study 2024. Deloitte Insights.</w:t>
      </w:r>
    </w:p>
    <w:p w14:paraId="35E0108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Grant, R.M. (2022) Contemporary Strategy Analysis. Oxford: Wiley.</w:t>
      </w:r>
    </w:p>
    <w:p w14:paraId="6FE6ABE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7F5EE60F"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Kotler, P. and Keller, K.L. (2022) Marketing Management. Harlow: Pearson.</w:t>
      </w:r>
    </w:p>
    <w:p w14:paraId="76ACBF6A"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Lutsey</w:t>
      </w:r>
      <w:proofErr w:type="spellEnd"/>
      <w:r>
        <w:rPr>
          <w:rFonts w:ascii="Arial" w:hAnsi="Arial" w:cs="Arial"/>
          <w:color w:val="000000"/>
          <w:kern w:val="0"/>
        </w:rPr>
        <w:t>, N. (2023) ‘Electric vehicle technology trends’, Energy Policy, 170.</w:t>
      </w:r>
    </w:p>
    <w:p w14:paraId="5C3829FC"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4"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71AF98B6"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Rothaermel, F.T. (2021) Strategic Management. New York: McGraw-Hill.</w:t>
      </w:r>
    </w:p>
    <w:p w14:paraId="78827B1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Porter, M.E. (2008) Competitive Strategy. New York: Free Press.</w:t>
      </w:r>
    </w:p>
    <w:p w14:paraId="40B94706"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BloombergNEF</w:t>
      </w:r>
      <w:proofErr w:type="spellEnd"/>
      <w:r>
        <w:rPr>
          <w:rFonts w:ascii="Arial" w:hAnsi="Arial" w:cs="Arial"/>
          <w:color w:val="000000"/>
          <w:kern w:val="0"/>
        </w:rPr>
        <w:t xml:space="preserve"> (2024) Electric Vehicle Outlook 2024. London: </w:t>
      </w:r>
      <w:proofErr w:type="spellStart"/>
      <w:r>
        <w:rPr>
          <w:rFonts w:ascii="Arial" w:hAnsi="Arial" w:cs="Arial"/>
          <w:color w:val="000000"/>
          <w:kern w:val="0"/>
        </w:rPr>
        <w:t>BloombergNEF</w:t>
      </w:r>
      <w:proofErr w:type="spellEnd"/>
      <w:r>
        <w:rPr>
          <w:rFonts w:ascii="Arial" w:hAnsi="Arial" w:cs="Arial"/>
          <w:color w:val="000000"/>
          <w:kern w:val="0"/>
        </w:rPr>
        <w:t>.</w:t>
      </w:r>
    </w:p>
    <w:p w14:paraId="1EE67C0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Coffman, M., Bernstein, P. and Wee, S. (2023) ‘Electric vehicles revisited’, Energy Policy, 172.</w:t>
      </w:r>
    </w:p>
    <w:p w14:paraId="0B312A5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lastRenderedPageBreak/>
        <w:t>Deloitte (2024) Global Automotive Consumer Study 2024. Deloitte Insights.</w:t>
      </w:r>
    </w:p>
    <w:p w14:paraId="7832AAAA"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Ford Motor Company (2024) Annual Report 2024. Dearborn: Ford Motor Company.</w:t>
      </w:r>
    </w:p>
    <w:p w14:paraId="4ACA3225"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Grant, R.M. (2022) Contemporary Strategy Analysis. Oxford: Wiley.</w:t>
      </w:r>
    </w:p>
    <w:p w14:paraId="49F28EFB"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International Energy Agency (IEA) (2024) Global EV Outlook 2024. Paris: IEA.</w:t>
      </w:r>
    </w:p>
    <w:p w14:paraId="79640F58"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Kotler, P. and Keller, K.L. (2022) Marketing Management. Harlow: Pearson.</w:t>
      </w:r>
    </w:p>
    <w:p w14:paraId="0EAD8CD9" w14:textId="77777777" w:rsidR="0080070C" w:rsidRDefault="0080070C" w:rsidP="0080070C">
      <w:pPr>
        <w:autoSpaceDE w:val="0"/>
        <w:autoSpaceDN w:val="0"/>
        <w:adjustRightInd w:val="0"/>
        <w:spacing w:after="240" w:line="360" w:lineRule="auto"/>
        <w:jc w:val="both"/>
        <w:rPr>
          <w:rFonts w:ascii="Arial" w:hAnsi="Arial" w:cs="Arial"/>
          <w:color w:val="000000"/>
          <w:kern w:val="0"/>
        </w:rPr>
      </w:pPr>
      <w:r>
        <w:rPr>
          <w:rFonts w:ascii="Arial" w:hAnsi="Arial" w:cs="Arial"/>
          <w:color w:val="000000"/>
          <w:kern w:val="0"/>
        </w:rPr>
        <w:t xml:space="preserve">McKinsey &amp; Company (2024) Mobility Consumer Pulse Survey 2024. Available at: </w:t>
      </w:r>
      <w:hyperlink r:id="rId15" w:history="1">
        <w:r>
          <w:rPr>
            <w:rStyle w:val="Hyperlink"/>
            <w:rFonts w:ascii="Arial" w:hAnsi="Arial" w:cs="Arial"/>
            <w:color w:val="0000E9"/>
            <w:kern w:val="0"/>
          </w:rPr>
          <w:t>https://www.mckinsey.com</w:t>
        </w:r>
      </w:hyperlink>
      <w:r>
        <w:rPr>
          <w:rFonts w:ascii="Arial" w:hAnsi="Arial" w:cs="Arial"/>
          <w:color w:val="000000"/>
          <w:kern w:val="0"/>
        </w:rPr>
        <w:t>(Accessed: 21 March 2026).</w:t>
      </w:r>
    </w:p>
    <w:p w14:paraId="33010745" w14:textId="77777777" w:rsidR="0080070C" w:rsidRDefault="0080070C" w:rsidP="0080070C">
      <w:pPr>
        <w:autoSpaceDE w:val="0"/>
        <w:autoSpaceDN w:val="0"/>
        <w:adjustRightInd w:val="0"/>
        <w:spacing w:after="240" w:line="360" w:lineRule="auto"/>
        <w:jc w:val="both"/>
        <w:rPr>
          <w:rFonts w:ascii="Arial" w:hAnsi="Arial" w:cs="Arial"/>
          <w:color w:val="000000"/>
          <w:kern w:val="0"/>
        </w:rPr>
      </w:pPr>
      <w:proofErr w:type="spellStart"/>
      <w:r>
        <w:rPr>
          <w:rFonts w:ascii="Arial" w:hAnsi="Arial" w:cs="Arial"/>
          <w:color w:val="000000"/>
          <w:kern w:val="0"/>
        </w:rPr>
        <w:t>Sovacool</w:t>
      </w:r>
      <w:proofErr w:type="spellEnd"/>
      <w:r>
        <w:rPr>
          <w:rFonts w:ascii="Arial" w:hAnsi="Arial" w:cs="Arial"/>
          <w:color w:val="000000"/>
          <w:kern w:val="0"/>
        </w:rPr>
        <w:t>, B.K., Kester, J. and Noel, L. (2023) ‘Sustainable mobility transitions’, Energy Research &amp; Social Science, 95.</w:t>
      </w:r>
    </w:p>
    <w:p w14:paraId="4980C2E0" w14:textId="77777777" w:rsidR="0080070C" w:rsidRDefault="0080070C" w:rsidP="0080070C">
      <w:pPr>
        <w:autoSpaceDE w:val="0"/>
        <w:autoSpaceDN w:val="0"/>
        <w:adjustRightInd w:val="0"/>
        <w:spacing w:after="240" w:line="360" w:lineRule="auto"/>
        <w:jc w:val="both"/>
        <w:rPr>
          <w:rFonts w:ascii="Arial" w:hAnsi="Arial" w:cs="Arial"/>
          <w:color w:val="000000"/>
          <w:kern w:val="0"/>
        </w:rPr>
      </w:pPr>
    </w:p>
    <w:p w14:paraId="6BC0D8EC" w14:textId="77777777" w:rsidR="0080070C" w:rsidRDefault="0080070C" w:rsidP="0080070C">
      <w:pPr>
        <w:spacing w:line="360" w:lineRule="auto"/>
        <w:jc w:val="both"/>
        <w:rPr>
          <w:rFonts w:ascii="Arial" w:hAnsi="Arial" w:cs="Arial"/>
        </w:rPr>
      </w:pPr>
    </w:p>
    <w:p w14:paraId="0C0B1A8C" w14:textId="77777777" w:rsidR="0080070C" w:rsidRDefault="0080070C"/>
    <w:sectPr w:rsidR="0080070C">
      <w:headerReference w:type="even" r:id="rId16"/>
      <w:headerReference w:type="default" r:id="rId17"/>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D1063A" w14:textId="77777777" w:rsidR="002633CD" w:rsidRDefault="002633CD" w:rsidP="00707750">
      <w:pPr>
        <w:spacing w:after="0" w:line="240" w:lineRule="auto"/>
      </w:pPr>
      <w:r>
        <w:separator/>
      </w:r>
    </w:p>
  </w:endnote>
  <w:endnote w:type="continuationSeparator" w:id="0">
    <w:p w14:paraId="1D36B770" w14:textId="77777777" w:rsidR="002633CD" w:rsidRDefault="002633CD" w:rsidP="007077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5976352"/>
      <w:docPartObj>
        <w:docPartGallery w:val="Page Numbers (Bottom of Page)"/>
        <w:docPartUnique/>
      </w:docPartObj>
    </w:sdtPr>
    <w:sdtContent>
      <w:p w14:paraId="5ED0E5EE" w14:textId="371A08FD" w:rsidR="00707750" w:rsidRDefault="00707750" w:rsidP="0004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80910A9" w14:textId="77777777" w:rsidR="00707750" w:rsidRDefault="00707750" w:rsidP="0070775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2338893"/>
      <w:docPartObj>
        <w:docPartGallery w:val="Page Numbers (Bottom of Page)"/>
        <w:docPartUnique/>
      </w:docPartObj>
    </w:sdtPr>
    <w:sdtContent>
      <w:p w14:paraId="2932441D" w14:textId="3E56F6DC" w:rsidR="00707750" w:rsidRDefault="00707750" w:rsidP="0004561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F31326" w14:textId="77777777" w:rsidR="00707750" w:rsidRDefault="00707750" w:rsidP="0070775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DCADDF" w14:textId="77777777" w:rsidR="002633CD" w:rsidRDefault="002633CD" w:rsidP="00707750">
      <w:pPr>
        <w:spacing w:after="0" w:line="240" w:lineRule="auto"/>
      </w:pPr>
      <w:r>
        <w:separator/>
      </w:r>
    </w:p>
  </w:footnote>
  <w:footnote w:type="continuationSeparator" w:id="0">
    <w:p w14:paraId="0BCB2F6D" w14:textId="77777777" w:rsidR="002633CD" w:rsidRDefault="002633CD" w:rsidP="007077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1724910"/>
      <w:docPartObj>
        <w:docPartGallery w:val="Page Numbers (Top of Page)"/>
        <w:docPartUnique/>
      </w:docPartObj>
    </w:sdtPr>
    <w:sdtContent>
      <w:p w14:paraId="759E0B37" w14:textId="544C3038" w:rsidR="00707750" w:rsidRDefault="00707750" w:rsidP="0004561E">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6C58F9" w14:textId="77777777" w:rsidR="00707750" w:rsidRDefault="00707750" w:rsidP="00707750">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A6F218" w14:textId="77777777" w:rsidR="00707750" w:rsidRDefault="00707750" w:rsidP="00707750">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70C"/>
    <w:rsid w:val="002633CD"/>
    <w:rsid w:val="002A052C"/>
    <w:rsid w:val="00707750"/>
    <w:rsid w:val="0080070C"/>
    <w:rsid w:val="008F6969"/>
    <w:rsid w:val="00D41048"/>
    <w:rsid w:val="00EC69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23775"/>
  <w15:chartTrackingRefBased/>
  <w15:docId w15:val="{7927E12A-C3E7-6E44-A95F-0FC8263BE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070C"/>
    <w:pPr>
      <w:spacing w:line="276" w:lineRule="auto"/>
    </w:pPr>
  </w:style>
  <w:style w:type="paragraph" w:styleId="Heading1">
    <w:name w:val="heading 1"/>
    <w:basedOn w:val="Normal"/>
    <w:next w:val="Normal"/>
    <w:link w:val="Heading1Char"/>
    <w:uiPriority w:val="9"/>
    <w:qFormat/>
    <w:rsid w:val="0080070C"/>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070C"/>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070C"/>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070C"/>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070C"/>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070C"/>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070C"/>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070C"/>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070C"/>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7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07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07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07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07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07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07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07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070C"/>
    <w:rPr>
      <w:rFonts w:eastAsiaTheme="majorEastAsia" w:cstheme="majorBidi"/>
      <w:color w:val="272727" w:themeColor="text1" w:themeTint="D8"/>
    </w:rPr>
  </w:style>
  <w:style w:type="paragraph" w:styleId="Title">
    <w:name w:val="Title"/>
    <w:basedOn w:val="Normal"/>
    <w:next w:val="Normal"/>
    <w:link w:val="TitleChar"/>
    <w:uiPriority w:val="10"/>
    <w:qFormat/>
    <w:rsid w:val="008007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07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070C"/>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07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070C"/>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80070C"/>
    <w:rPr>
      <w:i/>
      <w:iCs/>
      <w:color w:val="404040" w:themeColor="text1" w:themeTint="BF"/>
    </w:rPr>
  </w:style>
  <w:style w:type="paragraph" w:styleId="ListParagraph">
    <w:name w:val="List Paragraph"/>
    <w:basedOn w:val="Normal"/>
    <w:uiPriority w:val="34"/>
    <w:qFormat/>
    <w:rsid w:val="0080070C"/>
    <w:pPr>
      <w:spacing w:line="278" w:lineRule="auto"/>
      <w:ind w:left="720"/>
      <w:contextualSpacing/>
    </w:pPr>
  </w:style>
  <w:style w:type="character" w:styleId="IntenseEmphasis">
    <w:name w:val="Intense Emphasis"/>
    <w:basedOn w:val="DefaultParagraphFont"/>
    <w:uiPriority w:val="21"/>
    <w:qFormat/>
    <w:rsid w:val="0080070C"/>
    <w:rPr>
      <w:i/>
      <w:iCs/>
      <w:color w:val="0F4761" w:themeColor="accent1" w:themeShade="BF"/>
    </w:rPr>
  </w:style>
  <w:style w:type="paragraph" w:styleId="IntenseQuote">
    <w:name w:val="Intense Quote"/>
    <w:basedOn w:val="Normal"/>
    <w:next w:val="Normal"/>
    <w:link w:val="IntenseQuoteChar"/>
    <w:uiPriority w:val="30"/>
    <w:qFormat/>
    <w:rsid w:val="0080070C"/>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070C"/>
    <w:rPr>
      <w:i/>
      <w:iCs/>
      <w:color w:val="0F4761" w:themeColor="accent1" w:themeShade="BF"/>
    </w:rPr>
  </w:style>
  <w:style w:type="character" w:styleId="IntenseReference">
    <w:name w:val="Intense Reference"/>
    <w:basedOn w:val="DefaultParagraphFont"/>
    <w:uiPriority w:val="32"/>
    <w:qFormat/>
    <w:rsid w:val="0080070C"/>
    <w:rPr>
      <w:b/>
      <w:bCs/>
      <w:smallCaps/>
      <w:color w:val="0F4761" w:themeColor="accent1" w:themeShade="BF"/>
      <w:spacing w:val="5"/>
    </w:rPr>
  </w:style>
  <w:style w:type="character" w:styleId="Hyperlink">
    <w:name w:val="Hyperlink"/>
    <w:basedOn w:val="DefaultParagraphFont"/>
    <w:uiPriority w:val="99"/>
    <w:semiHidden/>
    <w:unhideWhenUsed/>
    <w:rsid w:val="0080070C"/>
    <w:rPr>
      <w:color w:val="0000FF"/>
      <w:u w:val="single"/>
    </w:rPr>
  </w:style>
  <w:style w:type="paragraph" w:styleId="TOCHeading">
    <w:name w:val="TOC Heading"/>
    <w:basedOn w:val="Heading1"/>
    <w:next w:val="Normal"/>
    <w:uiPriority w:val="39"/>
    <w:unhideWhenUsed/>
    <w:qFormat/>
    <w:rsid w:val="0070775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semiHidden/>
    <w:unhideWhenUsed/>
    <w:rsid w:val="00707750"/>
    <w:pPr>
      <w:spacing w:before="240" w:after="120"/>
    </w:pPr>
    <w:rPr>
      <w:b/>
      <w:bCs/>
      <w:sz w:val="20"/>
      <w:szCs w:val="20"/>
    </w:rPr>
  </w:style>
  <w:style w:type="paragraph" w:styleId="TOC2">
    <w:name w:val="toc 2"/>
    <w:basedOn w:val="Normal"/>
    <w:next w:val="Normal"/>
    <w:autoRedefine/>
    <w:uiPriority w:val="39"/>
    <w:semiHidden/>
    <w:unhideWhenUsed/>
    <w:rsid w:val="00707750"/>
    <w:pPr>
      <w:spacing w:before="120" w:after="0"/>
      <w:ind w:left="240"/>
    </w:pPr>
    <w:rPr>
      <w:i/>
      <w:iCs/>
      <w:sz w:val="20"/>
      <w:szCs w:val="20"/>
    </w:rPr>
  </w:style>
  <w:style w:type="paragraph" w:styleId="TOC3">
    <w:name w:val="toc 3"/>
    <w:basedOn w:val="Normal"/>
    <w:next w:val="Normal"/>
    <w:autoRedefine/>
    <w:uiPriority w:val="39"/>
    <w:semiHidden/>
    <w:unhideWhenUsed/>
    <w:rsid w:val="00707750"/>
    <w:pPr>
      <w:spacing w:after="0"/>
      <w:ind w:left="480"/>
    </w:pPr>
    <w:rPr>
      <w:sz w:val="20"/>
      <w:szCs w:val="20"/>
    </w:rPr>
  </w:style>
  <w:style w:type="paragraph" w:styleId="TOC4">
    <w:name w:val="toc 4"/>
    <w:basedOn w:val="Normal"/>
    <w:next w:val="Normal"/>
    <w:autoRedefine/>
    <w:uiPriority w:val="39"/>
    <w:semiHidden/>
    <w:unhideWhenUsed/>
    <w:rsid w:val="00707750"/>
    <w:pPr>
      <w:spacing w:after="0"/>
      <w:ind w:left="720"/>
    </w:pPr>
    <w:rPr>
      <w:sz w:val="20"/>
      <w:szCs w:val="20"/>
    </w:rPr>
  </w:style>
  <w:style w:type="paragraph" w:styleId="TOC5">
    <w:name w:val="toc 5"/>
    <w:basedOn w:val="Normal"/>
    <w:next w:val="Normal"/>
    <w:autoRedefine/>
    <w:uiPriority w:val="39"/>
    <w:semiHidden/>
    <w:unhideWhenUsed/>
    <w:rsid w:val="00707750"/>
    <w:pPr>
      <w:spacing w:after="0"/>
      <w:ind w:left="960"/>
    </w:pPr>
    <w:rPr>
      <w:sz w:val="20"/>
      <w:szCs w:val="20"/>
    </w:rPr>
  </w:style>
  <w:style w:type="paragraph" w:styleId="TOC6">
    <w:name w:val="toc 6"/>
    <w:basedOn w:val="Normal"/>
    <w:next w:val="Normal"/>
    <w:autoRedefine/>
    <w:uiPriority w:val="39"/>
    <w:semiHidden/>
    <w:unhideWhenUsed/>
    <w:rsid w:val="00707750"/>
    <w:pPr>
      <w:spacing w:after="0"/>
      <w:ind w:left="1200"/>
    </w:pPr>
    <w:rPr>
      <w:sz w:val="20"/>
      <w:szCs w:val="20"/>
    </w:rPr>
  </w:style>
  <w:style w:type="paragraph" w:styleId="TOC7">
    <w:name w:val="toc 7"/>
    <w:basedOn w:val="Normal"/>
    <w:next w:val="Normal"/>
    <w:autoRedefine/>
    <w:uiPriority w:val="39"/>
    <w:semiHidden/>
    <w:unhideWhenUsed/>
    <w:rsid w:val="00707750"/>
    <w:pPr>
      <w:spacing w:after="0"/>
      <w:ind w:left="1440"/>
    </w:pPr>
    <w:rPr>
      <w:sz w:val="20"/>
      <w:szCs w:val="20"/>
    </w:rPr>
  </w:style>
  <w:style w:type="paragraph" w:styleId="TOC8">
    <w:name w:val="toc 8"/>
    <w:basedOn w:val="Normal"/>
    <w:next w:val="Normal"/>
    <w:autoRedefine/>
    <w:uiPriority w:val="39"/>
    <w:semiHidden/>
    <w:unhideWhenUsed/>
    <w:rsid w:val="00707750"/>
    <w:pPr>
      <w:spacing w:after="0"/>
      <w:ind w:left="1680"/>
    </w:pPr>
    <w:rPr>
      <w:sz w:val="20"/>
      <w:szCs w:val="20"/>
    </w:rPr>
  </w:style>
  <w:style w:type="paragraph" w:styleId="TOC9">
    <w:name w:val="toc 9"/>
    <w:basedOn w:val="Normal"/>
    <w:next w:val="Normal"/>
    <w:autoRedefine/>
    <w:uiPriority w:val="39"/>
    <w:semiHidden/>
    <w:unhideWhenUsed/>
    <w:rsid w:val="00707750"/>
    <w:pPr>
      <w:spacing w:after="0"/>
      <w:ind w:left="1920"/>
    </w:pPr>
    <w:rPr>
      <w:sz w:val="20"/>
      <w:szCs w:val="20"/>
    </w:rPr>
  </w:style>
  <w:style w:type="paragraph" w:styleId="Footer">
    <w:name w:val="footer"/>
    <w:basedOn w:val="Normal"/>
    <w:link w:val="FooterChar"/>
    <w:uiPriority w:val="99"/>
    <w:unhideWhenUsed/>
    <w:rsid w:val="007077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7750"/>
  </w:style>
  <w:style w:type="character" w:styleId="PageNumber">
    <w:name w:val="page number"/>
    <w:basedOn w:val="DefaultParagraphFont"/>
    <w:uiPriority w:val="99"/>
    <w:semiHidden/>
    <w:unhideWhenUsed/>
    <w:rsid w:val="00707750"/>
  </w:style>
  <w:style w:type="paragraph" w:styleId="Header">
    <w:name w:val="header"/>
    <w:basedOn w:val="Normal"/>
    <w:link w:val="HeaderChar"/>
    <w:uiPriority w:val="99"/>
    <w:unhideWhenUsed/>
    <w:rsid w:val="007077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7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2.deloitte.com/" TargetMode="External"/><Relationship Id="rId13" Type="http://schemas.openxmlformats.org/officeDocument/2006/relationships/hyperlink" Target="https://www.mckinsey.com/"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mckinsey.com/" TargetMode="External"/><Relationship Id="rId17" Type="http://schemas.openxmlformats.org/officeDocument/2006/relationships/header" Target="header2.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ckinsey.com/" TargetMode="External"/><Relationship Id="rId5" Type="http://schemas.openxmlformats.org/officeDocument/2006/relationships/footnotes" Target="footnotes.xml"/><Relationship Id="rId15" Type="http://schemas.openxmlformats.org/officeDocument/2006/relationships/hyperlink" Target="https://www.mckinsey.com/" TargetMode="External"/><Relationship Id="rId10" Type="http://schemas.openxmlformats.org/officeDocument/2006/relationships/hyperlink" Target="https://www2.deloitte.com/"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mckinsey.com/" TargetMode="External"/><Relationship Id="rId14" Type="http://schemas.openxmlformats.org/officeDocument/2006/relationships/hyperlink" Target="https://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44B44D-F40A-EE4F-A67B-6F6CDF818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15</Pages>
  <Words>3666</Words>
  <Characters>20900</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Omkar Jalindar Shinde (2526513)</dc:creator>
  <cp:keywords/>
  <dc:description/>
  <cp:lastModifiedBy>Omkar Jalindar Shinde (2526513)</cp:lastModifiedBy>
  <cp:revision>3</cp:revision>
  <dcterms:created xsi:type="dcterms:W3CDTF">2026-03-25T23:11:00Z</dcterms:created>
  <dcterms:modified xsi:type="dcterms:W3CDTF">2026-03-25T23:40:00Z</dcterms:modified>
</cp:coreProperties>
</file>